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55214A" w14:textId="72EAC39C" w:rsidR="00AB57B1" w:rsidRPr="00FB62E5" w:rsidRDefault="00AB57B1" w:rsidP="00FB62E5">
      <w:pPr>
        <w:spacing w:line="360" w:lineRule="auto"/>
        <w:jc w:val="center"/>
        <w:rPr>
          <w:rFonts w:ascii="Arial" w:hAnsi="Arial" w:cs="Arial"/>
          <w:b/>
          <w:sz w:val="22"/>
        </w:rPr>
      </w:pPr>
    </w:p>
    <w:p w14:paraId="335F2C90" w14:textId="653D5193" w:rsidR="00AB57B1" w:rsidRPr="00FB62E5" w:rsidRDefault="00AB57B1" w:rsidP="00FB62E5">
      <w:pPr>
        <w:spacing w:line="360" w:lineRule="auto"/>
        <w:rPr>
          <w:rFonts w:ascii="Arial" w:hAnsi="Arial" w:cs="Arial"/>
          <w:sz w:val="22"/>
        </w:rPr>
      </w:pPr>
    </w:p>
    <w:p w14:paraId="7C6F5641" w14:textId="564D045B" w:rsidR="00AB57B1" w:rsidRPr="00FB62E5" w:rsidRDefault="00AB57B1" w:rsidP="00FB62E5">
      <w:pPr>
        <w:spacing w:line="360" w:lineRule="auto"/>
        <w:rPr>
          <w:rFonts w:ascii="Arial" w:hAnsi="Arial" w:cs="Arial"/>
          <w:sz w:val="22"/>
        </w:rPr>
      </w:pPr>
    </w:p>
    <w:p w14:paraId="63AD03ED" w14:textId="7F7C9860" w:rsidR="00AB57B1" w:rsidRPr="00FB62E5" w:rsidRDefault="00AB57B1" w:rsidP="00FB62E5">
      <w:pPr>
        <w:spacing w:line="360" w:lineRule="auto"/>
        <w:rPr>
          <w:rFonts w:ascii="Arial" w:hAnsi="Arial" w:cs="Arial"/>
          <w:sz w:val="22"/>
        </w:rPr>
      </w:pPr>
    </w:p>
    <w:p w14:paraId="69EE8FB0" w14:textId="000B33AD" w:rsidR="00AB57B1" w:rsidRPr="00FB62E5" w:rsidRDefault="00AB57B1" w:rsidP="00FB62E5">
      <w:pPr>
        <w:spacing w:line="360" w:lineRule="auto"/>
        <w:rPr>
          <w:rFonts w:ascii="Arial" w:hAnsi="Arial" w:cs="Arial"/>
          <w:sz w:val="22"/>
        </w:rPr>
      </w:pPr>
    </w:p>
    <w:p w14:paraId="48CA1411" w14:textId="0B70AE11" w:rsidR="00AB57B1" w:rsidRPr="00FB62E5" w:rsidRDefault="00AB57B1" w:rsidP="00FB62E5">
      <w:pPr>
        <w:spacing w:line="360" w:lineRule="auto"/>
        <w:rPr>
          <w:rFonts w:ascii="Arial" w:hAnsi="Arial" w:cs="Arial"/>
          <w:sz w:val="22"/>
        </w:rPr>
      </w:pPr>
    </w:p>
    <w:p w14:paraId="7CD273C6" w14:textId="30B07C93" w:rsidR="00AB57B1" w:rsidRPr="00FB62E5" w:rsidRDefault="00AB57B1" w:rsidP="00FB62E5">
      <w:pPr>
        <w:spacing w:line="360" w:lineRule="auto"/>
        <w:rPr>
          <w:rFonts w:ascii="Arial" w:hAnsi="Arial" w:cs="Arial"/>
          <w:sz w:val="22"/>
        </w:rPr>
      </w:pPr>
    </w:p>
    <w:p w14:paraId="11554911" w14:textId="77777777" w:rsidR="00AB57B1" w:rsidRPr="00FB62E5" w:rsidRDefault="00AB57B1" w:rsidP="00FB62E5">
      <w:pPr>
        <w:spacing w:line="360" w:lineRule="auto"/>
        <w:rPr>
          <w:rFonts w:ascii="Arial" w:hAnsi="Arial" w:cs="Arial"/>
          <w:sz w:val="22"/>
        </w:rPr>
      </w:pPr>
    </w:p>
    <w:p w14:paraId="49A0D387" w14:textId="7B35E2CF" w:rsidR="00463A29" w:rsidRDefault="00463A29" w:rsidP="00FB62E5">
      <w:pPr>
        <w:spacing w:line="360" w:lineRule="auto"/>
        <w:jc w:val="center"/>
        <w:rPr>
          <w:rFonts w:ascii="Arial" w:hAnsi="Arial" w:cs="Arial"/>
          <w:b/>
          <w:sz w:val="22"/>
        </w:rPr>
      </w:pPr>
    </w:p>
    <w:p w14:paraId="1C09E071" w14:textId="1D70B88C" w:rsidR="003A4DC2" w:rsidRPr="00FB62E5" w:rsidRDefault="00AA60AF" w:rsidP="003A4DC2">
      <w:pPr>
        <w:spacing w:line="360" w:lineRule="auto"/>
        <w:rPr>
          <w:rFonts w:ascii="Arial" w:hAnsi="Arial" w:cs="Arial"/>
          <w:b/>
          <w:sz w:val="22"/>
        </w:rPr>
      </w:pPr>
      <w:r>
        <w:rPr>
          <w:rFonts w:ascii="Arial" w:hAnsi="Arial" w:cs="Arial"/>
          <w:b/>
          <w:sz w:val="22"/>
        </w:rPr>
        <w:t xml:space="preserve">                                                      </w:t>
      </w:r>
      <w:r w:rsidR="00B623BD">
        <w:rPr>
          <w:rFonts w:ascii="Arial" w:hAnsi="Arial" w:cs="Arial"/>
          <w:b/>
          <w:sz w:val="22"/>
        </w:rPr>
        <w:t>Student name: Sobia kauser</w:t>
      </w:r>
    </w:p>
    <w:p w14:paraId="007C3D5C" w14:textId="2B129F65" w:rsidR="00E66606" w:rsidRPr="00FB62E5" w:rsidRDefault="00555065" w:rsidP="00FB62E5">
      <w:pPr>
        <w:spacing w:line="360" w:lineRule="auto"/>
        <w:jc w:val="center"/>
        <w:rPr>
          <w:rFonts w:ascii="Arial" w:hAnsi="Arial" w:cs="Arial"/>
          <w:b/>
          <w:sz w:val="22"/>
        </w:rPr>
      </w:pPr>
      <w:r w:rsidRPr="00FB62E5">
        <w:rPr>
          <w:rFonts w:ascii="Arial" w:hAnsi="Arial" w:cs="Arial"/>
          <w:b/>
          <w:sz w:val="22"/>
        </w:rPr>
        <w:t>Student Number</w:t>
      </w:r>
      <w:r w:rsidR="003A4DC2">
        <w:rPr>
          <w:rFonts w:ascii="Arial" w:hAnsi="Arial" w:cs="Arial"/>
          <w:b/>
          <w:sz w:val="22"/>
        </w:rPr>
        <w:t>:2243574</w:t>
      </w:r>
    </w:p>
    <w:p w14:paraId="19E1B3D7" w14:textId="60537401" w:rsidR="00E66606" w:rsidRDefault="00555065" w:rsidP="00FB62E5">
      <w:pPr>
        <w:spacing w:line="360" w:lineRule="auto"/>
        <w:jc w:val="center"/>
        <w:rPr>
          <w:rFonts w:ascii="Arial" w:hAnsi="Arial" w:cs="Arial"/>
          <w:b/>
          <w:sz w:val="22"/>
        </w:rPr>
      </w:pPr>
      <w:r w:rsidRPr="00FB62E5">
        <w:rPr>
          <w:rFonts w:ascii="Arial" w:hAnsi="Arial" w:cs="Arial"/>
          <w:b/>
          <w:sz w:val="22"/>
        </w:rPr>
        <w:t>Module Code</w:t>
      </w:r>
      <w:r w:rsidR="00ED08E3" w:rsidRPr="00FB62E5">
        <w:rPr>
          <w:rFonts w:ascii="Arial" w:hAnsi="Arial" w:cs="Arial"/>
          <w:b/>
          <w:sz w:val="22"/>
        </w:rPr>
        <w:t>: BMHP6026</w:t>
      </w:r>
    </w:p>
    <w:p w14:paraId="7DA41DA4" w14:textId="2C103B70" w:rsidR="003A4DC2" w:rsidRPr="00FB62E5" w:rsidRDefault="00B623BD" w:rsidP="003A4DC2">
      <w:pPr>
        <w:spacing w:line="360" w:lineRule="auto"/>
        <w:rPr>
          <w:rFonts w:ascii="Arial" w:hAnsi="Arial" w:cs="Arial"/>
          <w:b/>
          <w:sz w:val="22"/>
        </w:rPr>
      </w:pPr>
      <w:r>
        <w:rPr>
          <w:rFonts w:ascii="Arial" w:hAnsi="Arial" w:cs="Arial"/>
          <w:b/>
          <w:sz w:val="22"/>
        </w:rPr>
        <w:t xml:space="preserve">                                             </w:t>
      </w:r>
      <w:r w:rsidR="00AA60AF">
        <w:rPr>
          <w:rFonts w:ascii="Arial" w:hAnsi="Arial" w:cs="Arial"/>
          <w:b/>
          <w:sz w:val="22"/>
        </w:rPr>
        <w:t xml:space="preserve">   </w:t>
      </w:r>
      <w:proofErr w:type="spellStart"/>
      <w:r w:rsidR="00AA60AF">
        <w:rPr>
          <w:rFonts w:ascii="Arial" w:hAnsi="Arial" w:cs="Arial"/>
          <w:b/>
          <w:sz w:val="22"/>
        </w:rPr>
        <w:t>Le</w:t>
      </w:r>
      <w:r>
        <w:rPr>
          <w:rFonts w:ascii="Arial" w:hAnsi="Arial" w:cs="Arial"/>
          <w:b/>
          <w:sz w:val="22"/>
        </w:rPr>
        <w:t>ctrues</w:t>
      </w:r>
      <w:proofErr w:type="spellEnd"/>
      <w:r>
        <w:rPr>
          <w:rFonts w:ascii="Arial" w:hAnsi="Arial" w:cs="Arial"/>
          <w:b/>
          <w:sz w:val="22"/>
        </w:rPr>
        <w:t xml:space="preserve"> </w:t>
      </w:r>
      <w:proofErr w:type="gramStart"/>
      <w:r>
        <w:rPr>
          <w:rFonts w:ascii="Arial" w:hAnsi="Arial" w:cs="Arial"/>
          <w:b/>
          <w:sz w:val="22"/>
        </w:rPr>
        <w:t>name :</w:t>
      </w:r>
      <w:proofErr w:type="gramEnd"/>
      <w:r>
        <w:rPr>
          <w:rFonts w:ascii="Arial" w:hAnsi="Arial" w:cs="Arial"/>
          <w:b/>
          <w:sz w:val="22"/>
        </w:rPr>
        <w:t xml:space="preserve"> Zakyia Ahmed</w:t>
      </w:r>
    </w:p>
    <w:p w14:paraId="02D7329A" w14:textId="3446832C" w:rsidR="00E66606" w:rsidRPr="00FB62E5" w:rsidRDefault="00555065" w:rsidP="00FB62E5">
      <w:pPr>
        <w:spacing w:line="360" w:lineRule="auto"/>
        <w:jc w:val="center"/>
        <w:rPr>
          <w:rFonts w:ascii="Arial" w:hAnsi="Arial" w:cs="Arial"/>
          <w:b/>
          <w:sz w:val="22"/>
        </w:rPr>
      </w:pPr>
      <w:r w:rsidRPr="00FB62E5">
        <w:rPr>
          <w:rFonts w:ascii="Arial" w:hAnsi="Arial" w:cs="Arial"/>
          <w:b/>
          <w:sz w:val="22"/>
        </w:rPr>
        <w:t>Module Title</w:t>
      </w:r>
      <w:r w:rsidR="00A82B9E" w:rsidRPr="00FB62E5">
        <w:rPr>
          <w:rFonts w:ascii="Arial" w:hAnsi="Arial" w:cs="Arial"/>
          <w:b/>
          <w:sz w:val="22"/>
        </w:rPr>
        <w:t>: Digital Transformation in the Health and Care Professions</w:t>
      </w:r>
    </w:p>
    <w:p w14:paraId="346012FE" w14:textId="20980DEC" w:rsidR="00E66606" w:rsidRPr="00FB62E5" w:rsidRDefault="00555065" w:rsidP="00FB62E5">
      <w:pPr>
        <w:spacing w:line="360" w:lineRule="auto"/>
        <w:jc w:val="center"/>
        <w:rPr>
          <w:rFonts w:ascii="Arial" w:hAnsi="Arial" w:cs="Arial"/>
          <w:b/>
          <w:sz w:val="22"/>
        </w:rPr>
      </w:pPr>
      <w:r w:rsidRPr="00FB62E5">
        <w:rPr>
          <w:rFonts w:ascii="Arial" w:hAnsi="Arial" w:cs="Arial"/>
          <w:b/>
          <w:sz w:val="22"/>
        </w:rPr>
        <w:t>Assignment Title</w:t>
      </w:r>
      <w:r w:rsidR="00311040" w:rsidRPr="00FB62E5">
        <w:rPr>
          <w:rFonts w:ascii="Arial" w:hAnsi="Arial" w:cs="Arial"/>
          <w:b/>
          <w:sz w:val="22"/>
        </w:rPr>
        <w:t>: Component 1: Written Report</w:t>
      </w:r>
    </w:p>
    <w:p w14:paraId="045AE21E" w14:textId="2DA14209" w:rsidR="00CF05E0" w:rsidRPr="00FB62E5" w:rsidRDefault="00555065" w:rsidP="00FB62E5">
      <w:pPr>
        <w:spacing w:line="360" w:lineRule="auto"/>
        <w:rPr>
          <w:rFonts w:ascii="Arial" w:hAnsi="Arial" w:cs="Arial"/>
          <w:b/>
          <w:sz w:val="22"/>
        </w:rPr>
      </w:pPr>
      <w:r w:rsidRPr="00FB62E5">
        <w:rPr>
          <w:rFonts w:ascii="Arial" w:hAnsi="Arial" w:cs="Arial"/>
          <w:b/>
          <w:sz w:val="22"/>
        </w:rPr>
        <w:br w:type="page"/>
      </w:r>
    </w:p>
    <w:sdt>
      <w:sdtPr>
        <w:rPr>
          <w:rFonts w:ascii="Arial" w:eastAsiaTheme="minorHAnsi" w:hAnsi="Arial" w:cs="Arial"/>
          <w:color w:val="auto"/>
          <w:sz w:val="22"/>
          <w:szCs w:val="22"/>
          <w:lang w:val="en-GB"/>
        </w:rPr>
        <w:id w:val="1001777256"/>
        <w:docPartObj>
          <w:docPartGallery w:val="Table of Contents"/>
          <w:docPartUnique/>
        </w:docPartObj>
      </w:sdtPr>
      <w:sdtEndPr>
        <w:rPr>
          <w:b/>
          <w:bCs/>
          <w:noProof/>
        </w:rPr>
      </w:sdtEndPr>
      <w:sdtContent>
        <w:p w14:paraId="24905422" w14:textId="13325B1D" w:rsidR="00CF05E0" w:rsidRPr="00FB62E5" w:rsidRDefault="00555065" w:rsidP="00FB62E5">
          <w:pPr>
            <w:pStyle w:val="TOCHeading"/>
            <w:spacing w:line="360" w:lineRule="auto"/>
            <w:rPr>
              <w:rFonts w:ascii="Arial" w:hAnsi="Arial" w:cs="Arial"/>
              <w:i/>
              <w:iCs/>
              <w:color w:val="auto"/>
              <w:sz w:val="22"/>
              <w:szCs w:val="22"/>
            </w:rPr>
          </w:pPr>
          <w:r w:rsidRPr="00FB62E5">
            <w:rPr>
              <w:rFonts w:ascii="Arial" w:hAnsi="Arial" w:cs="Arial"/>
              <w:i/>
              <w:iCs/>
              <w:color w:val="auto"/>
              <w:sz w:val="22"/>
              <w:szCs w:val="22"/>
            </w:rPr>
            <w:t>Table of Contents</w:t>
          </w:r>
        </w:p>
        <w:p w14:paraId="7D0C841A" w14:textId="3FB149FB" w:rsidR="00CF05E0" w:rsidRPr="00FB62E5" w:rsidRDefault="00555065" w:rsidP="00FB62E5">
          <w:pPr>
            <w:pStyle w:val="TOC1"/>
            <w:tabs>
              <w:tab w:val="right" w:leader="dot" w:pos="9350"/>
            </w:tabs>
            <w:spacing w:line="360" w:lineRule="auto"/>
            <w:rPr>
              <w:rFonts w:ascii="Arial" w:hAnsi="Arial" w:cs="Arial"/>
              <w:noProof/>
              <w:sz w:val="22"/>
            </w:rPr>
          </w:pPr>
          <w:r w:rsidRPr="00FB62E5">
            <w:rPr>
              <w:rFonts w:ascii="Arial" w:hAnsi="Arial" w:cs="Arial"/>
              <w:sz w:val="22"/>
            </w:rPr>
            <w:fldChar w:fldCharType="begin"/>
          </w:r>
          <w:r w:rsidRPr="00FB62E5">
            <w:rPr>
              <w:rFonts w:ascii="Arial" w:hAnsi="Arial" w:cs="Arial"/>
              <w:sz w:val="22"/>
            </w:rPr>
            <w:instrText xml:space="preserve"> TOC \o "1-3" \h \z \u </w:instrText>
          </w:r>
          <w:r w:rsidRPr="00FB62E5">
            <w:rPr>
              <w:rFonts w:ascii="Arial" w:hAnsi="Arial" w:cs="Arial"/>
              <w:sz w:val="22"/>
            </w:rPr>
            <w:fldChar w:fldCharType="separate"/>
          </w:r>
          <w:hyperlink w:anchor="_Toc211968755" w:history="1">
            <w:r w:rsidRPr="00FB62E5">
              <w:rPr>
                <w:rStyle w:val="Hyperlink"/>
                <w:rFonts w:ascii="Arial" w:hAnsi="Arial" w:cs="Arial"/>
                <w:noProof/>
                <w:color w:val="auto"/>
                <w:sz w:val="22"/>
              </w:rPr>
              <w:t>Introduction</w:t>
            </w:r>
            <w:r w:rsidRPr="00FB62E5">
              <w:rPr>
                <w:rFonts w:ascii="Arial" w:hAnsi="Arial" w:cs="Arial"/>
                <w:noProof/>
                <w:webHidden/>
                <w:sz w:val="22"/>
              </w:rPr>
              <w:tab/>
            </w:r>
            <w:r w:rsidRPr="00FB62E5">
              <w:rPr>
                <w:rFonts w:ascii="Arial" w:hAnsi="Arial" w:cs="Arial"/>
                <w:noProof/>
                <w:webHidden/>
                <w:sz w:val="22"/>
              </w:rPr>
              <w:fldChar w:fldCharType="begin"/>
            </w:r>
            <w:r w:rsidRPr="00FB62E5">
              <w:rPr>
                <w:rFonts w:ascii="Arial" w:hAnsi="Arial" w:cs="Arial"/>
                <w:noProof/>
                <w:webHidden/>
                <w:sz w:val="22"/>
              </w:rPr>
              <w:instrText xml:space="preserve"> PAGEREF _Toc211968755 \h </w:instrText>
            </w:r>
            <w:r w:rsidRPr="00FB62E5">
              <w:rPr>
                <w:rFonts w:ascii="Arial" w:hAnsi="Arial" w:cs="Arial"/>
                <w:noProof/>
                <w:webHidden/>
                <w:sz w:val="22"/>
              </w:rPr>
            </w:r>
            <w:r w:rsidRPr="00FB62E5">
              <w:rPr>
                <w:rFonts w:ascii="Arial" w:hAnsi="Arial" w:cs="Arial"/>
                <w:noProof/>
                <w:webHidden/>
                <w:sz w:val="22"/>
              </w:rPr>
              <w:fldChar w:fldCharType="separate"/>
            </w:r>
            <w:r w:rsidRPr="00FB62E5">
              <w:rPr>
                <w:rFonts w:ascii="Arial" w:hAnsi="Arial" w:cs="Arial"/>
                <w:noProof/>
                <w:webHidden/>
                <w:sz w:val="22"/>
              </w:rPr>
              <w:t>3</w:t>
            </w:r>
            <w:r w:rsidRPr="00FB62E5">
              <w:rPr>
                <w:rFonts w:ascii="Arial" w:hAnsi="Arial" w:cs="Arial"/>
                <w:noProof/>
                <w:webHidden/>
                <w:sz w:val="22"/>
              </w:rPr>
              <w:fldChar w:fldCharType="end"/>
            </w:r>
          </w:hyperlink>
        </w:p>
        <w:p w14:paraId="6434D48D" w14:textId="160E3C87" w:rsidR="00CF05E0" w:rsidRPr="00FB62E5" w:rsidRDefault="00555065" w:rsidP="00FB62E5">
          <w:pPr>
            <w:pStyle w:val="TOC1"/>
            <w:tabs>
              <w:tab w:val="right" w:leader="dot" w:pos="9350"/>
            </w:tabs>
            <w:spacing w:line="360" w:lineRule="auto"/>
            <w:rPr>
              <w:rFonts w:ascii="Arial" w:hAnsi="Arial" w:cs="Arial"/>
              <w:noProof/>
              <w:sz w:val="22"/>
            </w:rPr>
          </w:pPr>
          <w:hyperlink w:anchor="_Toc211968756" w:history="1">
            <w:r w:rsidRPr="00FB62E5">
              <w:rPr>
                <w:rStyle w:val="Hyperlink"/>
                <w:rFonts w:ascii="Arial" w:hAnsi="Arial" w:cs="Arial"/>
                <w:noProof/>
                <w:color w:val="auto"/>
                <w:sz w:val="22"/>
              </w:rPr>
              <w:t>Main Body</w:t>
            </w:r>
            <w:r w:rsidRPr="00FB62E5">
              <w:rPr>
                <w:rFonts w:ascii="Arial" w:hAnsi="Arial" w:cs="Arial"/>
                <w:noProof/>
                <w:webHidden/>
                <w:sz w:val="22"/>
              </w:rPr>
              <w:tab/>
            </w:r>
            <w:r w:rsidRPr="00FB62E5">
              <w:rPr>
                <w:rFonts w:ascii="Arial" w:hAnsi="Arial" w:cs="Arial"/>
                <w:noProof/>
                <w:webHidden/>
                <w:sz w:val="22"/>
              </w:rPr>
              <w:fldChar w:fldCharType="begin"/>
            </w:r>
            <w:r w:rsidRPr="00FB62E5">
              <w:rPr>
                <w:rFonts w:ascii="Arial" w:hAnsi="Arial" w:cs="Arial"/>
                <w:noProof/>
                <w:webHidden/>
                <w:sz w:val="22"/>
              </w:rPr>
              <w:instrText xml:space="preserve"> PAGEREF _Toc211968756 \h </w:instrText>
            </w:r>
            <w:r w:rsidRPr="00FB62E5">
              <w:rPr>
                <w:rFonts w:ascii="Arial" w:hAnsi="Arial" w:cs="Arial"/>
                <w:noProof/>
                <w:webHidden/>
                <w:sz w:val="22"/>
              </w:rPr>
            </w:r>
            <w:r w:rsidRPr="00FB62E5">
              <w:rPr>
                <w:rFonts w:ascii="Arial" w:hAnsi="Arial" w:cs="Arial"/>
                <w:noProof/>
                <w:webHidden/>
                <w:sz w:val="22"/>
              </w:rPr>
              <w:fldChar w:fldCharType="separate"/>
            </w:r>
            <w:r w:rsidRPr="00FB62E5">
              <w:rPr>
                <w:rFonts w:ascii="Arial" w:hAnsi="Arial" w:cs="Arial"/>
                <w:noProof/>
                <w:webHidden/>
                <w:sz w:val="22"/>
              </w:rPr>
              <w:t>3</w:t>
            </w:r>
            <w:r w:rsidRPr="00FB62E5">
              <w:rPr>
                <w:rFonts w:ascii="Arial" w:hAnsi="Arial" w:cs="Arial"/>
                <w:noProof/>
                <w:webHidden/>
                <w:sz w:val="22"/>
              </w:rPr>
              <w:fldChar w:fldCharType="end"/>
            </w:r>
          </w:hyperlink>
        </w:p>
        <w:p w14:paraId="59CB0FD8" w14:textId="3075BD16" w:rsidR="00CF05E0" w:rsidRPr="00FB62E5" w:rsidRDefault="00555065" w:rsidP="00FB62E5">
          <w:pPr>
            <w:pStyle w:val="TOC2"/>
            <w:tabs>
              <w:tab w:val="right" w:leader="dot" w:pos="9350"/>
            </w:tabs>
            <w:spacing w:line="360" w:lineRule="auto"/>
            <w:rPr>
              <w:rFonts w:ascii="Arial" w:hAnsi="Arial" w:cs="Arial"/>
              <w:noProof/>
              <w:sz w:val="22"/>
            </w:rPr>
          </w:pPr>
          <w:hyperlink w:anchor="_Toc211968757" w:history="1">
            <w:r w:rsidRPr="00FB62E5">
              <w:rPr>
                <w:rStyle w:val="Hyperlink"/>
                <w:rFonts w:ascii="Arial" w:hAnsi="Arial" w:cs="Arial"/>
                <w:noProof/>
                <w:color w:val="auto"/>
                <w:sz w:val="22"/>
                <w:lang w:val="en-US"/>
              </w:rPr>
              <w:t>Service Delivery</w:t>
            </w:r>
            <w:r w:rsidRPr="00FB62E5">
              <w:rPr>
                <w:rFonts w:ascii="Arial" w:hAnsi="Arial" w:cs="Arial"/>
                <w:noProof/>
                <w:webHidden/>
                <w:sz w:val="22"/>
              </w:rPr>
              <w:tab/>
            </w:r>
            <w:r w:rsidRPr="00FB62E5">
              <w:rPr>
                <w:rFonts w:ascii="Arial" w:hAnsi="Arial" w:cs="Arial"/>
                <w:noProof/>
                <w:webHidden/>
                <w:sz w:val="22"/>
              </w:rPr>
              <w:fldChar w:fldCharType="begin"/>
            </w:r>
            <w:r w:rsidRPr="00FB62E5">
              <w:rPr>
                <w:rFonts w:ascii="Arial" w:hAnsi="Arial" w:cs="Arial"/>
                <w:noProof/>
                <w:webHidden/>
                <w:sz w:val="22"/>
              </w:rPr>
              <w:instrText xml:space="preserve"> PAGEREF _Toc211968757 \h </w:instrText>
            </w:r>
            <w:r w:rsidRPr="00FB62E5">
              <w:rPr>
                <w:rFonts w:ascii="Arial" w:hAnsi="Arial" w:cs="Arial"/>
                <w:noProof/>
                <w:webHidden/>
                <w:sz w:val="22"/>
              </w:rPr>
            </w:r>
            <w:r w:rsidRPr="00FB62E5">
              <w:rPr>
                <w:rFonts w:ascii="Arial" w:hAnsi="Arial" w:cs="Arial"/>
                <w:noProof/>
                <w:webHidden/>
                <w:sz w:val="22"/>
              </w:rPr>
              <w:fldChar w:fldCharType="separate"/>
            </w:r>
            <w:r w:rsidRPr="00FB62E5">
              <w:rPr>
                <w:rFonts w:ascii="Arial" w:hAnsi="Arial" w:cs="Arial"/>
                <w:noProof/>
                <w:webHidden/>
                <w:sz w:val="22"/>
              </w:rPr>
              <w:t>3</w:t>
            </w:r>
            <w:r w:rsidRPr="00FB62E5">
              <w:rPr>
                <w:rFonts w:ascii="Arial" w:hAnsi="Arial" w:cs="Arial"/>
                <w:noProof/>
                <w:webHidden/>
                <w:sz w:val="22"/>
              </w:rPr>
              <w:fldChar w:fldCharType="end"/>
            </w:r>
          </w:hyperlink>
        </w:p>
        <w:p w14:paraId="5E2BBD84" w14:textId="4DCB631C" w:rsidR="00CF05E0" w:rsidRPr="00FB62E5" w:rsidRDefault="00555065" w:rsidP="00FB62E5">
          <w:pPr>
            <w:pStyle w:val="TOC2"/>
            <w:tabs>
              <w:tab w:val="right" w:leader="dot" w:pos="9350"/>
            </w:tabs>
            <w:spacing w:line="360" w:lineRule="auto"/>
            <w:rPr>
              <w:rFonts w:ascii="Arial" w:hAnsi="Arial" w:cs="Arial"/>
              <w:noProof/>
              <w:sz w:val="22"/>
            </w:rPr>
          </w:pPr>
          <w:hyperlink w:anchor="_Toc211968758" w:history="1">
            <w:r w:rsidRPr="00FB62E5">
              <w:rPr>
                <w:rStyle w:val="Hyperlink"/>
                <w:rFonts w:ascii="Arial" w:hAnsi="Arial" w:cs="Arial"/>
                <w:noProof/>
                <w:color w:val="auto"/>
                <w:sz w:val="22"/>
              </w:rPr>
              <w:t>Patient/Service User</w:t>
            </w:r>
            <w:r w:rsidRPr="00FB62E5">
              <w:rPr>
                <w:rFonts w:ascii="Arial" w:hAnsi="Arial" w:cs="Arial"/>
                <w:noProof/>
                <w:webHidden/>
                <w:sz w:val="22"/>
              </w:rPr>
              <w:tab/>
            </w:r>
            <w:r w:rsidRPr="00FB62E5">
              <w:rPr>
                <w:rFonts w:ascii="Arial" w:hAnsi="Arial" w:cs="Arial"/>
                <w:noProof/>
                <w:webHidden/>
                <w:sz w:val="22"/>
              </w:rPr>
              <w:fldChar w:fldCharType="begin"/>
            </w:r>
            <w:r w:rsidRPr="00FB62E5">
              <w:rPr>
                <w:rFonts w:ascii="Arial" w:hAnsi="Arial" w:cs="Arial"/>
                <w:noProof/>
                <w:webHidden/>
                <w:sz w:val="22"/>
              </w:rPr>
              <w:instrText xml:space="preserve"> PAGEREF _Toc211968758 \h </w:instrText>
            </w:r>
            <w:r w:rsidRPr="00FB62E5">
              <w:rPr>
                <w:rFonts w:ascii="Arial" w:hAnsi="Arial" w:cs="Arial"/>
                <w:noProof/>
                <w:webHidden/>
                <w:sz w:val="22"/>
              </w:rPr>
            </w:r>
            <w:r w:rsidRPr="00FB62E5">
              <w:rPr>
                <w:rFonts w:ascii="Arial" w:hAnsi="Arial" w:cs="Arial"/>
                <w:noProof/>
                <w:webHidden/>
                <w:sz w:val="22"/>
              </w:rPr>
              <w:fldChar w:fldCharType="separate"/>
            </w:r>
            <w:r w:rsidRPr="00FB62E5">
              <w:rPr>
                <w:rFonts w:ascii="Arial" w:hAnsi="Arial" w:cs="Arial"/>
                <w:noProof/>
                <w:webHidden/>
                <w:sz w:val="22"/>
              </w:rPr>
              <w:t>5</w:t>
            </w:r>
            <w:r w:rsidRPr="00FB62E5">
              <w:rPr>
                <w:rFonts w:ascii="Arial" w:hAnsi="Arial" w:cs="Arial"/>
                <w:noProof/>
                <w:webHidden/>
                <w:sz w:val="22"/>
              </w:rPr>
              <w:fldChar w:fldCharType="end"/>
            </w:r>
          </w:hyperlink>
        </w:p>
        <w:p w14:paraId="4F1247F2" w14:textId="4629C011" w:rsidR="00CF05E0" w:rsidRPr="00FB62E5" w:rsidRDefault="00555065" w:rsidP="00FB62E5">
          <w:pPr>
            <w:pStyle w:val="TOC1"/>
            <w:tabs>
              <w:tab w:val="right" w:leader="dot" w:pos="9350"/>
            </w:tabs>
            <w:spacing w:line="360" w:lineRule="auto"/>
            <w:rPr>
              <w:rFonts w:ascii="Arial" w:hAnsi="Arial" w:cs="Arial"/>
              <w:noProof/>
              <w:sz w:val="22"/>
            </w:rPr>
          </w:pPr>
          <w:hyperlink w:anchor="_Toc211968759" w:history="1">
            <w:r w:rsidRPr="00FB62E5">
              <w:rPr>
                <w:rStyle w:val="Hyperlink"/>
                <w:rFonts w:ascii="Arial" w:hAnsi="Arial" w:cs="Arial"/>
                <w:noProof/>
                <w:color w:val="auto"/>
                <w:sz w:val="22"/>
                <w:lang w:val="en-US"/>
              </w:rPr>
              <w:t>Conclusion and Recommendation</w:t>
            </w:r>
            <w:r w:rsidRPr="00FB62E5">
              <w:rPr>
                <w:rFonts w:ascii="Arial" w:hAnsi="Arial" w:cs="Arial"/>
                <w:noProof/>
                <w:webHidden/>
                <w:sz w:val="22"/>
              </w:rPr>
              <w:tab/>
            </w:r>
            <w:r w:rsidRPr="00FB62E5">
              <w:rPr>
                <w:rFonts w:ascii="Arial" w:hAnsi="Arial" w:cs="Arial"/>
                <w:noProof/>
                <w:webHidden/>
                <w:sz w:val="22"/>
              </w:rPr>
              <w:fldChar w:fldCharType="begin"/>
            </w:r>
            <w:r w:rsidRPr="00FB62E5">
              <w:rPr>
                <w:rFonts w:ascii="Arial" w:hAnsi="Arial" w:cs="Arial"/>
                <w:noProof/>
                <w:webHidden/>
                <w:sz w:val="22"/>
              </w:rPr>
              <w:instrText xml:space="preserve"> PAGEREF _Toc211968759 \h </w:instrText>
            </w:r>
            <w:r w:rsidRPr="00FB62E5">
              <w:rPr>
                <w:rFonts w:ascii="Arial" w:hAnsi="Arial" w:cs="Arial"/>
                <w:noProof/>
                <w:webHidden/>
                <w:sz w:val="22"/>
              </w:rPr>
            </w:r>
            <w:r w:rsidRPr="00FB62E5">
              <w:rPr>
                <w:rFonts w:ascii="Arial" w:hAnsi="Arial" w:cs="Arial"/>
                <w:noProof/>
                <w:webHidden/>
                <w:sz w:val="22"/>
              </w:rPr>
              <w:fldChar w:fldCharType="separate"/>
            </w:r>
            <w:r w:rsidRPr="00FB62E5">
              <w:rPr>
                <w:rFonts w:ascii="Arial" w:hAnsi="Arial" w:cs="Arial"/>
                <w:noProof/>
                <w:webHidden/>
                <w:sz w:val="22"/>
              </w:rPr>
              <w:t>7</w:t>
            </w:r>
            <w:r w:rsidRPr="00FB62E5">
              <w:rPr>
                <w:rFonts w:ascii="Arial" w:hAnsi="Arial" w:cs="Arial"/>
                <w:noProof/>
                <w:webHidden/>
                <w:sz w:val="22"/>
              </w:rPr>
              <w:fldChar w:fldCharType="end"/>
            </w:r>
          </w:hyperlink>
        </w:p>
        <w:p w14:paraId="0B5EE456" w14:textId="184671D9" w:rsidR="00CF05E0" w:rsidRPr="00FB62E5" w:rsidRDefault="00555065" w:rsidP="00FB62E5">
          <w:pPr>
            <w:pStyle w:val="TOC1"/>
            <w:tabs>
              <w:tab w:val="right" w:leader="dot" w:pos="9350"/>
            </w:tabs>
            <w:spacing w:line="360" w:lineRule="auto"/>
            <w:rPr>
              <w:rFonts w:ascii="Arial" w:hAnsi="Arial" w:cs="Arial"/>
              <w:noProof/>
              <w:sz w:val="22"/>
            </w:rPr>
          </w:pPr>
          <w:hyperlink w:anchor="_Toc211968760" w:history="1">
            <w:r w:rsidRPr="00FB62E5">
              <w:rPr>
                <w:rStyle w:val="Hyperlink"/>
                <w:rFonts w:ascii="Arial" w:hAnsi="Arial" w:cs="Arial"/>
                <w:noProof/>
                <w:color w:val="auto"/>
                <w:sz w:val="22"/>
                <w:lang w:val="en-US"/>
              </w:rPr>
              <w:t>References</w:t>
            </w:r>
            <w:r w:rsidRPr="00FB62E5">
              <w:rPr>
                <w:rFonts w:ascii="Arial" w:hAnsi="Arial" w:cs="Arial"/>
                <w:noProof/>
                <w:webHidden/>
                <w:sz w:val="22"/>
              </w:rPr>
              <w:tab/>
            </w:r>
            <w:r w:rsidRPr="00FB62E5">
              <w:rPr>
                <w:rFonts w:ascii="Arial" w:hAnsi="Arial" w:cs="Arial"/>
                <w:noProof/>
                <w:webHidden/>
                <w:sz w:val="22"/>
              </w:rPr>
              <w:fldChar w:fldCharType="begin"/>
            </w:r>
            <w:r w:rsidRPr="00FB62E5">
              <w:rPr>
                <w:rFonts w:ascii="Arial" w:hAnsi="Arial" w:cs="Arial"/>
                <w:noProof/>
                <w:webHidden/>
                <w:sz w:val="22"/>
              </w:rPr>
              <w:instrText xml:space="preserve"> PAGEREF _Toc211968760 \h </w:instrText>
            </w:r>
            <w:r w:rsidRPr="00FB62E5">
              <w:rPr>
                <w:rFonts w:ascii="Arial" w:hAnsi="Arial" w:cs="Arial"/>
                <w:noProof/>
                <w:webHidden/>
                <w:sz w:val="22"/>
              </w:rPr>
            </w:r>
            <w:r w:rsidRPr="00FB62E5">
              <w:rPr>
                <w:rFonts w:ascii="Arial" w:hAnsi="Arial" w:cs="Arial"/>
                <w:noProof/>
                <w:webHidden/>
                <w:sz w:val="22"/>
              </w:rPr>
              <w:fldChar w:fldCharType="separate"/>
            </w:r>
            <w:r w:rsidRPr="00FB62E5">
              <w:rPr>
                <w:rFonts w:ascii="Arial" w:hAnsi="Arial" w:cs="Arial"/>
                <w:noProof/>
                <w:webHidden/>
                <w:sz w:val="22"/>
              </w:rPr>
              <w:t>8</w:t>
            </w:r>
            <w:r w:rsidRPr="00FB62E5">
              <w:rPr>
                <w:rFonts w:ascii="Arial" w:hAnsi="Arial" w:cs="Arial"/>
                <w:noProof/>
                <w:webHidden/>
                <w:sz w:val="22"/>
              </w:rPr>
              <w:fldChar w:fldCharType="end"/>
            </w:r>
          </w:hyperlink>
        </w:p>
        <w:p w14:paraId="4FF86D93" w14:textId="618A56D7" w:rsidR="00CF05E0" w:rsidRPr="00FB62E5" w:rsidRDefault="00555065" w:rsidP="00FB62E5">
          <w:pPr>
            <w:spacing w:line="360" w:lineRule="auto"/>
            <w:rPr>
              <w:rFonts w:ascii="Arial" w:hAnsi="Arial" w:cs="Arial"/>
              <w:sz w:val="22"/>
            </w:rPr>
          </w:pPr>
          <w:r w:rsidRPr="00FB62E5">
            <w:rPr>
              <w:rFonts w:ascii="Arial" w:hAnsi="Arial" w:cs="Arial"/>
              <w:b/>
              <w:bCs/>
              <w:noProof/>
              <w:sz w:val="22"/>
            </w:rPr>
            <w:fldChar w:fldCharType="end"/>
          </w:r>
        </w:p>
      </w:sdtContent>
    </w:sdt>
    <w:p w14:paraId="1E6F2265" w14:textId="77777777" w:rsidR="00CF05E0" w:rsidRPr="00FB62E5" w:rsidRDefault="00CF05E0" w:rsidP="00FB62E5">
      <w:pPr>
        <w:spacing w:line="360" w:lineRule="auto"/>
        <w:rPr>
          <w:rFonts w:ascii="Arial" w:hAnsi="Arial" w:cs="Arial"/>
          <w:bCs/>
          <w:sz w:val="22"/>
        </w:rPr>
      </w:pPr>
    </w:p>
    <w:p w14:paraId="71AA1B4A" w14:textId="25E5DE12" w:rsidR="008B3DC2" w:rsidRPr="00FB62E5" w:rsidRDefault="008B3DC2" w:rsidP="00FB62E5">
      <w:pPr>
        <w:spacing w:line="360" w:lineRule="auto"/>
        <w:rPr>
          <w:rFonts w:ascii="Arial" w:hAnsi="Arial" w:cs="Arial"/>
          <w:sz w:val="22"/>
        </w:rPr>
      </w:pPr>
    </w:p>
    <w:p w14:paraId="7E851980" w14:textId="53302FD8" w:rsidR="008B3DC2" w:rsidRPr="00FB62E5" w:rsidRDefault="00555065" w:rsidP="00FB62E5">
      <w:pPr>
        <w:spacing w:line="360" w:lineRule="auto"/>
        <w:rPr>
          <w:rFonts w:ascii="Arial" w:hAnsi="Arial" w:cs="Arial"/>
          <w:sz w:val="22"/>
        </w:rPr>
      </w:pPr>
      <w:r w:rsidRPr="00FB62E5">
        <w:rPr>
          <w:rFonts w:ascii="Arial" w:hAnsi="Arial" w:cs="Arial"/>
          <w:sz w:val="22"/>
        </w:rPr>
        <w:br w:type="page"/>
      </w:r>
    </w:p>
    <w:p w14:paraId="505FA54E" w14:textId="5136B9AE" w:rsidR="00F275D2" w:rsidRPr="00FB62E5" w:rsidRDefault="00555065" w:rsidP="00FB62E5">
      <w:pPr>
        <w:pStyle w:val="Heading1"/>
        <w:spacing w:line="360" w:lineRule="auto"/>
        <w:rPr>
          <w:rFonts w:ascii="Arial" w:hAnsi="Arial" w:cs="Arial"/>
          <w:sz w:val="22"/>
          <w:szCs w:val="22"/>
        </w:rPr>
      </w:pPr>
      <w:bookmarkStart w:id="0" w:name="_Toc211968755"/>
      <w:r w:rsidRPr="00FB62E5">
        <w:rPr>
          <w:rFonts w:ascii="Arial" w:hAnsi="Arial" w:cs="Arial"/>
          <w:sz w:val="22"/>
          <w:szCs w:val="22"/>
        </w:rPr>
        <w:lastRenderedPageBreak/>
        <w:t>Introduction</w:t>
      </w:r>
      <w:bookmarkEnd w:id="0"/>
      <w:r w:rsidRPr="00FB62E5">
        <w:rPr>
          <w:rFonts w:ascii="Arial" w:hAnsi="Arial" w:cs="Arial"/>
          <w:sz w:val="22"/>
          <w:szCs w:val="22"/>
        </w:rPr>
        <w:t xml:space="preserve"> </w:t>
      </w:r>
    </w:p>
    <w:p w14:paraId="4159A5C9" w14:textId="04579DDF" w:rsidR="00D0565C" w:rsidRPr="00FB62E5" w:rsidRDefault="00555065" w:rsidP="00FB62E5">
      <w:pPr>
        <w:spacing w:line="360" w:lineRule="auto"/>
        <w:rPr>
          <w:rFonts w:ascii="Arial" w:hAnsi="Arial" w:cs="Arial"/>
          <w:sz w:val="22"/>
        </w:rPr>
      </w:pPr>
      <w:r w:rsidRPr="00FB62E5">
        <w:rPr>
          <w:rFonts w:ascii="Arial" w:hAnsi="Arial" w:cs="Arial"/>
          <w:sz w:val="22"/>
        </w:rPr>
        <w:t>Digital Social Care Records (DSCRs) are an important part of the digital revolution of adult social care in England. DSCRs are electronic systems developed by the Department of Health and Social Care (DHSC) in 2021 and were created to replace traditional paper-based care plans, thus offering real-time access to quality up-to-date information on the needs and preferences of individuals in relation to their care (NHS Transformation Directorate, 2025). One of the most interesting aspects of this innovation is that it aims to solve the long-existing issues in social care, including the lack of information exchange, records duplication, and delays in decision-making (King’s Fund, 2023). The DSCRs improve service delivery, coordination, safety, and responsiveness because of the ability to retrieve care data in real time, across multidisciplinary teams, and have confidence in its safety and security. The project is part of the wider vision of the UK government of a completely digitised health and care system, as expressed in the white paper titled People at the Heart of Care (DHSC, 2025). The purpose of this report is to critically analyse how the introduction of DSCRs has changed the nature of service delivery and elucidated service-user experiences in social care. In the following discussion, the benefits and challenges of DSCR adoption will be addressed based on the modern evidence of practice and research.</w:t>
      </w:r>
    </w:p>
    <w:p w14:paraId="49ED26BB" w14:textId="77777777" w:rsidR="002E650A" w:rsidRPr="00FB62E5" w:rsidRDefault="002E650A" w:rsidP="00FB62E5">
      <w:pPr>
        <w:spacing w:line="360" w:lineRule="auto"/>
        <w:rPr>
          <w:rFonts w:ascii="Arial" w:hAnsi="Arial" w:cs="Arial"/>
          <w:sz w:val="22"/>
        </w:rPr>
      </w:pPr>
    </w:p>
    <w:p w14:paraId="737CF236" w14:textId="0FBD8427" w:rsidR="00D0565C" w:rsidRPr="00FB62E5" w:rsidRDefault="00555065" w:rsidP="00FB62E5">
      <w:pPr>
        <w:pStyle w:val="Heading1"/>
        <w:spacing w:line="360" w:lineRule="auto"/>
        <w:rPr>
          <w:rFonts w:ascii="Arial" w:hAnsi="Arial" w:cs="Arial"/>
          <w:sz w:val="22"/>
          <w:szCs w:val="22"/>
        </w:rPr>
      </w:pPr>
      <w:bookmarkStart w:id="1" w:name="_Toc211968756"/>
      <w:r w:rsidRPr="00FB62E5">
        <w:rPr>
          <w:rFonts w:ascii="Arial" w:hAnsi="Arial" w:cs="Arial"/>
          <w:sz w:val="22"/>
          <w:szCs w:val="22"/>
        </w:rPr>
        <w:t>Main Body</w:t>
      </w:r>
      <w:bookmarkEnd w:id="1"/>
    </w:p>
    <w:p w14:paraId="3D49CBB1" w14:textId="77777777" w:rsidR="003F6C35" w:rsidRPr="00FB62E5" w:rsidRDefault="00555065" w:rsidP="00FB62E5">
      <w:pPr>
        <w:pStyle w:val="Heading2"/>
        <w:spacing w:line="360" w:lineRule="auto"/>
        <w:rPr>
          <w:rFonts w:ascii="Arial" w:hAnsi="Arial" w:cs="Arial"/>
          <w:sz w:val="22"/>
          <w:szCs w:val="22"/>
          <w:lang w:val="en-US"/>
        </w:rPr>
      </w:pPr>
      <w:bookmarkStart w:id="2" w:name="_Toc211968757"/>
      <w:r w:rsidRPr="00FB62E5">
        <w:rPr>
          <w:rFonts w:ascii="Arial" w:hAnsi="Arial" w:cs="Arial"/>
          <w:sz w:val="22"/>
          <w:szCs w:val="22"/>
          <w:lang w:val="en-US"/>
        </w:rPr>
        <w:t>Service Delivery</w:t>
      </w:r>
      <w:bookmarkEnd w:id="2"/>
    </w:p>
    <w:p w14:paraId="23BB2CDA" w14:textId="357688E7" w:rsidR="00895A34" w:rsidRPr="00FB62E5" w:rsidRDefault="00555065" w:rsidP="00FB62E5">
      <w:pPr>
        <w:spacing w:line="360" w:lineRule="auto"/>
        <w:rPr>
          <w:rFonts w:ascii="Arial" w:hAnsi="Arial" w:cs="Arial"/>
          <w:sz w:val="22"/>
          <w:lang w:val="en-US"/>
        </w:rPr>
      </w:pPr>
      <w:r w:rsidRPr="00FB62E5">
        <w:rPr>
          <w:rFonts w:ascii="Arial" w:hAnsi="Arial" w:cs="Arial"/>
          <w:sz w:val="22"/>
          <w:lang w:val="en-US"/>
        </w:rPr>
        <w:t xml:space="preserve">The introduction of Digital Social Care Records (DSCRs) is a major structural change in the provision of social care in the English context. The Department of Health and Social Care (DHSC, 2025) introduced the DSCR </w:t>
      </w:r>
      <w:proofErr w:type="spellStart"/>
      <w:r w:rsidRPr="00FB62E5">
        <w:rPr>
          <w:rFonts w:ascii="Arial" w:hAnsi="Arial" w:cs="Arial"/>
          <w:sz w:val="22"/>
          <w:lang w:val="en-US"/>
        </w:rPr>
        <w:t>programme</w:t>
      </w:r>
      <w:proofErr w:type="spellEnd"/>
      <w:r w:rsidRPr="00FB62E5">
        <w:rPr>
          <w:rFonts w:ascii="Arial" w:hAnsi="Arial" w:cs="Arial"/>
          <w:sz w:val="22"/>
          <w:lang w:val="en-US"/>
        </w:rPr>
        <w:t xml:space="preserve"> as one of the pillars of its digital transformation strategy, </w:t>
      </w:r>
      <w:r w:rsidRPr="00FB62E5">
        <w:rPr>
          <w:rFonts w:ascii="Arial" w:hAnsi="Arial" w:cs="Arial"/>
          <w:i/>
          <w:iCs/>
          <w:sz w:val="22"/>
          <w:lang w:val="en-US"/>
        </w:rPr>
        <w:t>"People at the Heart of Care"</w:t>
      </w:r>
      <w:r w:rsidRPr="00FB62E5">
        <w:rPr>
          <w:rFonts w:ascii="Arial" w:hAnsi="Arial" w:cs="Arial"/>
          <w:sz w:val="22"/>
          <w:lang w:val="en-US"/>
        </w:rPr>
        <w:t xml:space="preserve">, when it was first launched. Its declared aim was to replace </w:t>
      </w:r>
      <w:proofErr w:type="gramStart"/>
      <w:r w:rsidRPr="00FB62E5">
        <w:rPr>
          <w:rFonts w:ascii="Arial" w:hAnsi="Arial" w:cs="Arial"/>
          <w:sz w:val="22"/>
          <w:lang w:val="en-US"/>
        </w:rPr>
        <w:t>the paper</w:t>
      </w:r>
      <w:proofErr w:type="gramEnd"/>
      <w:r w:rsidRPr="00FB62E5">
        <w:rPr>
          <w:rFonts w:ascii="Arial" w:hAnsi="Arial" w:cs="Arial"/>
          <w:sz w:val="22"/>
          <w:lang w:val="en-US"/>
        </w:rPr>
        <w:t xml:space="preserve">-based and fragmented documentation with interoperable and real-time digital systems. The policy was not only intended to </w:t>
      </w:r>
      <w:proofErr w:type="spellStart"/>
      <w:r w:rsidRPr="00FB62E5">
        <w:rPr>
          <w:rFonts w:ascii="Arial" w:hAnsi="Arial" w:cs="Arial"/>
          <w:sz w:val="22"/>
          <w:lang w:val="en-US"/>
        </w:rPr>
        <w:t>modernise</w:t>
      </w:r>
      <w:proofErr w:type="spellEnd"/>
      <w:r w:rsidRPr="00FB62E5">
        <w:rPr>
          <w:rFonts w:ascii="Arial" w:hAnsi="Arial" w:cs="Arial"/>
          <w:sz w:val="22"/>
          <w:lang w:val="en-US"/>
        </w:rPr>
        <w:t xml:space="preserve"> the administrative processes but also to improve safety, efficiency, and responsiveness in the day-to-day care delivery. However, Snow et al. (2025) demonstrated that even with the strengthened access to data and changes to provider workflow, the implementation of DSCRs has demonstrated structural inequities and cultural barriers to their successful application.</w:t>
      </w:r>
    </w:p>
    <w:p w14:paraId="5822EDA9" w14:textId="7FAD3B78" w:rsidR="00ED6F04" w:rsidRPr="00FB62E5" w:rsidRDefault="00555065" w:rsidP="00FB62E5">
      <w:pPr>
        <w:spacing w:line="360" w:lineRule="auto"/>
        <w:rPr>
          <w:rFonts w:ascii="Arial" w:hAnsi="Arial" w:cs="Arial"/>
          <w:sz w:val="22"/>
          <w:lang w:val="en-US"/>
        </w:rPr>
      </w:pPr>
      <w:r w:rsidRPr="00FB62E5">
        <w:rPr>
          <w:rFonts w:ascii="Arial" w:hAnsi="Arial" w:cs="Arial"/>
          <w:sz w:val="22"/>
          <w:lang w:val="en-US"/>
        </w:rPr>
        <w:lastRenderedPageBreak/>
        <w:t xml:space="preserve">In operation, DSCRs have produced significant impacts on the day-to-day service delivery. According to the NHS Transformation Directorate (2025), implementing DSCRs by providers led to quicker access to records, fewer duplications, and continuation of care, which proved the efficiency of these systems. De Groot et al. (2022) measured a reduction of 25% maximum administrative burden to allow the staff to devote more time to direct care. However, the premise that </w:t>
      </w:r>
      <w:proofErr w:type="spellStart"/>
      <w:r w:rsidRPr="00FB62E5">
        <w:rPr>
          <w:rFonts w:ascii="Arial" w:hAnsi="Arial" w:cs="Arial"/>
          <w:sz w:val="22"/>
          <w:lang w:val="en-US"/>
        </w:rPr>
        <w:t>digitalisation</w:t>
      </w:r>
      <w:proofErr w:type="spellEnd"/>
      <w:r w:rsidRPr="00FB62E5">
        <w:rPr>
          <w:rFonts w:ascii="Arial" w:hAnsi="Arial" w:cs="Arial"/>
          <w:sz w:val="22"/>
          <w:lang w:val="en-US"/>
        </w:rPr>
        <w:t xml:space="preserve"> positively affects workflow is debatable. The study of Lima et al. (2025) argued that new technologies can </w:t>
      </w:r>
      <w:proofErr w:type="gramStart"/>
      <w:r w:rsidRPr="00FB62E5">
        <w:rPr>
          <w:rFonts w:ascii="Arial" w:hAnsi="Arial" w:cs="Arial"/>
          <w:sz w:val="22"/>
          <w:lang w:val="en-US"/>
        </w:rPr>
        <w:t>restructure, but</w:t>
      </w:r>
      <w:proofErr w:type="gramEnd"/>
      <w:r w:rsidRPr="00FB62E5">
        <w:rPr>
          <w:rFonts w:ascii="Arial" w:hAnsi="Arial" w:cs="Arial"/>
          <w:sz w:val="22"/>
          <w:lang w:val="en-US"/>
        </w:rPr>
        <w:t xml:space="preserve"> not reduce </w:t>
      </w:r>
      <w:proofErr w:type="spellStart"/>
      <w:r w:rsidRPr="00FB62E5">
        <w:rPr>
          <w:rFonts w:ascii="Arial" w:hAnsi="Arial" w:cs="Arial"/>
          <w:sz w:val="22"/>
          <w:lang w:val="en-US"/>
        </w:rPr>
        <w:t>labour</w:t>
      </w:r>
      <w:proofErr w:type="spellEnd"/>
      <w:r w:rsidRPr="00FB62E5">
        <w:rPr>
          <w:rFonts w:ascii="Arial" w:hAnsi="Arial" w:cs="Arial"/>
          <w:sz w:val="22"/>
          <w:lang w:val="en-US"/>
        </w:rPr>
        <w:t xml:space="preserve"> and bring about new types of </w:t>
      </w:r>
      <w:r w:rsidRPr="00FB62E5">
        <w:rPr>
          <w:rFonts w:ascii="Arial" w:hAnsi="Arial" w:cs="Arial"/>
          <w:i/>
          <w:iCs/>
          <w:sz w:val="22"/>
          <w:lang w:val="en-US"/>
        </w:rPr>
        <w:t xml:space="preserve">“digital bureaucracy.” </w:t>
      </w:r>
      <w:r w:rsidRPr="00FB62E5">
        <w:rPr>
          <w:rFonts w:ascii="Arial" w:hAnsi="Arial" w:cs="Arial"/>
          <w:sz w:val="22"/>
          <w:lang w:val="en-US"/>
        </w:rPr>
        <w:t xml:space="preserve">In practice, DSCRs are defined by a high level of data entry, updating, and auditing, which may place a heavy workload on the personnel (Sharma, 2024). Subsequently, any efficiency improvements are mostly dependent on the usability of the system, the quality of training, and compatibility with the current workflows. </w:t>
      </w:r>
    </w:p>
    <w:p w14:paraId="16000E80" w14:textId="3CB3F0D8" w:rsidR="00ED6F04" w:rsidRPr="00FB62E5" w:rsidRDefault="00555065" w:rsidP="00FB62E5">
      <w:pPr>
        <w:spacing w:line="360" w:lineRule="auto"/>
        <w:rPr>
          <w:rFonts w:ascii="Arial" w:hAnsi="Arial" w:cs="Arial"/>
          <w:sz w:val="22"/>
          <w:lang w:val="en-US"/>
        </w:rPr>
      </w:pPr>
      <w:r w:rsidRPr="00FB62E5">
        <w:rPr>
          <w:rFonts w:ascii="Arial" w:hAnsi="Arial" w:cs="Arial"/>
          <w:sz w:val="22"/>
          <w:lang w:val="en-US"/>
        </w:rPr>
        <w:t xml:space="preserve">The other important area that has been influenced by the implementation of DSCR is the process of communication transformation. CQC (2024) also observed that DSCRs would make quicker information exchange across care homes, domiciliary provision, and NHS partners, thus leading to timely intervention and </w:t>
      </w:r>
      <w:proofErr w:type="spellStart"/>
      <w:r w:rsidRPr="00FB62E5">
        <w:rPr>
          <w:rFonts w:ascii="Arial" w:hAnsi="Arial" w:cs="Arial"/>
          <w:sz w:val="22"/>
          <w:lang w:val="en-US"/>
        </w:rPr>
        <w:t>minimising</w:t>
      </w:r>
      <w:proofErr w:type="spellEnd"/>
      <w:r w:rsidRPr="00FB62E5">
        <w:rPr>
          <w:rFonts w:ascii="Arial" w:hAnsi="Arial" w:cs="Arial"/>
          <w:sz w:val="22"/>
          <w:lang w:val="en-US"/>
        </w:rPr>
        <w:t xml:space="preserve"> the risk of medication errors. These results are consistent with the findings of </w:t>
      </w:r>
      <w:proofErr w:type="spellStart"/>
      <w:r w:rsidRPr="00FB62E5">
        <w:rPr>
          <w:rFonts w:ascii="Arial" w:hAnsi="Arial" w:cs="Arial"/>
          <w:sz w:val="22"/>
          <w:lang w:val="en-US"/>
        </w:rPr>
        <w:t>Zerden</w:t>
      </w:r>
      <w:proofErr w:type="spellEnd"/>
      <w:r w:rsidRPr="00FB62E5">
        <w:rPr>
          <w:rFonts w:ascii="Arial" w:hAnsi="Arial" w:cs="Arial"/>
          <w:sz w:val="22"/>
          <w:lang w:val="en-US"/>
        </w:rPr>
        <w:t xml:space="preserve"> et al. (2021), who have shown that the e-record systems in integrated care facilities have enhanced the coordination of nurses, general practitioners, and social workers. However, these benefits are not uniformly spread across the geographical areas. The Medical Technology Group (2024) acknowledged that some Integrated Care Boards (ICBs) cover nearly full DSCR, whereas others do not, as they have ineffective IT infrastructure and a lack of digital literacy. These differences highlight a basic contradiction in the implementation of the policies: digital innovation can improve communication only when there are proper resources and training disparities on the systemic level. </w:t>
      </w:r>
    </w:p>
    <w:p w14:paraId="3EC1193D" w14:textId="5F500DEA" w:rsidR="00ED6F04" w:rsidRPr="00FB62E5" w:rsidRDefault="00555065" w:rsidP="00FB62E5">
      <w:pPr>
        <w:spacing w:line="360" w:lineRule="auto"/>
        <w:rPr>
          <w:rFonts w:ascii="Arial" w:hAnsi="Arial" w:cs="Arial"/>
          <w:sz w:val="22"/>
          <w:lang w:val="en-US"/>
        </w:rPr>
      </w:pPr>
      <w:r w:rsidRPr="00FB62E5">
        <w:rPr>
          <w:rFonts w:ascii="Arial" w:hAnsi="Arial" w:cs="Arial"/>
          <w:sz w:val="22"/>
          <w:lang w:val="en-US"/>
        </w:rPr>
        <w:t xml:space="preserve">DSCRs represent the movement towards data-based accountability in social care. Real-time monitoring of incidents, risk alerts, and quality indicators has become possible and, as a result, the transparency of managers has been enhanced (King’s Fund, 2023). Nonetheless, such an increase in managerial oversight brings a danger of </w:t>
      </w:r>
      <w:r w:rsidRPr="00FB62E5">
        <w:rPr>
          <w:rFonts w:ascii="Arial" w:hAnsi="Arial" w:cs="Arial"/>
          <w:i/>
          <w:iCs/>
          <w:sz w:val="22"/>
          <w:lang w:val="en-US"/>
        </w:rPr>
        <w:t>“datafication”</w:t>
      </w:r>
      <w:r w:rsidRPr="00FB62E5">
        <w:rPr>
          <w:rFonts w:ascii="Arial" w:hAnsi="Arial" w:cs="Arial"/>
          <w:sz w:val="22"/>
          <w:lang w:val="en-US"/>
        </w:rPr>
        <w:t xml:space="preserve">, which can result in </w:t>
      </w:r>
      <w:proofErr w:type="spellStart"/>
      <w:r w:rsidRPr="00FB62E5">
        <w:rPr>
          <w:rFonts w:ascii="Arial" w:hAnsi="Arial" w:cs="Arial"/>
          <w:sz w:val="22"/>
          <w:lang w:val="en-US"/>
        </w:rPr>
        <w:t>marginalisation</w:t>
      </w:r>
      <w:proofErr w:type="spellEnd"/>
      <w:r w:rsidRPr="00FB62E5">
        <w:rPr>
          <w:rFonts w:ascii="Arial" w:hAnsi="Arial" w:cs="Arial"/>
          <w:sz w:val="22"/>
          <w:lang w:val="en-US"/>
        </w:rPr>
        <w:t xml:space="preserve"> of professional judgement. Cesario et al. (2025) argued that a bias towards quantifiable metrics may force employees to address the issue of compliance instead of addressing relational care. The initial results of the NIHR Open Research study (2025) are that care workers occasionally view DSCRs as surveillance devices instead of supportive ones and create fear of constant monitoring. Therefore, although DSCRs increase managerial visibility, </w:t>
      </w:r>
      <w:r w:rsidRPr="00FB62E5">
        <w:rPr>
          <w:rFonts w:ascii="Arial" w:hAnsi="Arial" w:cs="Arial"/>
          <w:sz w:val="22"/>
          <w:lang w:val="en-US"/>
        </w:rPr>
        <w:lastRenderedPageBreak/>
        <w:t xml:space="preserve">they also shift authority relations between practitioners and </w:t>
      </w:r>
      <w:proofErr w:type="spellStart"/>
      <w:r w:rsidRPr="00FB62E5">
        <w:rPr>
          <w:rFonts w:ascii="Arial" w:hAnsi="Arial" w:cs="Arial"/>
          <w:sz w:val="22"/>
          <w:lang w:val="en-US"/>
        </w:rPr>
        <w:t>organisations</w:t>
      </w:r>
      <w:proofErr w:type="spellEnd"/>
      <w:r w:rsidRPr="00FB62E5">
        <w:rPr>
          <w:rFonts w:ascii="Arial" w:hAnsi="Arial" w:cs="Arial"/>
          <w:sz w:val="22"/>
          <w:lang w:val="en-US"/>
        </w:rPr>
        <w:t xml:space="preserve">, which creates ethical and cultural issues that require a comprehensive implementation strategy. </w:t>
      </w:r>
    </w:p>
    <w:p w14:paraId="2DAB4784" w14:textId="5EB488FB" w:rsidR="00ED6F04" w:rsidRPr="00FB62E5" w:rsidRDefault="00555065" w:rsidP="00FB62E5">
      <w:pPr>
        <w:spacing w:line="360" w:lineRule="auto"/>
        <w:rPr>
          <w:rFonts w:ascii="Arial" w:hAnsi="Arial" w:cs="Arial"/>
          <w:sz w:val="22"/>
          <w:lang w:val="en-US"/>
        </w:rPr>
      </w:pPr>
      <w:r w:rsidRPr="00FB62E5">
        <w:rPr>
          <w:rFonts w:ascii="Arial" w:hAnsi="Arial" w:cs="Arial"/>
          <w:sz w:val="22"/>
          <w:lang w:val="en-US"/>
        </w:rPr>
        <w:t xml:space="preserve">The questionable adoption of DSCR should also </w:t>
      </w:r>
      <w:proofErr w:type="spellStart"/>
      <w:r w:rsidRPr="00FB62E5">
        <w:rPr>
          <w:rFonts w:ascii="Arial" w:hAnsi="Arial" w:cs="Arial"/>
          <w:sz w:val="22"/>
          <w:lang w:val="en-US"/>
        </w:rPr>
        <w:t>centre</w:t>
      </w:r>
      <w:proofErr w:type="spellEnd"/>
      <w:r w:rsidRPr="00FB62E5">
        <w:rPr>
          <w:rFonts w:ascii="Arial" w:hAnsi="Arial" w:cs="Arial"/>
          <w:sz w:val="22"/>
          <w:lang w:val="en-US"/>
        </w:rPr>
        <w:t xml:space="preserve"> on its financial and infrastructural implications. The initial capital cost of the transition was supported by the 150million fund of the DHSC that will end in March 2025, thus creating </w:t>
      </w:r>
      <w:proofErr w:type="gramStart"/>
      <w:r w:rsidRPr="00FB62E5">
        <w:rPr>
          <w:rFonts w:ascii="Arial" w:hAnsi="Arial" w:cs="Arial"/>
          <w:sz w:val="22"/>
          <w:lang w:val="en-US"/>
        </w:rPr>
        <w:t>the sustainability</w:t>
      </w:r>
      <w:proofErr w:type="gramEnd"/>
      <w:r w:rsidRPr="00FB62E5">
        <w:rPr>
          <w:rFonts w:ascii="Arial" w:hAnsi="Arial" w:cs="Arial"/>
          <w:sz w:val="22"/>
          <w:lang w:val="en-US"/>
        </w:rPr>
        <w:t xml:space="preserve"> issues (DHSC, 2025).</w:t>
      </w:r>
      <w:r w:rsidR="006C7F2A" w:rsidRPr="006C7F2A">
        <w:t xml:space="preserve"> </w:t>
      </w:r>
      <w:r w:rsidR="006C7F2A" w:rsidRPr="006C7F2A">
        <w:rPr>
          <w:rFonts w:ascii="Arial" w:hAnsi="Arial" w:cs="Arial"/>
          <w:sz w:val="22"/>
          <w:lang w:val="en-US"/>
        </w:rPr>
        <w:t xml:space="preserve">The smaller providers, especially, are forced to pay high initial </w:t>
      </w:r>
      <w:proofErr w:type="spellStart"/>
      <w:r w:rsidR="006C7F2A" w:rsidRPr="006C7F2A">
        <w:rPr>
          <w:rFonts w:ascii="Arial" w:hAnsi="Arial" w:cs="Arial"/>
          <w:sz w:val="22"/>
          <w:lang w:val="en-US"/>
        </w:rPr>
        <w:t>licencing</w:t>
      </w:r>
      <w:proofErr w:type="spellEnd"/>
      <w:r w:rsidR="006C7F2A" w:rsidRPr="006C7F2A">
        <w:rPr>
          <w:rFonts w:ascii="Arial" w:hAnsi="Arial" w:cs="Arial"/>
          <w:sz w:val="22"/>
          <w:lang w:val="en-US"/>
        </w:rPr>
        <w:t xml:space="preserve"> fees, maintenance fees and one-on-going training fees, hence creating an uneven adoption environment. According to a report issued by the National Audit Office in 2023, large and small care </w:t>
      </w:r>
      <w:proofErr w:type="spellStart"/>
      <w:r w:rsidR="006C7F2A" w:rsidRPr="006C7F2A">
        <w:rPr>
          <w:rFonts w:ascii="Arial" w:hAnsi="Arial" w:cs="Arial"/>
          <w:sz w:val="22"/>
          <w:lang w:val="en-US"/>
        </w:rPr>
        <w:t>organisations</w:t>
      </w:r>
      <w:proofErr w:type="spellEnd"/>
      <w:r w:rsidR="006C7F2A" w:rsidRPr="006C7F2A">
        <w:rPr>
          <w:rFonts w:ascii="Arial" w:hAnsi="Arial" w:cs="Arial"/>
          <w:sz w:val="22"/>
          <w:lang w:val="en-US"/>
        </w:rPr>
        <w:t xml:space="preserve"> have a significant digital preparedness gap, and this gap hinders the government in its goal </w:t>
      </w:r>
      <w:proofErr w:type="gramStart"/>
      <w:r w:rsidR="006C7F2A" w:rsidRPr="006C7F2A">
        <w:rPr>
          <w:rFonts w:ascii="Arial" w:hAnsi="Arial" w:cs="Arial"/>
          <w:sz w:val="22"/>
          <w:lang w:val="en-US"/>
        </w:rPr>
        <w:t>of 80</w:t>
      </w:r>
      <w:r w:rsidR="006C7F2A">
        <w:rPr>
          <w:rFonts w:ascii="Arial" w:hAnsi="Arial" w:cs="Arial"/>
          <w:sz w:val="22"/>
          <w:lang w:val="en-US"/>
        </w:rPr>
        <w:t>%</w:t>
      </w:r>
      <w:r w:rsidR="006C7F2A" w:rsidRPr="006C7F2A">
        <w:rPr>
          <w:rFonts w:ascii="Arial" w:hAnsi="Arial" w:cs="Arial"/>
          <w:sz w:val="22"/>
          <w:lang w:val="en-US"/>
        </w:rPr>
        <w:t xml:space="preserve"> adoption</w:t>
      </w:r>
      <w:proofErr w:type="gramEnd"/>
      <w:r w:rsidR="006C7F2A" w:rsidRPr="006C7F2A">
        <w:rPr>
          <w:rFonts w:ascii="Arial" w:hAnsi="Arial" w:cs="Arial"/>
          <w:sz w:val="22"/>
          <w:lang w:val="en-US"/>
        </w:rPr>
        <w:t>.</w:t>
      </w:r>
      <w:r w:rsidR="006C7F2A">
        <w:rPr>
          <w:rFonts w:ascii="Arial" w:hAnsi="Arial" w:cs="Arial"/>
          <w:sz w:val="22"/>
          <w:lang w:val="en-US"/>
        </w:rPr>
        <w:t xml:space="preserve"> </w:t>
      </w:r>
      <w:r w:rsidRPr="00FB62E5">
        <w:rPr>
          <w:rFonts w:ascii="Arial" w:hAnsi="Arial" w:cs="Arial"/>
          <w:sz w:val="22"/>
          <w:lang w:val="en-US"/>
        </w:rPr>
        <w:t>Digital maturity is also a consequence of regional determinants, including access to broadband and workforce capacity, which further exacerbate the inequities. In turn, even though DSCRs are consistent with the goals of national integrated care, their unequal distribution can contribute to the existing inequalities in service quality instead of alleviating them.</w:t>
      </w:r>
    </w:p>
    <w:p w14:paraId="66DC5F71" w14:textId="3EC5F505" w:rsidR="009F2A74" w:rsidRPr="00FB62E5" w:rsidRDefault="00555065" w:rsidP="00FB62E5">
      <w:pPr>
        <w:spacing w:line="360" w:lineRule="auto"/>
        <w:rPr>
          <w:rFonts w:ascii="Arial" w:hAnsi="Arial" w:cs="Arial"/>
          <w:sz w:val="22"/>
          <w:lang w:val="en-US"/>
        </w:rPr>
      </w:pPr>
      <w:r w:rsidRPr="00FB62E5">
        <w:rPr>
          <w:rFonts w:ascii="Arial" w:hAnsi="Arial" w:cs="Arial"/>
          <w:sz w:val="22"/>
          <w:lang w:val="en-US"/>
        </w:rPr>
        <w:t>It is at the strategic level that DSCRs have strengthened interprofessional coordination and data reliability, which are major determinants of safe and effective service delivery (</w:t>
      </w:r>
      <w:proofErr w:type="spellStart"/>
      <w:r w:rsidRPr="00FB62E5">
        <w:rPr>
          <w:rFonts w:ascii="Arial" w:hAnsi="Arial" w:cs="Arial"/>
          <w:sz w:val="22"/>
          <w:lang w:val="en-US"/>
        </w:rPr>
        <w:t>Zerden</w:t>
      </w:r>
      <w:proofErr w:type="spellEnd"/>
      <w:r w:rsidRPr="00FB62E5">
        <w:rPr>
          <w:rFonts w:ascii="Arial" w:hAnsi="Arial" w:cs="Arial"/>
          <w:sz w:val="22"/>
          <w:lang w:val="en-US"/>
        </w:rPr>
        <w:t xml:space="preserve"> et al., 2021). The future success of the </w:t>
      </w:r>
      <w:proofErr w:type="spellStart"/>
      <w:r w:rsidRPr="00FB62E5">
        <w:rPr>
          <w:rFonts w:ascii="Arial" w:hAnsi="Arial" w:cs="Arial"/>
          <w:sz w:val="22"/>
          <w:lang w:val="en-US"/>
        </w:rPr>
        <w:t>programme</w:t>
      </w:r>
      <w:proofErr w:type="spellEnd"/>
      <w:r w:rsidRPr="00FB62E5">
        <w:rPr>
          <w:rFonts w:ascii="Arial" w:hAnsi="Arial" w:cs="Arial"/>
          <w:sz w:val="22"/>
          <w:lang w:val="en-US"/>
        </w:rPr>
        <w:t xml:space="preserve">, however, will be based on turning digital access into quantifiable care outcomes. Higgs et al. (2024) note that not only the presence of technology can lead to better care, but also the </w:t>
      </w:r>
      <w:proofErr w:type="gramStart"/>
      <w:r w:rsidRPr="00FB62E5">
        <w:rPr>
          <w:rFonts w:ascii="Arial" w:hAnsi="Arial" w:cs="Arial"/>
          <w:sz w:val="22"/>
          <w:lang w:val="en-US"/>
        </w:rPr>
        <w:t>manner in which</w:t>
      </w:r>
      <w:proofErr w:type="gramEnd"/>
      <w:r w:rsidRPr="00FB62E5">
        <w:rPr>
          <w:rFonts w:ascii="Arial" w:hAnsi="Arial" w:cs="Arial"/>
          <w:sz w:val="22"/>
          <w:lang w:val="en-US"/>
        </w:rPr>
        <w:t xml:space="preserve"> digital instruments can be integrated into routine clinical thought processes, facilitated by leadership and training, defines value. Therefore, DSCRs will both pose and offer an opportunity to the industry, and this is their adaptive ability. </w:t>
      </w:r>
      <w:r w:rsidR="00113F0A" w:rsidRPr="00FB62E5">
        <w:rPr>
          <w:rFonts w:ascii="Arial" w:hAnsi="Arial" w:cs="Arial"/>
          <w:sz w:val="22"/>
          <w:lang w:val="en-US"/>
        </w:rPr>
        <w:t>Therefore</w:t>
      </w:r>
      <w:r w:rsidRPr="00FB62E5">
        <w:rPr>
          <w:rFonts w:ascii="Arial" w:hAnsi="Arial" w:cs="Arial"/>
          <w:sz w:val="22"/>
          <w:lang w:val="en-US"/>
        </w:rPr>
        <w:t xml:space="preserve">, DSCRs have </w:t>
      </w:r>
      <w:proofErr w:type="spellStart"/>
      <w:r w:rsidRPr="00FB62E5">
        <w:rPr>
          <w:rFonts w:ascii="Arial" w:hAnsi="Arial" w:cs="Arial"/>
          <w:sz w:val="22"/>
          <w:lang w:val="en-US"/>
        </w:rPr>
        <w:t>revolutionised</w:t>
      </w:r>
      <w:proofErr w:type="spellEnd"/>
      <w:r w:rsidRPr="00FB62E5">
        <w:rPr>
          <w:rFonts w:ascii="Arial" w:hAnsi="Arial" w:cs="Arial"/>
          <w:sz w:val="22"/>
          <w:lang w:val="en-US"/>
        </w:rPr>
        <w:t xml:space="preserve"> the social care service delivery in the UK because they have resulted in increased access to information, better coordination, and responsive care.</w:t>
      </w:r>
    </w:p>
    <w:p w14:paraId="54D9977E" w14:textId="77777777" w:rsidR="00ED6F04" w:rsidRPr="00FB62E5" w:rsidRDefault="00ED6F04" w:rsidP="00FB62E5">
      <w:pPr>
        <w:spacing w:line="360" w:lineRule="auto"/>
        <w:rPr>
          <w:rFonts w:ascii="Arial" w:hAnsi="Arial" w:cs="Arial"/>
          <w:sz w:val="22"/>
          <w:lang w:val="en-US"/>
        </w:rPr>
      </w:pPr>
    </w:p>
    <w:p w14:paraId="5FD0BDF4" w14:textId="26AA7C9A" w:rsidR="00D66A66" w:rsidRPr="00FB62E5" w:rsidRDefault="00555065" w:rsidP="00FB62E5">
      <w:pPr>
        <w:pStyle w:val="Heading2"/>
        <w:spacing w:line="360" w:lineRule="auto"/>
        <w:rPr>
          <w:rFonts w:ascii="Arial" w:hAnsi="Arial" w:cs="Arial"/>
          <w:sz w:val="22"/>
          <w:szCs w:val="22"/>
          <w:lang w:val="en-US"/>
        </w:rPr>
      </w:pPr>
      <w:bookmarkStart w:id="3" w:name="_Toc211968758"/>
      <w:r w:rsidRPr="00FB62E5">
        <w:rPr>
          <w:rFonts w:ascii="Arial" w:hAnsi="Arial" w:cs="Arial"/>
          <w:sz w:val="22"/>
          <w:szCs w:val="22"/>
        </w:rPr>
        <w:t>Patient/Service User</w:t>
      </w:r>
      <w:bookmarkEnd w:id="3"/>
    </w:p>
    <w:p w14:paraId="79637E57" w14:textId="4381B31E" w:rsidR="00776192" w:rsidRPr="00FB62E5" w:rsidRDefault="00555065" w:rsidP="00FB62E5">
      <w:pPr>
        <w:spacing w:line="360" w:lineRule="auto"/>
        <w:rPr>
          <w:rFonts w:ascii="Arial" w:hAnsi="Arial" w:cs="Arial"/>
          <w:sz w:val="22"/>
          <w:lang w:val="en-US"/>
        </w:rPr>
      </w:pPr>
      <w:r w:rsidRPr="00FB62E5">
        <w:rPr>
          <w:rFonts w:ascii="Arial" w:hAnsi="Arial" w:cs="Arial"/>
          <w:sz w:val="22"/>
          <w:lang w:val="en-US"/>
        </w:rPr>
        <w:t xml:space="preserve">DSCRs have brought both facilitative and problematic impacts to the experiential environment of social care recipients in a significant way. At the enabling level, DSCRs may enhance continuity, timing, and </w:t>
      </w:r>
      <w:proofErr w:type="spellStart"/>
      <w:r w:rsidRPr="00FB62E5">
        <w:rPr>
          <w:rFonts w:ascii="Arial" w:hAnsi="Arial" w:cs="Arial"/>
          <w:sz w:val="22"/>
          <w:lang w:val="en-US"/>
        </w:rPr>
        <w:t>individualised</w:t>
      </w:r>
      <w:proofErr w:type="spellEnd"/>
      <w:r w:rsidRPr="00FB62E5">
        <w:rPr>
          <w:rFonts w:ascii="Arial" w:hAnsi="Arial" w:cs="Arial"/>
          <w:sz w:val="22"/>
          <w:lang w:val="en-US"/>
        </w:rPr>
        <w:t xml:space="preserve"> care; real-time feeds may enable the swift response to the changing needs (King’s Fund, 2023), and integrated records may reduce the occurrence of reiterating enquiries and medication mistakes during transitional stages, such as after hospital discharge (CQC, 2024). To some service users, these developments bring about quantifiable convenience, such as care plans that mirror modern preferences, shorter delays in the process </w:t>
      </w:r>
      <w:r w:rsidRPr="00FB62E5">
        <w:rPr>
          <w:rFonts w:ascii="Arial" w:hAnsi="Arial" w:cs="Arial"/>
          <w:sz w:val="22"/>
          <w:lang w:val="en-US"/>
        </w:rPr>
        <w:lastRenderedPageBreak/>
        <w:t xml:space="preserve">of unnecessary services delivered, and, where systems are provider-side and offer family or carer portals, more informal caregiver participation in the daily decision-making process (Casey, 2024). Specifically vulnerable groups, including older adults and people with complex needs, are the most sensitive to the benefits, and in the past, such groups have had sporadic information, resulting in lapsed care or unsafe prescribing habits. However, a more detailed analysis of the alleged simplicity of the correlation between the availability of data and the improvement of the experience shows that it is not easy: as the National Institute for Health Research Open Research evaluation (2025) proves, the benefits of digital records depend on the proper design and use when interacting with the frontline. Semi-developed or unplanned information may create confusion and build mistrust where there are differences between the information posted and the actual care provided. </w:t>
      </w:r>
    </w:p>
    <w:p w14:paraId="2A79191F" w14:textId="1BB262D5" w:rsidR="00776192" w:rsidRPr="00FB62E5" w:rsidRDefault="00555065" w:rsidP="00FB62E5">
      <w:pPr>
        <w:spacing w:line="360" w:lineRule="auto"/>
        <w:rPr>
          <w:rFonts w:ascii="Arial" w:hAnsi="Arial" w:cs="Arial"/>
          <w:sz w:val="22"/>
          <w:lang w:val="en-US"/>
        </w:rPr>
      </w:pPr>
      <w:r w:rsidRPr="00FB62E5">
        <w:rPr>
          <w:rFonts w:ascii="Arial" w:hAnsi="Arial" w:cs="Arial"/>
          <w:sz w:val="22"/>
          <w:lang w:val="en-US"/>
        </w:rPr>
        <w:t xml:space="preserve">Privacy and consent are areas of interest that are often under-selected and conflict intrinsically. DSCRs increase the list of those people and </w:t>
      </w:r>
      <w:proofErr w:type="spellStart"/>
      <w:r w:rsidRPr="00FB62E5">
        <w:rPr>
          <w:rFonts w:ascii="Arial" w:hAnsi="Arial" w:cs="Arial"/>
          <w:sz w:val="22"/>
          <w:lang w:val="en-US"/>
        </w:rPr>
        <w:t>organisations</w:t>
      </w:r>
      <w:proofErr w:type="spellEnd"/>
      <w:r w:rsidRPr="00FB62E5">
        <w:rPr>
          <w:rFonts w:ascii="Arial" w:hAnsi="Arial" w:cs="Arial"/>
          <w:sz w:val="22"/>
          <w:lang w:val="en-US"/>
        </w:rPr>
        <w:t xml:space="preserve"> who can access personally sensitive information. </w:t>
      </w:r>
      <w:proofErr w:type="gramStart"/>
      <w:r w:rsidRPr="00FB62E5">
        <w:rPr>
          <w:rFonts w:ascii="Arial" w:hAnsi="Arial" w:cs="Arial"/>
          <w:sz w:val="22"/>
          <w:lang w:val="en-US"/>
        </w:rPr>
        <w:t>In spite of</w:t>
      </w:r>
      <w:proofErr w:type="gramEnd"/>
      <w:r w:rsidRPr="00FB62E5">
        <w:rPr>
          <w:rFonts w:ascii="Arial" w:hAnsi="Arial" w:cs="Arial"/>
          <w:sz w:val="22"/>
          <w:lang w:val="en-US"/>
        </w:rPr>
        <w:t xml:space="preserve"> role-based access control, there is a reason among the participants of service-user and support staff that data is shared between health and social care boundaries, and whether and to what extent such sharing remains legitimate in pressured care circumstances (Lima, 2025). To some service users, regulatory and qualitative reports state that they feel surveilled or uneasy by the prospective disclosure of subjective staff judgments outside of the immediate-care team (Medical Technology Group, 2024; CQC, 2024). These concerns are further increased in relation to </w:t>
      </w:r>
      <w:proofErr w:type="spellStart"/>
      <w:r w:rsidRPr="00FB62E5">
        <w:rPr>
          <w:rFonts w:ascii="Arial" w:hAnsi="Arial" w:cs="Arial"/>
          <w:sz w:val="22"/>
          <w:lang w:val="en-US"/>
        </w:rPr>
        <w:t>marginalised</w:t>
      </w:r>
      <w:proofErr w:type="spellEnd"/>
      <w:r w:rsidRPr="00FB62E5">
        <w:rPr>
          <w:rFonts w:ascii="Arial" w:hAnsi="Arial" w:cs="Arial"/>
          <w:sz w:val="22"/>
          <w:lang w:val="en-US"/>
        </w:rPr>
        <w:t xml:space="preserve"> groups who are already prone to distrust of institutions or have experienced some coercive interventions; in these cases, digital records can only increase the fears of loss of autonomy unless well-developed governance, transparency, and redress measures are actively communicated and implemented.</w:t>
      </w:r>
    </w:p>
    <w:p w14:paraId="37F9673E" w14:textId="436AFDD1" w:rsidR="00FA421A" w:rsidRPr="00FB62E5" w:rsidRDefault="00555065" w:rsidP="00FB62E5">
      <w:pPr>
        <w:spacing w:line="360" w:lineRule="auto"/>
        <w:rPr>
          <w:rFonts w:ascii="Arial" w:hAnsi="Arial" w:cs="Arial"/>
          <w:sz w:val="22"/>
          <w:lang w:val="en-US"/>
        </w:rPr>
      </w:pPr>
      <w:r w:rsidRPr="00FB62E5">
        <w:rPr>
          <w:rFonts w:ascii="Arial" w:hAnsi="Arial" w:cs="Arial"/>
          <w:sz w:val="22"/>
          <w:lang w:val="en-US"/>
        </w:rPr>
        <w:t xml:space="preserve">Another important constraint is digital literacy and access. Digital inclusion surveys (e.g., Age UK; Lloyds Consumer Digital Index) of the national population indicate that a significant percentage of older adults and socio-economically disadvantaged people do not have access to the devices, skills or confidence to use online portals, access files, or </w:t>
      </w:r>
      <w:proofErr w:type="spellStart"/>
      <w:r w:rsidRPr="00FB62E5">
        <w:rPr>
          <w:rFonts w:ascii="Arial" w:hAnsi="Arial" w:cs="Arial"/>
          <w:sz w:val="22"/>
          <w:lang w:val="en-US"/>
        </w:rPr>
        <w:t>utilise</w:t>
      </w:r>
      <w:proofErr w:type="spellEnd"/>
      <w:r w:rsidRPr="00FB62E5">
        <w:rPr>
          <w:rFonts w:ascii="Arial" w:hAnsi="Arial" w:cs="Arial"/>
          <w:sz w:val="22"/>
          <w:lang w:val="en-US"/>
        </w:rPr>
        <w:t xml:space="preserve"> them; yet the discussion of the policies tends to assume a digitally engaged service user (National Audit Office, 2023). This discrepancy endangers the </w:t>
      </w:r>
      <w:proofErr w:type="spellStart"/>
      <w:r w:rsidRPr="00FB62E5">
        <w:rPr>
          <w:rFonts w:ascii="Arial" w:hAnsi="Arial" w:cs="Arial"/>
          <w:sz w:val="22"/>
          <w:lang w:val="en-US"/>
        </w:rPr>
        <w:t>marginalisation</w:t>
      </w:r>
      <w:proofErr w:type="spellEnd"/>
      <w:r w:rsidRPr="00FB62E5">
        <w:rPr>
          <w:rFonts w:ascii="Arial" w:hAnsi="Arial" w:cs="Arial"/>
          <w:sz w:val="22"/>
          <w:lang w:val="en-US"/>
        </w:rPr>
        <w:t xml:space="preserve"> of the very people who would benefit most in DSCRs and places the task of care oversight in the hands of families who might not be available or have the necessary capacity, which means that the users will be bifurcated: some will become empowered with access, while some will be </w:t>
      </w:r>
      <w:proofErr w:type="spellStart"/>
      <w:r w:rsidRPr="00FB62E5">
        <w:rPr>
          <w:rFonts w:ascii="Arial" w:hAnsi="Arial" w:cs="Arial"/>
          <w:sz w:val="22"/>
          <w:lang w:val="en-US"/>
        </w:rPr>
        <w:t>marginalised</w:t>
      </w:r>
      <w:proofErr w:type="spellEnd"/>
      <w:r w:rsidRPr="00FB62E5">
        <w:rPr>
          <w:rFonts w:ascii="Arial" w:hAnsi="Arial" w:cs="Arial"/>
          <w:sz w:val="22"/>
          <w:lang w:val="en-US"/>
        </w:rPr>
        <w:t xml:space="preserve"> further (Choi and Chang, 2025). Besides, families and caregivers may also act as intermediaries, which can </w:t>
      </w:r>
      <w:r w:rsidRPr="00FB62E5">
        <w:rPr>
          <w:rFonts w:ascii="Arial" w:hAnsi="Arial" w:cs="Arial"/>
          <w:sz w:val="22"/>
          <w:lang w:val="en-US"/>
        </w:rPr>
        <w:lastRenderedPageBreak/>
        <w:t xml:space="preserve">enhance support and, at the same time, introduce ethical issues regarding consent and data sharing between individuals and families. </w:t>
      </w:r>
    </w:p>
    <w:p w14:paraId="38784855" w14:textId="6445853A" w:rsidR="00FA421A" w:rsidRPr="00FB62E5" w:rsidRDefault="00555065" w:rsidP="00FB62E5">
      <w:pPr>
        <w:spacing w:line="360" w:lineRule="auto"/>
        <w:rPr>
          <w:rFonts w:ascii="Arial" w:hAnsi="Arial" w:cs="Arial"/>
          <w:sz w:val="22"/>
          <w:lang w:val="en-US"/>
        </w:rPr>
      </w:pPr>
      <w:r w:rsidRPr="00FB62E5">
        <w:rPr>
          <w:rFonts w:ascii="Arial" w:hAnsi="Arial" w:cs="Arial"/>
          <w:sz w:val="22"/>
          <w:lang w:val="en-US"/>
        </w:rPr>
        <w:t xml:space="preserve">The evidence is still heterogeneous as far as quality of care is concerned. In areas with DSCRs in place, there is auditing and small-scale research, which documented a decrease in recording mistakes and a reduction in response times (King's Fund, 2023). Nonetheless, there is still limited evidence on downstream outcomes of interest to service users, e.g. better wellbeing, fewer </w:t>
      </w:r>
      <w:proofErr w:type="spellStart"/>
      <w:r w:rsidRPr="00FB62E5">
        <w:rPr>
          <w:rFonts w:ascii="Arial" w:hAnsi="Arial" w:cs="Arial"/>
          <w:sz w:val="22"/>
          <w:lang w:val="en-US"/>
        </w:rPr>
        <w:t>hospitalisations</w:t>
      </w:r>
      <w:proofErr w:type="spellEnd"/>
      <w:r w:rsidRPr="00FB62E5">
        <w:rPr>
          <w:rFonts w:ascii="Arial" w:hAnsi="Arial" w:cs="Arial"/>
          <w:sz w:val="22"/>
          <w:lang w:val="en-US"/>
        </w:rPr>
        <w:t xml:space="preserve">, or maintenance of independence (NHS Transformation Directorate, 2025). This indicates that there is a dissonance between process indicators (speed, completeness) and outcome indicators </w:t>
      </w:r>
      <w:proofErr w:type="gramStart"/>
      <w:r w:rsidRPr="00FB62E5">
        <w:rPr>
          <w:rFonts w:ascii="Arial" w:hAnsi="Arial" w:cs="Arial"/>
          <w:sz w:val="22"/>
          <w:lang w:val="en-US"/>
        </w:rPr>
        <w:t>( quality</w:t>
      </w:r>
      <w:proofErr w:type="gramEnd"/>
      <w:r w:rsidRPr="00FB62E5">
        <w:rPr>
          <w:rFonts w:ascii="Arial" w:hAnsi="Arial" w:cs="Arial"/>
          <w:sz w:val="22"/>
          <w:lang w:val="en-US"/>
        </w:rPr>
        <w:t xml:space="preserve"> of life, safety), which policy </w:t>
      </w:r>
      <w:proofErr w:type="gramStart"/>
      <w:r w:rsidRPr="00FB62E5">
        <w:rPr>
          <w:rFonts w:ascii="Arial" w:hAnsi="Arial" w:cs="Arial"/>
          <w:sz w:val="22"/>
          <w:lang w:val="en-US"/>
        </w:rPr>
        <w:t>has to</w:t>
      </w:r>
      <w:proofErr w:type="gramEnd"/>
      <w:r w:rsidRPr="00FB62E5">
        <w:rPr>
          <w:rFonts w:ascii="Arial" w:hAnsi="Arial" w:cs="Arial"/>
          <w:sz w:val="22"/>
          <w:lang w:val="en-US"/>
        </w:rPr>
        <w:t xml:space="preserve"> consider; digital records are not </w:t>
      </w:r>
      <w:proofErr w:type="gramStart"/>
      <w:r w:rsidRPr="00FB62E5">
        <w:rPr>
          <w:rFonts w:ascii="Arial" w:hAnsi="Arial" w:cs="Arial"/>
          <w:sz w:val="22"/>
          <w:lang w:val="en-US"/>
        </w:rPr>
        <w:t>outcomes in their own right, but</w:t>
      </w:r>
      <w:proofErr w:type="gramEnd"/>
      <w:r w:rsidRPr="00FB62E5">
        <w:rPr>
          <w:rFonts w:ascii="Arial" w:hAnsi="Arial" w:cs="Arial"/>
          <w:sz w:val="22"/>
          <w:lang w:val="en-US"/>
        </w:rPr>
        <w:t xml:space="preserve"> just tools. Critical scholarship warns that the datafication of care may </w:t>
      </w:r>
      <w:proofErr w:type="spellStart"/>
      <w:r w:rsidRPr="00FB62E5">
        <w:rPr>
          <w:rFonts w:ascii="Arial" w:hAnsi="Arial" w:cs="Arial"/>
          <w:sz w:val="22"/>
          <w:lang w:val="en-US"/>
        </w:rPr>
        <w:t>favour</w:t>
      </w:r>
      <w:proofErr w:type="spellEnd"/>
      <w:r w:rsidRPr="00FB62E5">
        <w:rPr>
          <w:rFonts w:ascii="Arial" w:hAnsi="Arial" w:cs="Arial"/>
          <w:sz w:val="22"/>
          <w:lang w:val="en-US"/>
        </w:rPr>
        <w:t xml:space="preserve"> quantifiable aspects of practice at the expense of relational and qualitative aspects, which are key to user experience (Dalmer et al., 2022). First-line interviews indicate that not all staff have been keen on ensuring that they deal with digital audits at the expense of person-</w:t>
      </w:r>
      <w:proofErr w:type="spellStart"/>
      <w:r w:rsidRPr="00FB62E5">
        <w:rPr>
          <w:rFonts w:ascii="Arial" w:hAnsi="Arial" w:cs="Arial"/>
          <w:sz w:val="22"/>
          <w:lang w:val="en-US"/>
        </w:rPr>
        <w:t>centred</w:t>
      </w:r>
      <w:proofErr w:type="spellEnd"/>
      <w:r w:rsidRPr="00FB62E5">
        <w:rPr>
          <w:rFonts w:ascii="Arial" w:hAnsi="Arial" w:cs="Arial"/>
          <w:sz w:val="22"/>
          <w:lang w:val="en-US"/>
        </w:rPr>
        <w:t xml:space="preserve"> interactions as a way of completing the checklists. </w:t>
      </w:r>
    </w:p>
    <w:p w14:paraId="71EB55C6" w14:textId="707314D0" w:rsidR="00FA421A" w:rsidRPr="00FB62E5" w:rsidRDefault="00555065" w:rsidP="00FB62E5">
      <w:pPr>
        <w:spacing w:line="360" w:lineRule="auto"/>
        <w:rPr>
          <w:rFonts w:ascii="Arial" w:hAnsi="Arial" w:cs="Arial"/>
          <w:sz w:val="22"/>
          <w:lang w:val="en-US"/>
        </w:rPr>
      </w:pPr>
      <w:r w:rsidRPr="00FB62E5">
        <w:rPr>
          <w:rFonts w:ascii="Arial" w:hAnsi="Arial" w:cs="Arial"/>
          <w:sz w:val="22"/>
          <w:lang w:val="en-US"/>
        </w:rPr>
        <w:t xml:space="preserve">Finally, </w:t>
      </w:r>
      <w:proofErr w:type="gramStart"/>
      <w:r w:rsidRPr="00FB62E5">
        <w:rPr>
          <w:rFonts w:ascii="Arial" w:hAnsi="Arial" w:cs="Arial"/>
          <w:sz w:val="22"/>
          <w:lang w:val="en-US"/>
        </w:rPr>
        <w:t>equity</w:t>
      </w:r>
      <w:proofErr w:type="gramEnd"/>
      <w:r w:rsidRPr="00FB62E5">
        <w:rPr>
          <w:rFonts w:ascii="Arial" w:hAnsi="Arial" w:cs="Arial"/>
          <w:sz w:val="22"/>
          <w:lang w:val="en-US"/>
        </w:rPr>
        <w:t xml:space="preserve"> of access and the possibility of unintended harm should be given particular attention. Funding mechanisms that have supported the early rollout, which include time-limited grants and continued </w:t>
      </w:r>
      <w:proofErr w:type="spellStart"/>
      <w:r w:rsidRPr="00FB62E5">
        <w:rPr>
          <w:rFonts w:ascii="Arial" w:hAnsi="Arial" w:cs="Arial"/>
          <w:sz w:val="22"/>
          <w:lang w:val="en-US"/>
        </w:rPr>
        <w:t>licence</w:t>
      </w:r>
      <w:proofErr w:type="spellEnd"/>
      <w:r w:rsidRPr="00FB62E5">
        <w:rPr>
          <w:rFonts w:ascii="Arial" w:hAnsi="Arial" w:cs="Arial"/>
          <w:sz w:val="22"/>
          <w:lang w:val="en-US"/>
        </w:rPr>
        <w:t xml:space="preserve"> and connectivity fees, have discriminated against smaller providers and rural services; users of these services, therefore, are less integrated and can take longer to respond (Higgs et al., 2024). Altogether, even though DSCRs have the potential to improve access, convenience, and some quality measures of many of their users, these advantages are not universal and negotiable. </w:t>
      </w:r>
    </w:p>
    <w:p w14:paraId="14933E05" w14:textId="6FBF1277" w:rsidR="00D66A66" w:rsidRPr="00FB62E5" w:rsidRDefault="00D66A66" w:rsidP="00FB62E5">
      <w:pPr>
        <w:spacing w:line="360" w:lineRule="auto"/>
        <w:rPr>
          <w:rFonts w:ascii="Arial" w:hAnsi="Arial" w:cs="Arial"/>
          <w:sz w:val="22"/>
          <w:lang w:val="en-US"/>
        </w:rPr>
      </w:pPr>
    </w:p>
    <w:p w14:paraId="10345878" w14:textId="32FADB02" w:rsidR="00D66A66" w:rsidRPr="00FB62E5" w:rsidRDefault="00555065" w:rsidP="00FB62E5">
      <w:pPr>
        <w:pStyle w:val="Heading1"/>
        <w:spacing w:line="360" w:lineRule="auto"/>
        <w:rPr>
          <w:rFonts w:ascii="Arial" w:hAnsi="Arial" w:cs="Arial"/>
          <w:sz w:val="22"/>
          <w:szCs w:val="22"/>
          <w:lang w:val="en-US"/>
        </w:rPr>
      </w:pPr>
      <w:bookmarkStart w:id="4" w:name="_Toc211968759"/>
      <w:r w:rsidRPr="00FB62E5">
        <w:rPr>
          <w:rFonts w:ascii="Arial" w:hAnsi="Arial" w:cs="Arial"/>
          <w:sz w:val="22"/>
          <w:szCs w:val="22"/>
          <w:lang w:val="en-US"/>
        </w:rPr>
        <w:t>Conclusion and Recommendation</w:t>
      </w:r>
      <w:bookmarkEnd w:id="4"/>
    </w:p>
    <w:p w14:paraId="5CB0B5DD" w14:textId="436EE334" w:rsidR="00110AB4" w:rsidRPr="00FB62E5" w:rsidRDefault="00555065" w:rsidP="00E978DE">
      <w:pPr>
        <w:spacing w:line="360" w:lineRule="auto"/>
        <w:rPr>
          <w:rFonts w:ascii="Arial" w:hAnsi="Arial" w:cs="Arial"/>
          <w:sz w:val="22"/>
          <w:lang w:val="en-US"/>
        </w:rPr>
      </w:pPr>
      <w:r w:rsidRPr="006C7F2A">
        <w:rPr>
          <w:rFonts w:ascii="Arial" w:hAnsi="Arial" w:cs="Arial"/>
          <w:sz w:val="22"/>
          <w:lang w:val="en-US"/>
        </w:rPr>
        <w:t xml:space="preserve">In conclusion, </w:t>
      </w:r>
      <w:r w:rsidR="006C7F2A" w:rsidRPr="006C7F2A">
        <w:rPr>
          <w:rFonts w:ascii="Arial" w:hAnsi="Arial" w:cs="Arial"/>
          <w:sz w:val="22"/>
          <w:lang w:val="en-US"/>
        </w:rPr>
        <w:t xml:space="preserve">the employment of Digital Social Care Records (DSCRs) has significantly improved the availability of information, enhanced the quality of communication, and enhanced the coordination of the activity in the health and social care environments. </w:t>
      </w:r>
      <w:r w:rsidR="00E978DE" w:rsidRPr="00E978DE">
        <w:rPr>
          <w:rFonts w:ascii="Arial" w:hAnsi="Arial" w:cs="Arial"/>
          <w:sz w:val="22"/>
          <w:lang w:val="en-US"/>
        </w:rPr>
        <w:t xml:space="preserve">The new tool must accelerate the decision-making process, reduce redundancy, and maintain </w:t>
      </w:r>
      <w:proofErr w:type="gramStart"/>
      <w:r w:rsidR="00E978DE" w:rsidRPr="00E978DE">
        <w:rPr>
          <w:rFonts w:ascii="Arial" w:hAnsi="Arial" w:cs="Arial"/>
          <w:sz w:val="22"/>
          <w:lang w:val="en-US"/>
        </w:rPr>
        <w:t>the</w:t>
      </w:r>
      <w:proofErr w:type="gramEnd"/>
      <w:r w:rsidR="00E978DE" w:rsidRPr="00E978DE">
        <w:rPr>
          <w:rFonts w:ascii="Arial" w:hAnsi="Arial" w:cs="Arial"/>
          <w:sz w:val="22"/>
          <w:lang w:val="en-US"/>
        </w:rPr>
        <w:t xml:space="preserve"> high quality of care. </w:t>
      </w:r>
      <w:r w:rsidR="00E978DE">
        <w:rPr>
          <w:rFonts w:ascii="Arial" w:hAnsi="Arial" w:cs="Arial"/>
          <w:sz w:val="22"/>
          <w:lang w:val="en-US"/>
        </w:rPr>
        <w:t>However,</w:t>
      </w:r>
      <w:r w:rsidR="00E978DE" w:rsidRPr="00E978DE">
        <w:rPr>
          <w:rFonts w:ascii="Arial" w:hAnsi="Arial" w:cs="Arial"/>
          <w:sz w:val="22"/>
          <w:lang w:val="en-US"/>
        </w:rPr>
        <w:t xml:space="preserve"> it suffers such issues as unequal distribution, </w:t>
      </w:r>
      <w:proofErr w:type="gramStart"/>
      <w:r w:rsidR="00E978DE" w:rsidRPr="00E978DE">
        <w:rPr>
          <w:rFonts w:ascii="Arial" w:hAnsi="Arial" w:cs="Arial"/>
          <w:sz w:val="22"/>
          <w:lang w:val="en-US"/>
        </w:rPr>
        <w:t>a digital</w:t>
      </w:r>
      <w:proofErr w:type="gramEnd"/>
      <w:r w:rsidR="00E978DE" w:rsidRPr="00E978DE">
        <w:rPr>
          <w:rFonts w:ascii="Arial" w:hAnsi="Arial" w:cs="Arial"/>
          <w:sz w:val="22"/>
          <w:lang w:val="en-US"/>
        </w:rPr>
        <w:t xml:space="preserve"> divide, and privacy issues.</w:t>
      </w:r>
      <w:r w:rsidR="00E978DE">
        <w:rPr>
          <w:rFonts w:ascii="Arial" w:hAnsi="Arial" w:cs="Arial"/>
          <w:sz w:val="22"/>
          <w:lang w:val="en-US"/>
        </w:rPr>
        <w:t xml:space="preserve"> </w:t>
      </w:r>
      <w:r w:rsidR="00E978DE" w:rsidRPr="00E978DE">
        <w:rPr>
          <w:rFonts w:ascii="Arial" w:hAnsi="Arial" w:cs="Arial"/>
          <w:sz w:val="22"/>
          <w:lang w:val="en-US"/>
        </w:rPr>
        <w:t xml:space="preserve">One of the aspects of modern health care is digital innovation. It enhances productivity and security by means of cooperation and </w:t>
      </w:r>
      <w:proofErr w:type="spellStart"/>
      <w:r w:rsidR="00E978DE" w:rsidRPr="00E978DE">
        <w:rPr>
          <w:rFonts w:ascii="Arial" w:hAnsi="Arial" w:cs="Arial"/>
          <w:sz w:val="22"/>
          <w:lang w:val="en-US"/>
        </w:rPr>
        <w:t>utilisation</w:t>
      </w:r>
      <w:proofErr w:type="spellEnd"/>
      <w:r w:rsidR="00E978DE" w:rsidRPr="00E978DE">
        <w:rPr>
          <w:rFonts w:ascii="Arial" w:hAnsi="Arial" w:cs="Arial"/>
          <w:sz w:val="22"/>
          <w:lang w:val="en-US"/>
        </w:rPr>
        <w:t xml:space="preserve"> of current information.</w:t>
      </w:r>
      <w:r w:rsidR="00E978DE">
        <w:rPr>
          <w:rFonts w:ascii="Arial" w:hAnsi="Arial" w:cs="Arial"/>
          <w:sz w:val="22"/>
          <w:lang w:val="en-US"/>
        </w:rPr>
        <w:t xml:space="preserve"> Therefore</w:t>
      </w:r>
      <w:r w:rsidR="00E978DE" w:rsidRPr="00E978DE">
        <w:rPr>
          <w:rFonts w:ascii="Arial" w:hAnsi="Arial" w:cs="Arial"/>
          <w:sz w:val="22"/>
          <w:lang w:val="en-US"/>
        </w:rPr>
        <w:t xml:space="preserve">, data management and digital skills should be trained to health workers. This will enable them to do their work </w:t>
      </w:r>
      <w:proofErr w:type="gramStart"/>
      <w:r w:rsidR="00E978DE" w:rsidRPr="00E978DE">
        <w:rPr>
          <w:rFonts w:ascii="Arial" w:hAnsi="Arial" w:cs="Arial"/>
          <w:sz w:val="22"/>
          <w:lang w:val="en-US"/>
        </w:rPr>
        <w:t>effectively, and</w:t>
      </w:r>
      <w:proofErr w:type="gramEnd"/>
      <w:r w:rsidR="00E978DE" w:rsidRPr="00E978DE">
        <w:rPr>
          <w:rFonts w:ascii="Arial" w:hAnsi="Arial" w:cs="Arial"/>
          <w:sz w:val="22"/>
          <w:lang w:val="en-US"/>
        </w:rPr>
        <w:t xml:space="preserve"> provide patients with assurance in the care services they get.</w:t>
      </w:r>
      <w:r w:rsidR="00E978DE">
        <w:rPr>
          <w:rFonts w:ascii="Arial" w:hAnsi="Arial" w:cs="Arial"/>
          <w:sz w:val="22"/>
          <w:lang w:val="en-US"/>
        </w:rPr>
        <w:t xml:space="preserve"> </w:t>
      </w:r>
      <w:r w:rsidR="00D03836" w:rsidRPr="00FB62E5">
        <w:rPr>
          <w:rFonts w:ascii="Arial" w:hAnsi="Arial" w:cs="Arial"/>
          <w:sz w:val="22"/>
          <w:lang w:val="en-US"/>
        </w:rPr>
        <w:lastRenderedPageBreak/>
        <w:t xml:space="preserve">Equitable access and long-term funding should be focused on the policy to avoid regional differences. </w:t>
      </w:r>
      <w:proofErr w:type="spellStart"/>
      <w:r w:rsidR="00D03836" w:rsidRPr="00FB62E5">
        <w:rPr>
          <w:rFonts w:ascii="Arial" w:hAnsi="Arial" w:cs="Arial"/>
          <w:sz w:val="22"/>
          <w:lang w:val="en-US"/>
        </w:rPr>
        <w:t>Organisationally</w:t>
      </w:r>
      <w:proofErr w:type="spellEnd"/>
      <w:r w:rsidR="00D03836" w:rsidRPr="00FB62E5">
        <w:rPr>
          <w:rFonts w:ascii="Arial" w:hAnsi="Arial" w:cs="Arial"/>
          <w:sz w:val="22"/>
          <w:lang w:val="en-US"/>
        </w:rPr>
        <w:t xml:space="preserve">, there is a need to have clear governance structures that protect data integrity and ethical use. Although barriers such as cost, interoperability, and resistance of the workforce remain, they can be addressed by means of </w:t>
      </w:r>
      <w:proofErr w:type="gramStart"/>
      <w:r w:rsidR="00D03836" w:rsidRPr="00FB62E5">
        <w:rPr>
          <w:rFonts w:ascii="Arial" w:hAnsi="Arial" w:cs="Arial"/>
          <w:sz w:val="22"/>
          <w:lang w:val="en-US"/>
        </w:rPr>
        <w:t>the gradual</w:t>
      </w:r>
      <w:proofErr w:type="gramEnd"/>
      <w:r w:rsidR="00D03836" w:rsidRPr="00FB62E5">
        <w:rPr>
          <w:rFonts w:ascii="Arial" w:hAnsi="Arial" w:cs="Arial"/>
          <w:sz w:val="22"/>
          <w:lang w:val="en-US"/>
        </w:rPr>
        <w:t xml:space="preserve"> introduction, user-focused design, and implementation of digital innovation as part of the culture of constant improvement and comprehensive care delivery. </w:t>
      </w:r>
    </w:p>
    <w:p w14:paraId="1C314703" w14:textId="297DF90F" w:rsidR="00110AB4" w:rsidRPr="00FB62E5" w:rsidRDefault="00110AB4" w:rsidP="00FB62E5">
      <w:pPr>
        <w:spacing w:line="360" w:lineRule="auto"/>
        <w:rPr>
          <w:rFonts w:ascii="Arial" w:hAnsi="Arial" w:cs="Arial"/>
          <w:sz w:val="22"/>
          <w:lang w:val="en-US"/>
        </w:rPr>
      </w:pPr>
    </w:p>
    <w:p w14:paraId="60C88C6A" w14:textId="08BFA1CB" w:rsidR="00110AB4" w:rsidRPr="00FB62E5" w:rsidRDefault="00555065" w:rsidP="00FB62E5">
      <w:pPr>
        <w:spacing w:line="360" w:lineRule="auto"/>
        <w:rPr>
          <w:rFonts w:ascii="Arial" w:hAnsi="Arial" w:cs="Arial"/>
          <w:sz w:val="22"/>
          <w:lang w:val="en-US"/>
        </w:rPr>
      </w:pPr>
      <w:r w:rsidRPr="00FB62E5">
        <w:rPr>
          <w:rFonts w:ascii="Arial" w:hAnsi="Arial" w:cs="Arial"/>
          <w:sz w:val="22"/>
          <w:lang w:val="en-US"/>
        </w:rPr>
        <w:br w:type="page"/>
      </w:r>
    </w:p>
    <w:p w14:paraId="3AAE8FB6" w14:textId="23363ECE" w:rsidR="00110AB4" w:rsidRPr="00FB62E5" w:rsidRDefault="00555065" w:rsidP="00FB62E5">
      <w:pPr>
        <w:pStyle w:val="Heading1"/>
        <w:spacing w:line="360" w:lineRule="auto"/>
        <w:rPr>
          <w:rFonts w:ascii="Arial" w:hAnsi="Arial" w:cs="Arial"/>
          <w:sz w:val="22"/>
          <w:szCs w:val="22"/>
          <w:lang w:val="en-US"/>
        </w:rPr>
      </w:pPr>
      <w:bookmarkStart w:id="5" w:name="_Toc211968760"/>
      <w:r w:rsidRPr="00FB62E5">
        <w:rPr>
          <w:rFonts w:ascii="Arial" w:hAnsi="Arial" w:cs="Arial"/>
          <w:sz w:val="22"/>
          <w:szCs w:val="22"/>
          <w:lang w:val="en-US"/>
        </w:rPr>
        <w:lastRenderedPageBreak/>
        <w:t>References</w:t>
      </w:r>
      <w:bookmarkEnd w:id="5"/>
    </w:p>
    <w:p w14:paraId="65C678C7" w14:textId="77777777" w:rsidR="00000C87" w:rsidRPr="00FB62E5" w:rsidRDefault="00555065" w:rsidP="00FB62E5">
      <w:pPr>
        <w:spacing w:line="360" w:lineRule="auto"/>
        <w:ind w:left="720" w:hanging="720"/>
        <w:rPr>
          <w:rFonts w:ascii="Arial" w:hAnsi="Arial" w:cs="Arial"/>
          <w:sz w:val="22"/>
          <w:lang w:val="en-US"/>
        </w:rPr>
      </w:pPr>
      <w:r w:rsidRPr="00FB62E5">
        <w:rPr>
          <w:rFonts w:ascii="Arial" w:hAnsi="Arial" w:cs="Arial"/>
          <w:sz w:val="22"/>
          <w:lang w:val="en-US"/>
        </w:rPr>
        <w:t xml:space="preserve">Casey, H. (2024). Supported Decision-Making with Adults with Intellectual Disabilities, their Family Carers and Professional Carers (Doctoral dissertation, National University of Ireland Maynooth). </w:t>
      </w:r>
    </w:p>
    <w:p w14:paraId="0A145AD7" w14:textId="77777777" w:rsidR="00000C87" w:rsidRPr="00FB62E5" w:rsidRDefault="00555065" w:rsidP="00FB62E5">
      <w:pPr>
        <w:spacing w:line="360" w:lineRule="auto"/>
        <w:ind w:left="720" w:hanging="720"/>
        <w:rPr>
          <w:rFonts w:ascii="Arial" w:hAnsi="Arial" w:cs="Arial"/>
          <w:sz w:val="22"/>
          <w:lang w:val="en-US"/>
        </w:rPr>
      </w:pPr>
      <w:r w:rsidRPr="00FB62E5">
        <w:rPr>
          <w:rFonts w:ascii="Arial" w:hAnsi="Arial" w:cs="Arial"/>
          <w:sz w:val="22"/>
          <w:lang w:val="en-US"/>
        </w:rPr>
        <w:t xml:space="preserve">Cesario, A., </w:t>
      </w:r>
      <w:proofErr w:type="spellStart"/>
      <w:r w:rsidRPr="00FB62E5">
        <w:rPr>
          <w:rFonts w:ascii="Arial" w:hAnsi="Arial" w:cs="Arial"/>
          <w:sz w:val="22"/>
          <w:lang w:val="en-US"/>
        </w:rPr>
        <w:t>Gorini</w:t>
      </w:r>
      <w:proofErr w:type="spellEnd"/>
      <w:r w:rsidRPr="00FB62E5">
        <w:rPr>
          <w:rFonts w:ascii="Arial" w:hAnsi="Arial" w:cs="Arial"/>
          <w:sz w:val="22"/>
          <w:lang w:val="en-US"/>
        </w:rPr>
        <w:t xml:space="preserve">, M., and D’Amario, D. (2025). Beyond Metrics: Rethinking Value in Digital Transformation of Healthcare. In Digital Medicine Starter Guide (pp. 91-108). Cham: Springer Nature Switzerland. </w:t>
      </w:r>
    </w:p>
    <w:p w14:paraId="49ED96D6" w14:textId="77777777" w:rsidR="00000C87" w:rsidRPr="00FB62E5" w:rsidRDefault="00555065" w:rsidP="00FB62E5">
      <w:pPr>
        <w:spacing w:line="360" w:lineRule="auto"/>
        <w:ind w:left="720" w:hanging="720"/>
        <w:rPr>
          <w:rFonts w:ascii="Arial" w:hAnsi="Arial" w:cs="Arial"/>
          <w:sz w:val="22"/>
          <w:lang w:val="en-US"/>
        </w:rPr>
      </w:pPr>
      <w:r w:rsidRPr="00FB62E5">
        <w:rPr>
          <w:rFonts w:ascii="Arial" w:hAnsi="Arial" w:cs="Arial"/>
          <w:sz w:val="22"/>
          <w:lang w:val="en-US"/>
        </w:rPr>
        <w:t xml:space="preserve">Choi, W. C., and Chang, C. I. (2025). Enhancing the User Experience (UX) Development Life Cycle to Support Underrepresented Groups. </w:t>
      </w:r>
    </w:p>
    <w:p w14:paraId="3AC07A71" w14:textId="77777777" w:rsidR="00000C87" w:rsidRPr="00FB62E5" w:rsidRDefault="00555065" w:rsidP="00FB62E5">
      <w:pPr>
        <w:spacing w:line="360" w:lineRule="auto"/>
        <w:ind w:left="720" w:hanging="720"/>
        <w:rPr>
          <w:rFonts w:ascii="Arial" w:hAnsi="Arial" w:cs="Arial"/>
          <w:sz w:val="22"/>
          <w:lang w:val="en-US"/>
        </w:rPr>
      </w:pPr>
      <w:r w:rsidRPr="00FB62E5">
        <w:rPr>
          <w:rFonts w:ascii="Arial" w:hAnsi="Arial" w:cs="Arial"/>
          <w:sz w:val="22"/>
          <w:lang w:val="en-US"/>
        </w:rPr>
        <w:t xml:space="preserve">CQC (2024). Digital Record systems: Achieving Good Outcomes for People Using Adult Social Care Services - Care Quality Commission. [online] www.cqc.org.uk. Available at: </w:t>
      </w:r>
      <w:hyperlink r:id="rId8" w:history="1">
        <w:r w:rsidRPr="00FB62E5">
          <w:rPr>
            <w:rStyle w:val="Hyperlink"/>
            <w:rFonts w:ascii="Arial" w:hAnsi="Arial" w:cs="Arial"/>
            <w:sz w:val="22"/>
            <w:lang w:val="en-US"/>
          </w:rPr>
          <w:t>https://www.cqc.org.uk/guidance-providers/adult-social-care/digital-record-systems-adult-social-care-services</w:t>
        </w:r>
      </w:hyperlink>
      <w:r w:rsidRPr="00FB62E5">
        <w:rPr>
          <w:rFonts w:ascii="Arial" w:hAnsi="Arial" w:cs="Arial"/>
          <w:sz w:val="22"/>
          <w:lang w:val="en-US"/>
        </w:rPr>
        <w:t xml:space="preserve">. </w:t>
      </w:r>
    </w:p>
    <w:p w14:paraId="05260DB5" w14:textId="77777777" w:rsidR="00000C87" w:rsidRPr="00FB62E5" w:rsidRDefault="00555065" w:rsidP="00FB62E5">
      <w:pPr>
        <w:spacing w:line="360" w:lineRule="auto"/>
        <w:ind w:left="720" w:hanging="720"/>
        <w:rPr>
          <w:rFonts w:ascii="Arial" w:hAnsi="Arial" w:cs="Arial"/>
          <w:sz w:val="22"/>
          <w:lang w:val="en-US"/>
        </w:rPr>
      </w:pPr>
      <w:r w:rsidRPr="00FB62E5">
        <w:rPr>
          <w:rFonts w:ascii="Arial" w:hAnsi="Arial" w:cs="Arial"/>
          <w:sz w:val="22"/>
          <w:lang w:val="en-US"/>
        </w:rPr>
        <w:t xml:space="preserve">Dalmer, N., Ellison, K., Katz, S., and Marshall, B. (2022). Ageing, embodiment and datafication: Dynamics of power in digital health and care technologies. International Journal of Ageing and Later Life, 15(2), 77-101.  </w:t>
      </w:r>
    </w:p>
    <w:p w14:paraId="1FE88543" w14:textId="77777777" w:rsidR="00000C87" w:rsidRPr="00FB62E5" w:rsidRDefault="00555065" w:rsidP="00FB62E5">
      <w:pPr>
        <w:spacing w:line="360" w:lineRule="auto"/>
        <w:ind w:left="720" w:hanging="720"/>
        <w:rPr>
          <w:rFonts w:ascii="Arial" w:hAnsi="Arial" w:cs="Arial"/>
          <w:sz w:val="22"/>
          <w:lang w:val="en-US"/>
        </w:rPr>
      </w:pPr>
      <w:r w:rsidRPr="00FB62E5">
        <w:rPr>
          <w:rFonts w:ascii="Arial" w:hAnsi="Arial" w:cs="Arial"/>
          <w:sz w:val="22"/>
          <w:lang w:val="en-US"/>
        </w:rPr>
        <w:t xml:space="preserve">De Groot, K., De Veer, A. J., Munster, A. M., Francke, A. L., and Paans, W. (2022). Nursing documentation and its relationship with perceived nursing workload: a mixed-methods study among community nurses. BMC nursing, 21(1), 34. </w:t>
      </w:r>
    </w:p>
    <w:p w14:paraId="364D3122" w14:textId="77777777" w:rsidR="00000C87" w:rsidRPr="00FB62E5" w:rsidRDefault="00555065" w:rsidP="00FB62E5">
      <w:pPr>
        <w:spacing w:line="360" w:lineRule="auto"/>
        <w:ind w:left="720" w:hanging="720"/>
        <w:rPr>
          <w:rFonts w:ascii="Arial" w:hAnsi="Arial" w:cs="Arial"/>
          <w:sz w:val="22"/>
          <w:lang w:val="en-US"/>
        </w:rPr>
      </w:pPr>
      <w:r w:rsidRPr="00FB62E5">
        <w:rPr>
          <w:rFonts w:ascii="Arial" w:hAnsi="Arial" w:cs="Arial"/>
          <w:sz w:val="22"/>
          <w:lang w:val="en-US"/>
        </w:rPr>
        <w:t xml:space="preserve">DHSC (2025). People at the Heart of Care: adult social care reform white paper. [online] GOV.UK. Available at: Department of Health and Social Care - </w:t>
      </w:r>
      <w:hyperlink r:id="rId9" w:history="1">
        <w:r w:rsidRPr="00FB62E5">
          <w:rPr>
            <w:rStyle w:val="Hyperlink"/>
            <w:rFonts w:ascii="Arial" w:hAnsi="Arial" w:cs="Arial"/>
            <w:sz w:val="22"/>
            <w:lang w:val="en-US"/>
          </w:rPr>
          <w:t>https://www.gov.uk/government/publications/people-at-the-heart-of-care-adult-social-care-reform-white-paper</w:t>
        </w:r>
      </w:hyperlink>
      <w:r w:rsidRPr="00FB62E5">
        <w:rPr>
          <w:rFonts w:ascii="Arial" w:hAnsi="Arial" w:cs="Arial"/>
          <w:sz w:val="22"/>
          <w:lang w:val="en-US"/>
        </w:rPr>
        <w:t xml:space="preserve">. </w:t>
      </w:r>
    </w:p>
    <w:p w14:paraId="4A62BE5E" w14:textId="77777777" w:rsidR="00000C87" w:rsidRPr="00FB62E5" w:rsidRDefault="00555065" w:rsidP="00FB62E5">
      <w:pPr>
        <w:spacing w:line="360" w:lineRule="auto"/>
        <w:ind w:left="720" w:hanging="720"/>
        <w:rPr>
          <w:rFonts w:ascii="Arial" w:hAnsi="Arial" w:cs="Arial"/>
          <w:sz w:val="22"/>
          <w:lang w:val="en-US"/>
        </w:rPr>
      </w:pPr>
      <w:r w:rsidRPr="00FB62E5">
        <w:rPr>
          <w:rFonts w:ascii="Arial" w:hAnsi="Arial" w:cs="Arial"/>
          <w:sz w:val="22"/>
          <w:lang w:val="en-US"/>
        </w:rPr>
        <w:t xml:space="preserve">Higgs, J., Jensen, G. M., Loftus, S., Trede, F. V., and Grace, S. (Eds.). (2024). Clinical Reasoning in the Health Professions E-Book: Clinical Reasoning in the Health Professions E-Book. Elsevier Health Sciences. </w:t>
      </w:r>
    </w:p>
    <w:p w14:paraId="492DEDE5" w14:textId="77777777" w:rsidR="00000C87" w:rsidRPr="00FB62E5" w:rsidRDefault="00555065" w:rsidP="00FB62E5">
      <w:pPr>
        <w:spacing w:line="360" w:lineRule="auto"/>
        <w:ind w:left="720" w:hanging="720"/>
        <w:rPr>
          <w:rFonts w:ascii="Arial" w:hAnsi="Arial" w:cs="Arial"/>
          <w:sz w:val="22"/>
          <w:lang w:val="en-US"/>
        </w:rPr>
      </w:pPr>
      <w:r w:rsidRPr="00FB62E5">
        <w:rPr>
          <w:rFonts w:ascii="Arial" w:hAnsi="Arial" w:cs="Arial"/>
          <w:sz w:val="22"/>
          <w:lang w:val="en-US"/>
        </w:rPr>
        <w:t xml:space="preserve">King’s Fund (2023). Digital change in health and social care. [online] Available at: </w:t>
      </w:r>
      <w:hyperlink r:id="rId10" w:history="1">
        <w:r w:rsidRPr="00FB62E5">
          <w:rPr>
            <w:rStyle w:val="Hyperlink"/>
            <w:rFonts w:ascii="Arial" w:hAnsi="Arial" w:cs="Arial"/>
            <w:sz w:val="22"/>
            <w:lang w:val="en-US"/>
          </w:rPr>
          <w:t>https://www.kingsfund.org.uk/sites/default/files/2018-06/Digital_change_health_care_Kings_Fund_June_2018.pdf</w:t>
        </w:r>
      </w:hyperlink>
      <w:r w:rsidRPr="00FB62E5">
        <w:rPr>
          <w:rFonts w:ascii="Arial" w:hAnsi="Arial" w:cs="Arial"/>
          <w:sz w:val="22"/>
          <w:lang w:val="en-US"/>
        </w:rPr>
        <w:t xml:space="preserve">. </w:t>
      </w:r>
    </w:p>
    <w:p w14:paraId="020C4A8E" w14:textId="77777777" w:rsidR="00000C87" w:rsidRPr="00FB62E5" w:rsidRDefault="00555065" w:rsidP="00FB62E5">
      <w:pPr>
        <w:spacing w:line="360" w:lineRule="auto"/>
        <w:ind w:left="720" w:hanging="720"/>
        <w:rPr>
          <w:rFonts w:ascii="Arial" w:hAnsi="Arial" w:cs="Arial"/>
          <w:sz w:val="22"/>
          <w:lang w:val="en-US"/>
        </w:rPr>
      </w:pPr>
      <w:r w:rsidRPr="00FB62E5">
        <w:rPr>
          <w:rFonts w:ascii="Arial" w:hAnsi="Arial" w:cs="Arial"/>
          <w:sz w:val="22"/>
          <w:lang w:val="en-US"/>
        </w:rPr>
        <w:lastRenderedPageBreak/>
        <w:t xml:space="preserve">Lima, L. C. (2025). </w:t>
      </w:r>
      <w:proofErr w:type="spellStart"/>
      <w:r w:rsidRPr="00FB62E5">
        <w:rPr>
          <w:rFonts w:ascii="Arial" w:hAnsi="Arial" w:cs="Arial"/>
          <w:sz w:val="22"/>
          <w:lang w:val="en-US"/>
        </w:rPr>
        <w:t>Digitalisation</w:t>
      </w:r>
      <w:proofErr w:type="spellEnd"/>
      <w:r w:rsidRPr="00FB62E5">
        <w:rPr>
          <w:rFonts w:ascii="Arial" w:hAnsi="Arial" w:cs="Arial"/>
          <w:sz w:val="22"/>
          <w:lang w:val="en-US"/>
        </w:rPr>
        <w:t xml:space="preserve"> of adult education and hyper-bureaucracy. </w:t>
      </w:r>
      <w:proofErr w:type="spellStart"/>
      <w:r w:rsidRPr="00FB62E5">
        <w:rPr>
          <w:rFonts w:ascii="Arial" w:hAnsi="Arial" w:cs="Arial"/>
          <w:sz w:val="22"/>
          <w:lang w:val="en-US"/>
        </w:rPr>
        <w:t>Cuestiones</w:t>
      </w:r>
      <w:proofErr w:type="spellEnd"/>
      <w:r w:rsidRPr="00FB62E5">
        <w:rPr>
          <w:rFonts w:ascii="Arial" w:hAnsi="Arial" w:cs="Arial"/>
          <w:sz w:val="22"/>
          <w:lang w:val="en-US"/>
        </w:rPr>
        <w:t xml:space="preserve"> </w:t>
      </w:r>
      <w:proofErr w:type="spellStart"/>
      <w:r w:rsidRPr="00FB62E5">
        <w:rPr>
          <w:rFonts w:ascii="Arial" w:hAnsi="Arial" w:cs="Arial"/>
          <w:sz w:val="22"/>
          <w:lang w:val="en-US"/>
        </w:rPr>
        <w:t>Pedagógicas</w:t>
      </w:r>
      <w:proofErr w:type="spellEnd"/>
      <w:r w:rsidRPr="00FB62E5">
        <w:rPr>
          <w:rFonts w:ascii="Arial" w:hAnsi="Arial" w:cs="Arial"/>
          <w:sz w:val="22"/>
          <w:lang w:val="en-US"/>
        </w:rPr>
        <w:t xml:space="preserve">. </w:t>
      </w:r>
      <w:proofErr w:type="spellStart"/>
      <w:r w:rsidRPr="00FB62E5">
        <w:rPr>
          <w:rFonts w:ascii="Arial" w:hAnsi="Arial" w:cs="Arial"/>
          <w:sz w:val="22"/>
          <w:lang w:val="en-US"/>
        </w:rPr>
        <w:t>Revista</w:t>
      </w:r>
      <w:proofErr w:type="spellEnd"/>
      <w:r w:rsidRPr="00FB62E5">
        <w:rPr>
          <w:rFonts w:ascii="Arial" w:hAnsi="Arial" w:cs="Arial"/>
          <w:sz w:val="22"/>
          <w:lang w:val="en-US"/>
        </w:rPr>
        <w:t xml:space="preserve"> de </w:t>
      </w:r>
      <w:proofErr w:type="spellStart"/>
      <w:r w:rsidRPr="00FB62E5">
        <w:rPr>
          <w:rFonts w:ascii="Arial" w:hAnsi="Arial" w:cs="Arial"/>
          <w:sz w:val="22"/>
          <w:lang w:val="en-US"/>
        </w:rPr>
        <w:t>Ciencias</w:t>
      </w:r>
      <w:proofErr w:type="spellEnd"/>
      <w:r w:rsidRPr="00FB62E5">
        <w:rPr>
          <w:rFonts w:ascii="Arial" w:hAnsi="Arial" w:cs="Arial"/>
          <w:sz w:val="22"/>
          <w:lang w:val="en-US"/>
        </w:rPr>
        <w:t xml:space="preserve"> de la </w:t>
      </w:r>
      <w:proofErr w:type="spellStart"/>
      <w:r w:rsidRPr="00FB62E5">
        <w:rPr>
          <w:rFonts w:ascii="Arial" w:hAnsi="Arial" w:cs="Arial"/>
          <w:sz w:val="22"/>
          <w:lang w:val="en-US"/>
        </w:rPr>
        <w:t>Educación</w:t>
      </w:r>
      <w:proofErr w:type="spellEnd"/>
      <w:r w:rsidRPr="00FB62E5">
        <w:rPr>
          <w:rFonts w:ascii="Arial" w:hAnsi="Arial" w:cs="Arial"/>
          <w:sz w:val="22"/>
          <w:lang w:val="en-US"/>
        </w:rPr>
        <w:t xml:space="preserve">, 1(34), 17-30. </w:t>
      </w:r>
    </w:p>
    <w:p w14:paraId="2C94CD54" w14:textId="77777777" w:rsidR="00000C87" w:rsidRPr="00FB62E5" w:rsidRDefault="00555065" w:rsidP="00FB62E5">
      <w:pPr>
        <w:spacing w:line="360" w:lineRule="auto"/>
        <w:ind w:left="720" w:hanging="720"/>
        <w:rPr>
          <w:rFonts w:ascii="Arial" w:hAnsi="Arial" w:cs="Arial"/>
          <w:sz w:val="22"/>
          <w:lang w:val="en-US"/>
        </w:rPr>
      </w:pPr>
      <w:r w:rsidRPr="00FB62E5">
        <w:rPr>
          <w:rFonts w:ascii="Arial" w:hAnsi="Arial" w:cs="Arial"/>
          <w:sz w:val="22"/>
          <w:lang w:val="en-US"/>
        </w:rPr>
        <w:t xml:space="preserve">Medical Technology Group (2024). Levelling Up or Levelling Down: The Impact of Integrated Care Systems on the Delivery of Care 2. [online] Available at: </w:t>
      </w:r>
      <w:hyperlink r:id="rId11" w:history="1">
        <w:r w:rsidRPr="00FB62E5">
          <w:rPr>
            <w:rStyle w:val="Hyperlink"/>
            <w:rFonts w:ascii="Arial" w:hAnsi="Arial" w:cs="Arial"/>
            <w:sz w:val="22"/>
            <w:lang w:val="en-US"/>
          </w:rPr>
          <w:t>https://mtg.org.uk/wp-content/uploads/2024/04/RationWatch-Report-2024.pdf</w:t>
        </w:r>
      </w:hyperlink>
      <w:r w:rsidRPr="00FB62E5">
        <w:rPr>
          <w:rFonts w:ascii="Arial" w:hAnsi="Arial" w:cs="Arial"/>
          <w:sz w:val="22"/>
          <w:lang w:val="en-US"/>
        </w:rPr>
        <w:t xml:space="preserve">. </w:t>
      </w:r>
    </w:p>
    <w:p w14:paraId="6395DBA5" w14:textId="77777777" w:rsidR="00000C87" w:rsidRPr="00FB62E5" w:rsidRDefault="00555065" w:rsidP="00FB62E5">
      <w:pPr>
        <w:spacing w:line="360" w:lineRule="auto"/>
        <w:ind w:left="720" w:hanging="720"/>
        <w:rPr>
          <w:rFonts w:ascii="Arial" w:hAnsi="Arial" w:cs="Arial"/>
          <w:sz w:val="22"/>
          <w:lang w:val="en-US"/>
        </w:rPr>
      </w:pPr>
      <w:r w:rsidRPr="00FB62E5">
        <w:rPr>
          <w:rFonts w:ascii="Arial" w:hAnsi="Arial" w:cs="Arial"/>
          <w:sz w:val="22"/>
          <w:lang w:val="en-US"/>
        </w:rPr>
        <w:t xml:space="preserve">National Audit Office (2023). Digital transformation in the NHS. [online] Available at: </w:t>
      </w:r>
      <w:hyperlink r:id="rId12" w:history="1">
        <w:r w:rsidRPr="00FB62E5">
          <w:rPr>
            <w:rStyle w:val="Hyperlink"/>
            <w:rFonts w:ascii="Arial" w:hAnsi="Arial" w:cs="Arial"/>
            <w:sz w:val="22"/>
            <w:lang w:val="en-US"/>
          </w:rPr>
          <w:t>https://www.nao.org.uk/wp-content/uploads/2019/05/Digital-transformation-in-the-NHS.pdf</w:t>
        </w:r>
      </w:hyperlink>
      <w:r w:rsidRPr="00FB62E5">
        <w:rPr>
          <w:rFonts w:ascii="Arial" w:hAnsi="Arial" w:cs="Arial"/>
          <w:sz w:val="22"/>
          <w:lang w:val="en-US"/>
        </w:rPr>
        <w:t xml:space="preserve">. </w:t>
      </w:r>
    </w:p>
    <w:p w14:paraId="07182867" w14:textId="77777777" w:rsidR="00000C87" w:rsidRPr="00FB62E5" w:rsidRDefault="00555065" w:rsidP="00FB62E5">
      <w:pPr>
        <w:spacing w:line="360" w:lineRule="auto"/>
        <w:ind w:left="720" w:hanging="720"/>
        <w:rPr>
          <w:rFonts w:ascii="Arial" w:hAnsi="Arial" w:cs="Arial"/>
          <w:sz w:val="22"/>
          <w:lang w:val="en-US"/>
        </w:rPr>
      </w:pPr>
      <w:r w:rsidRPr="00FB62E5">
        <w:rPr>
          <w:rFonts w:ascii="Arial" w:hAnsi="Arial" w:cs="Arial"/>
          <w:sz w:val="22"/>
          <w:lang w:val="en-US"/>
        </w:rPr>
        <w:t xml:space="preserve">NHS Transformation Directorate. (2025). </w:t>
      </w:r>
      <w:proofErr w:type="spellStart"/>
      <w:r w:rsidRPr="00FB62E5">
        <w:rPr>
          <w:rFonts w:ascii="Arial" w:hAnsi="Arial" w:cs="Arial"/>
          <w:sz w:val="22"/>
          <w:lang w:val="en-US"/>
        </w:rPr>
        <w:t>Digitising</w:t>
      </w:r>
      <w:proofErr w:type="spellEnd"/>
      <w:r w:rsidRPr="00FB62E5">
        <w:rPr>
          <w:rFonts w:ascii="Arial" w:hAnsi="Arial" w:cs="Arial"/>
          <w:sz w:val="22"/>
          <w:lang w:val="en-US"/>
        </w:rPr>
        <w:t xml:space="preserve"> the frontline. [online] Available at: </w:t>
      </w:r>
      <w:hyperlink r:id="rId13" w:history="1">
        <w:r w:rsidRPr="00FB62E5">
          <w:rPr>
            <w:rStyle w:val="Hyperlink"/>
            <w:rFonts w:ascii="Arial" w:hAnsi="Arial" w:cs="Arial"/>
            <w:sz w:val="22"/>
            <w:lang w:val="en-US"/>
          </w:rPr>
          <w:t>https://transform.england.nhs.uk/digitise-connect-transform/digitising-the-frontline/</w:t>
        </w:r>
      </w:hyperlink>
      <w:r w:rsidRPr="00FB62E5">
        <w:rPr>
          <w:rFonts w:ascii="Arial" w:hAnsi="Arial" w:cs="Arial"/>
          <w:sz w:val="22"/>
          <w:lang w:val="en-US"/>
        </w:rPr>
        <w:t xml:space="preserve">. </w:t>
      </w:r>
    </w:p>
    <w:p w14:paraId="44D2BAA1" w14:textId="77777777" w:rsidR="00000C87" w:rsidRPr="00FB62E5" w:rsidRDefault="00555065" w:rsidP="00FB62E5">
      <w:pPr>
        <w:spacing w:line="360" w:lineRule="auto"/>
        <w:ind w:left="720" w:hanging="720"/>
        <w:rPr>
          <w:rFonts w:ascii="Arial" w:hAnsi="Arial" w:cs="Arial"/>
          <w:sz w:val="22"/>
          <w:lang w:val="en-US"/>
        </w:rPr>
      </w:pPr>
      <w:r w:rsidRPr="00FB62E5">
        <w:rPr>
          <w:rFonts w:ascii="Arial" w:hAnsi="Arial" w:cs="Arial"/>
          <w:sz w:val="22"/>
          <w:lang w:val="en-US"/>
        </w:rPr>
        <w:t xml:space="preserve">NIHR Open Research (2025). DIALOGUE: Digital care technologies for social connection, care and support of older adults.  Final Project Report. NIHR Open Research, [online] 5, p.95. </w:t>
      </w:r>
      <w:proofErr w:type="spellStart"/>
      <w:r w:rsidRPr="00FB62E5">
        <w:rPr>
          <w:rFonts w:ascii="Arial" w:hAnsi="Arial" w:cs="Arial"/>
          <w:sz w:val="22"/>
          <w:lang w:val="en-US"/>
        </w:rPr>
        <w:t>doi</w:t>
      </w:r>
      <w:proofErr w:type="spellEnd"/>
      <w:r w:rsidRPr="00FB62E5">
        <w:rPr>
          <w:rFonts w:ascii="Arial" w:hAnsi="Arial" w:cs="Arial"/>
          <w:sz w:val="22"/>
          <w:lang w:val="en-US"/>
        </w:rPr>
        <w:t xml:space="preserve">: </w:t>
      </w:r>
      <w:hyperlink r:id="rId14" w:history="1">
        <w:r w:rsidRPr="00FB62E5">
          <w:rPr>
            <w:rStyle w:val="Hyperlink"/>
            <w:rFonts w:ascii="Arial" w:hAnsi="Arial" w:cs="Arial"/>
            <w:sz w:val="22"/>
            <w:lang w:val="en-US"/>
          </w:rPr>
          <w:t>https://doi.org/10.3310/nihropenres.13994.1</w:t>
        </w:r>
      </w:hyperlink>
      <w:r w:rsidRPr="00FB62E5">
        <w:rPr>
          <w:rFonts w:ascii="Arial" w:hAnsi="Arial" w:cs="Arial"/>
          <w:sz w:val="22"/>
          <w:lang w:val="en-US"/>
        </w:rPr>
        <w:t xml:space="preserve"> </w:t>
      </w:r>
    </w:p>
    <w:p w14:paraId="634E89B4" w14:textId="77777777" w:rsidR="00000C87" w:rsidRPr="00FB62E5" w:rsidRDefault="00555065" w:rsidP="00FB62E5">
      <w:pPr>
        <w:spacing w:line="360" w:lineRule="auto"/>
        <w:ind w:left="720" w:hanging="720"/>
        <w:rPr>
          <w:rFonts w:ascii="Arial" w:hAnsi="Arial" w:cs="Arial"/>
          <w:sz w:val="22"/>
          <w:lang w:val="en-US"/>
        </w:rPr>
      </w:pPr>
      <w:r w:rsidRPr="00FB62E5">
        <w:rPr>
          <w:rFonts w:ascii="Arial" w:hAnsi="Arial" w:cs="Arial"/>
          <w:sz w:val="22"/>
          <w:lang w:val="en-US"/>
        </w:rPr>
        <w:t xml:space="preserve">Sharma, M. (2024). Security and compliance in cloud ERP systems: A deep dive into Workday's framework. International Scientific Journal of Engineering and Management, 3(12), 1-6. </w:t>
      </w:r>
    </w:p>
    <w:p w14:paraId="5705A8B6" w14:textId="77777777" w:rsidR="00000C87" w:rsidRPr="00FB62E5" w:rsidRDefault="00555065" w:rsidP="00FB62E5">
      <w:pPr>
        <w:spacing w:line="360" w:lineRule="auto"/>
        <w:ind w:left="720" w:hanging="720"/>
        <w:rPr>
          <w:rFonts w:ascii="Arial" w:hAnsi="Arial" w:cs="Arial"/>
          <w:sz w:val="22"/>
          <w:lang w:val="en-US"/>
        </w:rPr>
      </w:pPr>
      <w:r w:rsidRPr="00FB62E5">
        <w:rPr>
          <w:rFonts w:ascii="Arial" w:hAnsi="Arial" w:cs="Arial"/>
          <w:sz w:val="22"/>
          <w:lang w:val="en-US"/>
        </w:rPr>
        <w:t xml:space="preserve">Snow, M., Silva-Ribeiro, W., Baginsky, M., Di Giorgio, S., Farrelly, N., Larkins, C., ... and Malley, J. (2025). Best Practices for Implementing Electronic Care Records in Adult Social Care: Rapid Scoping Review. JMIR ageing, 8, e60107. </w:t>
      </w:r>
    </w:p>
    <w:p w14:paraId="0F2644A8" w14:textId="77777777" w:rsidR="00000C87" w:rsidRPr="00FB62E5" w:rsidRDefault="00555065" w:rsidP="00FB62E5">
      <w:pPr>
        <w:spacing w:line="360" w:lineRule="auto"/>
        <w:ind w:left="720" w:hanging="720"/>
        <w:rPr>
          <w:rFonts w:ascii="Arial" w:hAnsi="Arial" w:cs="Arial"/>
          <w:sz w:val="22"/>
          <w:lang w:val="en-US"/>
        </w:rPr>
      </w:pPr>
      <w:proofErr w:type="spellStart"/>
      <w:r w:rsidRPr="00FB62E5">
        <w:rPr>
          <w:rFonts w:ascii="Arial" w:hAnsi="Arial" w:cs="Arial"/>
          <w:sz w:val="22"/>
          <w:lang w:val="en-US"/>
        </w:rPr>
        <w:t>Zerden</w:t>
      </w:r>
      <w:proofErr w:type="spellEnd"/>
      <w:r w:rsidRPr="00FB62E5">
        <w:rPr>
          <w:rFonts w:ascii="Arial" w:hAnsi="Arial" w:cs="Arial"/>
          <w:sz w:val="22"/>
          <w:lang w:val="en-US"/>
        </w:rPr>
        <w:t xml:space="preserve">, L. D. S., Lombardi, B. M., Richman, E. L., Fraher, E. P., and </w:t>
      </w:r>
      <w:proofErr w:type="spellStart"/>
      <w:r w:rsidRPr="00FB62E5">
        <w:rPr>
          <w:rFonts w:ascii="Arial" w:hAnsi="Arial" w:cs="Arial"/>
          <w:sz w:val="22"/>
          <w:lang w:val="en-US"/>
        </w:rPr>
        <w:t>Shoenbill</w:t>
      </w:r>
      <w:proofErr w:type="spellEnd"/>
      <w:r w:rsidRPr="00FB62E5">
        <w:rPr>
          <w:rFonts w:ascii="Arial" w:hAnsi="Arial" w:cs="Arial"/>
          <w:sz w:val="22"/>
          <w:lang w:val="en-US"/>
        </w:rPr>
        <w:t xml:space="preserve">, K. A. (2021). Harnessing the electronic health record to advance integrated care. Families, Systems, &amp; Health, 39(1), 77. </w:t>
      </w:r>
    </w:p>
    <w:sectPr w:rsidR="00000C87" w:rsidRPr="00FB62E5">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5DB52" w14:textId="77777777" w:rsidR="006B7485" w:rsidRDefault="006B7485">
      <w:pPr>
        <w:spacing w:after="0" w:line="240" w:lineRule="auto"/>
      </w:pPr>
      <w:r>
        <w:separator/>
      </w:r>
    </w:p>
  </w:endnote>
  <w:endnote w:type="continuationSeparator" w:id="0">
    <w:p w14:paraId="4C279520" w14:textId="77777777" w:rsidR="006B7485" w:rsidRDefault="006B74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634DC" w14:textId="77777777" w:rsidR="00540FF6" w:rsidRDefault="00540F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A205B" w14:textId="77777777" w:rsidR="00540FF6" w:rsidRDefault="00540F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30A06" w14:textId="77777777" w:rsidR="00540FF6" w:rsidRDefault="00540F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2C389" w14:textId="77777777" w:rsidR="006B7485" w:rsidRDefault="006B7485">
      <w:pPr>
        <w:spacing w:after="0" w:line="240" w:lineRule="auto"/>
      </w:pPr>
      <w:r>
        <w:separator/>
      </w:r>
    </w:p>
  </w:footnote>
  <w:footnote w:type="continuationSeparator" w:id="0">
    <w:p w14:paraId="7824507A" w14:textId="77777777" w:rsidR="006B7485" w:rsidRDefault="006B74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8DDB8" w14:textId="77777777" w:rsidR="00540FF6" w:rsidRDefault="00540F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327924"/>
      <w:docPartObj>
        <w:docPartGallery w:val="Page Numbers (Top of Page)"/>
        <w:docPartUnique/>
      </w:docPartObj>
    </w:sdtPr>
    <w:sdtEndPr>
      <w:rPr>
        <w:noProof/>
      </w:rPr>
    </w:sdtEndPr>
    <w:sdtContent>
      <w:p w14:paraId="4A3AFE00" w14:textId="2FC86290" w:rsidR="00540FF6" w:rsidRDefault="0055506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FB6753B" w14:textId="77777777" w:rsidR="00A87576" w:rsidRDefault="00A87576" w:rsidP="007029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D13B0" w14:textId="77777777" w:rsidR="00540FF6" w:rsidRDefault="00540F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11F25"/>
    <w:multiLevelType w:val="hybridMultilevel"/>
    <w:tmpl w:val="25F0AD82"/>
    <w:lvl w:ilvl="0" w:tplc="8B3ACE40">
      <w:start w:val="1"/>
      <w:numFmt w:val="bullet"/>
      <w:lvlText w:val=""/>
      <w:lvlJc w:val="left"/>
      <w:pPr>
        <w:ind w:left="720" w:hanging="360"/>
      </w:pPr>
      <w:rPr>
        <w:rFonts w:ascii="Symbol" w:hAnsi="Symbol" w:hint="default"/>
      </w:rPr>
    </w:lvl>
    <w:lvl w:ilvl="1" w:tplc="F588F2FE" w:tentative="1">
      <w:start w:val="1"/>
      <w:numFmt w:val="bullet"/>
      <w:lvlText w:val="o"/>
      <w:lvlJc w:val="left"/>
      <w:pPr>
        <w:ind w:left="1440" w:hanging="360"/>
      </w:pPr>
      <w:rPr>
        <w:rFonts w:ascii="Courier New" w:hAnsi="Courier New" w:cs="Courier New" w:hint="default"/>
      </w:rPr>
    </w:lvl>
    <w:lvl w:ilvl="2" w:tplc="836C53EE" w:tentative="1">
      <w:start w:val="1"/>
      <w:numFmt w:val="bullet"/>
      <w:lvlText w:val=""/>
      <w:lvlJc w:val="left"/>
      <w:pPr>
        <w:ind w:left="2160" w:hanging="360"/>
      </w:pPr>
      <w:rPr>
        <w:rFonts w:ascii="Wingdings" w:hAnsi="Wingdings" w:hint="default"/>
      </w:rPr>
    </w:lvl>
    <w:lvl w:ilvl="3" w:tplc="6C3E0876" w:tentative="1">
      <w:start w:val="1"/>
      <w:numFmt w:val="bullet"/>
      <w:lvlText w:val=""/>
      <w:lvlJc w:val="left"/>
      <w:pPr>
        <w:ind w:left="2880" w:hanging="360"/>
      </w:pPr>
      <w:rPr>
        <w:rFonts w:ascii="Symbol" w:hAnsi="Symbol" w:hint="default"/>
      </w:rPr>
    </w:lvl>
    <w:lvl w:ilvl="4" w:tplc="D6F4F044" w:tentative="1">
      <w:start w:val="1"/>
      <w:numFmt w:val="bullet"/>
      <w:lvlText w:val="o"/>
      <w:lvlJc w:val="left"/>
      <w:pPr>
        <w:ind w:left="3600" w:hanging="360"/>
      </w:pPr>
      <w:rPr>
        <w:rFonts w:ascii="Courier New" w:hAnsi="Courier New" w:cs="Courier New" w:hint="default"/>
      </w:rPr>
    </w:lvl>
    <w:lvl w:ilvl="5" w:tplc="F676BCC4" w:tentative="1">
      <w:start w:val="1"/>
      <w:numFmt w:val="bullet"/>
      <w:lvlText w:val=""/>
      <w:lvlJc w:val="left"/>
      <w:pPr>
        <w:ind w:left="4320" w:hanging="360"/>
      </w:pPr>
      <w:rPr>
        <w:rFonts w:ascii="Wingdings" w:hAnsi="Wingdings" w:hint="default"/>
      </w:rPr>
    </w:lvl>
    <w:lvl w:ilvl="6" w:tplc="4400407A" w:tentative="1">
      <w:start w:val="1"/>
      <w:numFmt w:val="bullet"/>
      <w:lvlText w:val=""/>
      <w:lvlJc w:val="left"/>
      <w:pPr>
        <w:ind w:left="5040" w:hanging="360"/>
      </w:pPr>
      <w:rPr>
        <w:rFonts w:ascii="Symbol" w:hAnsi="Symbol" w:hint="default"/>
      </w:rPr>
    </w:lvl>
    <w:lvl w:ilvl="7" w:tplc="F1E438CA" w:tentative="1">
      <w:start w:val="1"/>
      <w:numFmt w:val="bullet"/>
      <w:lvlText w:val="o"/>
      <w:lvlJc w:val="left"/>
      <w:pPr>
        <w:ind w:left="5760" w:hanging="360"/>
      </w:pPr>
      <w:rPr>
        <w:rFonts w:ascii="Courier New" w:hAnsi="Courier New" w:cs="Courier New" w:hint="default"/>
      </w:rPr>
    </w:lvl>
    <w:lvl w:ilvl="8" w:tplc="EC285F8A" w:tentative="1">
      <w:start w:val="1"/>
      <w:numFmt w:val="bullet"/>
      <w:lvlText w:val=""/>
      <w:lvlJc w:val="left"/>
      <w:pPr>
        <w:ind w:left="6480" w:hanging="360"/>
      </w:pPr>
      <w:rPr>
        <w:rFonts w:ascii="Wingdings" w:hAnsi="Wingdings" w:hint="default"/>
      </w:rPr>
    </w:lvl>
  </w:abstractNum>
  <w:abstractNum w:abstractNumId="1" w15:restartNumberingAfterBreak="0">
    <w:nsid w:val="16586BF2"/>
    <w:multiLevelType w:val="hybridMultilevel"/>
    <w:tmpl w:val="E5C8BE4E"/>
    <w:lvl w:ilvl="0" w:tplc="7AD4A444">
      <w:start w:val="1"/>
      <w:numFmt w:val="bullet"/>
      <w:lvlText w:val=""/>
      <w:lvlJc w:val="left"/>
      <w:pPr>
        <w:ind w:left="720" w:hanging="360"/>
      </w:pPr>
      <w:rPr>
        <w:rFonts w:ascii="Symbol" w:hAnsi="Symbol" w:hint="default"/>
      </w:rPr>
    </w:lvl>
    <w:lvl w:ilvl="1" w:tplc="2DE2AF40" w:tentative="1">
      <w:start w:val="1"/>
      <w:numFmt w:val="bullet"/>
      <w:lvlText w:val="o"/>
      <w:lvlJc w:val="left"/>
      <w:pPr>
        <w:ind w:left="1440" w:hanging="360"/>
      </w:pPr>
      <w:rPr>
        <w:rFonts w:ascii="Courier New" w:hAnsi="Courier New" w:cs="Courier New" w:hint="default"/>
      </w:rPr>
    </w:lvl>
    <w:lvl w:ilvl="2" w:tplc="D8C4574E" w:tentative="1">
      <w:start w:val="1"/>
      <w:numFmt w:val="bullet"/>
      <w:lvlText w:val=""/>
      <w:lvlJc w:val="left"/>
      <w:pPr>
        <w:ind w:left="2160" w:hanging="360"/>
      </w:pPr>
      <w:rPr>
        <w:rFonts w:ascii="Wingdings" w:hAnsi="Wingdings" w:hint="default"/>
      </w:rPr>
    </w:lvl>
    <w:lvl w:ilvl="3" w:tplc="C8F4F518" w:tentative="1">
      <w:start w:val="1"/>
      <w:numFmt w:val="bullet"/>
      <w:lvlText w:val=""/>
      <w:lvlJc w:val="left"/>
      <w:pPr>
        <w:ind w:left="2880" w:hanging="360"/>
      </w:pPr>
      <w:rPr>
        <w:rFonts w:ascii="Symbol" w:hAnsi="Symbol" w:hint="default"/>
      </w:rPr>
    </w:lvl>
    <w:lvl w:ilvl="4" w:tplc="35CE7C76" w:tentative="1">
      <w:start w:val="1"/>
      <w:numFmt w:val="bullet"/>
      <w:lvlText w:val="o"/>
      <w:lvlJc w:val="left"/>
      <w:pPr>
        <w:ind w:left="3600" w:hanging="360"/>
      </w:pPr>
      <w:rPr>
        <w:rFonts w:ascii="Courier New" w:hAnsi="Courier New" w:cs="Courier New" w:hint="default"/>
      </w:rPr>
    </w:lvl>
    <w:lvl w:ilvl="5" w:tplc="32740F7A" w:tentative="1">
      <w:start w:val="1"/>
      <w:numFmt w:val="bullet"/>
      <w:lvlText w:val=""/>
      <w:lvlJc w:val="left"/>
      <w:pPr>
        <w:ind w:left="4320" w:hanging="360"/>
      </w:pPr>
      <w:rPr>
        <w:rFonts w:ascii="Wingdings" w:hAnsi="Wingdings" w:hint="default"/>
      </w:rPr>
    </w:lvl>
    <w:lvl w:ilvl="6" w:tplc="3AE487AC" w:tentative="1">
      <w:start w:val="1"/>
      <w:numFmt w:val="bullet"/>
      <w:lvlText w:val=""/>
      <w:lvlJc w:val="left"/>
      <w:pPr>
        <w:ind w:left="5040" w:hanging="360"/>
      </w:pPr>
      <w:rPr>
        <w:rFonts w:ascii="Symbol" w:hAnsi="Symbol" w:hint="default"/>
      </w:rPr>
    </w:lvl>
    <w:lvl w:ilvl="7" w:tplc="552A9064" w:tentative="1">
      <w:start w:val="1"/>
      <w:numFmt w:val="bullet"/>
      <w:lvlText w:val="o"/>
      <w:lvlJc w:val="left"/>
      <w:pPr>
        <w:ind w:left="5760" w:hanging="360"/>
      </w:pPr>
      <w:rPr>
        <w:rFonts w:ascii="Courier New" w:hAnsi="Courier New" w:cs="Courier New" w:hint="default"/>
      </w:rPr>
    </w:lvl>
    <w:lvl w:ilvl="8" w:tplc="E798704E" w:tentative="1">
      <w:start w:val="1"/>
      <w:numFmt w:val="bullet"/>
      <w:lvlText w:val=""/>
      <w:lvlJc w:val="left"/>
      <w:pPr>
        <w:ind w:left="6480" w:hanging="360"/>
      </w:pPr>
      <w:rPr>
        <w:rFonts w:ascii="Wingdings" w:hAnsi="Wingdings" w:hint="default"/>
      </w:rPr>
    </w:lvl>
  </w:abstractNum>
  <w:abstractNum w:abstractNumId="2" w15:restartNumberingAfterBreak="0">
    <w:nsid w:val="5C671407"/>
    <w:multiLevelType w:val="hybridMultilevel"/>
    <w:tmpl w:val="274E4772"/>
    <w:lvl w:ilvl="0" w:tplc="6D1EB8EA">
      <w:start w:val="1"/>
      <w:numFmt w:val="decimal"/>
      <w:lvlText w:val="%1."/>
      <w:lvlJc w:val="left"/>
      <w:pPr>
        <w:ind w:left="720" w:hanging="360"/>
      </w:pPr>
    </w:lvl>
    <w:lvl w:ilvl="1" w:tplc="73284686" w:tentative="1">
      <w:start w:val="1"/>
      <w:numFmt w:val="lowerLetter"/>
      <w:lvlText w:val="%2."/>
      <w:lvlJc w:val="left"/>
      <w:pPr>
        <w:ind w:left="1440" w:hanging="360"/>
      </w:pPr>
    </w:lvl>
    <w:lvl w:ilvl="2" w:tplc="F5CE6A3E" w:tentative="1">
      <w:start w:val="1"/>
      <w:numFmt w:val="lowerRoman"/>
      <w:lvlText w:val="%3."/>
      <w:lvlJc w:val="right"/>
      <w:pPr>
        <w:ind w:left="2160" w:hanging="180"/>
      </w:pPr>
    </w:lvl>
    <w:lvl w:ilvl="3" w:tplc="4336ED30" w:tentative="1">
      <w:start w:val="1"/>
      <w:numFmt w:val="decimal"/>
      <w:lvlText w:val="%4."/>
      <w:lvlJc w:val="left"/>
      <w:pPr>
        <w:ind w:left="2880" w:hanging="360"/>
      </w:pPr>
    </w:lvl>
    <w:lvl w:ilvl="4" w:tplc="015ED028" w:tentative="1">
      <w:start w:val="1"/>
      <w:numFmt w:val="lowerLetter"/>
      <w:lvlText w:val="%5."/>
      <w:lvlJc w:val="left"/>
      <w:pPr>
        <w:ind w:left="3600" w:hanging="360"/>
      </w:pPr>
    </w:lvl>
    <w:lvl w:ilvl="5" w:tplc="2A4ABE7E" w:tentative="1">
      <w:start w:val="1"/>
      <w:numFmt w:val="lowerRoman"/>
      <w:lvlText w:val="%6."/>
      <w:lvlJc w:val="right"/>
      <w:pPr>
        <w:ind w:left="4320" w:hanging="180"/>
      </w:pPr>
    </w:lvl>
    <w:lvl w:ilvl="6" w:tplc="82963312" w:tentative="1">
      <w:start w:val="1"/>
      <w:numFmt w:val="decimal"/>
      <w:lvlText w:val="%7."/>
      <w:lvlJc w:val="left"/>
      <w:pPr>
        <w:ind w:left="5040" w:hanging="360"/>
      </w:pPr>
    </w:lvl>
    <w:lvl w:ilvl="7" w:tplc="A38E28A2" w:tentative="1">
      <w:start w:val="1"/>
      <w:numFmt w:val="lowerLetter"/>
      <w:lvlText w:val="%8."/>
      <w:lvlJc w:val="left"/>
      <w:pPr>
        <w:ind w:left="5760" w:hanging="360"/>
      </w:pPr>
    </w:lvl>
    <w:lvl w:ilvl="8" w:tplc="52DEA3C4" w:tentative="1">
      <w:start w:val="1"/>
      <w:numFmt w:val="lowerRoman"/>
      <w:lvlText w:val="%9."/>
      <w:lvlJc w:val="right"/>
      <w:pPr>
        <w:ind w:left="6480" w:hanging="180"/>
      </w:pPr>
    </w:lvl>
  </w:abstractNum>
  <w:num w:numId="1" w16cid:durableId="380523180">
    <w:abstractNumId w:val="0"/>
  </w:num>
  <w:num w:numId="2" w16cid:durableId="129905550">
    <w:abstractNumId w:val="1"/>
  </w:num>
  <w:num w:numId="3" w16cid:durableId="12808682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F89"/>
    <w:rsid w:val="00000C87"/>
    <w:rsid w:val="00001AA3"/>
    <w:rsid w:val="000023DB"/>
    <w:rsid w:val="000109A9"/>
    <w:rsid w:val="00017183"/>
    <w:rsid w:val="00017DF8"/>
    <w:rsid w:val="00022609"/>
    <w:rsid w:val="00026FFD"/>
    <w:rsid w:val="00034E85"/>
    <w:rsid w:val="000403DC"/>
    <w:rsid w:val="00040DA7"/>
    <w:rsid w:val="00043794"/>
    <w:rsid w:val="000528D5"/>
    <w:rsid w:val="00055C82"/>
    <w:rsid w:val="000626E0"/>
    <w:rsid w:val="0006684D"/>
    <w:rsid w:val="00071CEB"/>
    <w:rsid w:val="00093418"/>
    <w:rsid w:val="00093C6D"/>
    <w:rsid w:val="000A31C2"/>
    <w:rsid w:val="000B2B02"/>
    <w:rsid w:val="000E4057"/>
    <w:rsid w:val="000F0C31"/>
    <w:rsid w:val="000F3B14"/>
    <w:rsid w:val="00102444"/>
    <w:rsid w:val="00104C71"/>
    <w:rsid w:val="00107498"/>
    <w:rsid w:val="00110AB4"/>
    <w:rsid w:val="00113F0A"/>
    <w:rsid w:val="00136599"/>
    <w:rsid w:val="00144F69"/>
    <w:rsid w:val="00145914"/>
    <w:rsid w:val="00145C7E"/>
    <w:rsid w:val="001574FE"/>
    <w:rsid w:val="00160724"/>
    <w:rsid w:val="001732CE"/>
    <w:rsid w:val="001817CB"/>
    <w:rsid w:val="0018235D"/>
    <w:rsid w:val="0018545A"/>
    <w:rsid w:val="001863CD"/>
    <w:rsid w:val="00191971"/>
    <w:rsid w:val="00192B0D"/>
    <w:rsid w:val="001A3032"/>
    <w:rsid w:val="001B0942"/>
    <w:rsid w:val="001C159B"/>
    <w:rsid w:val="001D7C27"/>
    <w:rsid w:val="00205FBC"/>
    <w:rsid w:val="0022050C"/>
    <w:rsid w:val="00250BAF"/>
    <w:rsid w:val="00252656"/>
    <w:rsid w:val="00256E5C"/>
    <w:rsid w:val="00257C58"/>
    <w:rsid w:val="002867AB"/>
    <w:rsid w:val="00287DEB"/>
    <w:rsid w:val="002C4E78"/>
    <w:rsid w:val="002D45C2"/>
    <w:rsid w:val="002D4E24"/>
    <w:rsid w:val="002E48DC"/>
    <w:rsid w:val="002E650A"/>
    <w:rsid w:val="002F31F6"/>
    <w:rsid w:val="00307E34"/>
    <w:rsid w:val="00311040"/>
    <w:rsid w:val="00324C80"/>
    <w:rsid w:val="00344968"/>
    <w:rsid w:val="00350909"/>
    <w:rsid w:val="00354E9B"/>
    <w:rsid w:val="00381AFE"/>
    <w:rsid w:val="00392165"/>
    <w:rsid w:val="003966CB"/>
    <w:rsid w:val="00397A12"/>
    <w:rsid w:val="003A4DC2"/>
    <w:rsid w:val="003B2E32"/>
    <w:rsid w:val="003B6220"/>
    <w:rsid w:val="003B6D98"/>
    <w:rsid w:val="003D3815"/>
    <w:rsid w:val="003F0F03"/>
    <w:rsid w:val="003F1E6B"/>
    <w:rsid w:val="003F2565"/>
    <w:rsid w:val="003F3465"/>
    <w:rsid w:val="003F6C35"/>
    <w:rsid w:val="00407E47"/>
    <w:rsid w:val="00422F76"/>
    <w:rsid w:val="00440D8C"/>
    <w:rsid w:val="00454DC2"/>
    <w:rsid w:val="00462118"/>
    <w:rsid w:val="00463A29"/>
    <w:rsid w:val="0046442B"/>
    <w:rsid w:val="00466B61"/>
    <w:rsid w:val="00466B91"/>
    <w:rsid w:val="004768E0"/>
    <w:rsid w:val="00486402"/>
    <w:rsid w:val="004959F3"/>
    <w:rsid w:val="0049655F"/>
    <w:rsid w:val="00496A07"/>
    <w:rsid w:val="004A02E4"/>
    <w:rsid w:val="004A351B"/>
    <w:rsid w:val="004B0727"/>
    <w:rsid w:val="004C085F"/>
    <w:rsid w:val="004C30B1"/>
    <w:rsid w:val="004C3A82"/>
    <w:rsid w:val="004C5212"/>
    <w:rsid w:val="004D1F75"/>
    <w:rsid w:val="004E04B9"/>
    <w:rsid w:val="004F5554"/>
    <w:rsid w:val="00521BE3"/>
    <w:rsid w:val="005236E9"/>
    <w:rsid w:val="00532E4D"/>
    <w:rsid w:val="005368E3"/>
    <w:rsid w:val="0054023C"/>
    <w:rsid w:val="00540FF6"/>
    <w:rsid w:val="005475A8"/>
    <w:rsid w:val="00555065"/>
    <w:rsid w:val="0057213A"/>
    <w:rsid w:val="005A0FCA"/>
    <w:rsid w:val="005A574B"/>
    <w:rsid w:val="005A6D79"/>
    <w:rsid w:val="005B2A8C"/>
    <w:rsid w:val="005B61EA"/>
    <w:rsid w:val="005C0391"/>
    <w:rsid w:val="005C1D9B"/>
    <w:rsid w:val="005E1D3B"/>
    <w:rsid w:val="005F1FBF"/>
    <w:rsid w:val="0060528A"/>
    <w:rsid w:val="006468C0"/>
    <w:rsid w:val="006475B8"/>
    <w:rsid w:val="0065581E"/>
    <w:rsid w:val="00693C5D"/>
    <w:rsid w:val="006A3C3F"/>
    <w:rsid w:val="006B7485"/>
    <w:rsid w:val="006C7F2A"/>
    <w:rsid w:val="006D7BF8"/>
    <w:rsid w:val="006E4C6E"/>
    <w:rsid w:val="006E6917"/>
    <w:rsid w:val="006E7D34"/>
    <w:rsid w:val="006F5378"/>
    <w:rsid w:val="006F789B"/>
    <w:rsid w:val="007029F9"/>
    <w:rsid w:val="00713C96"/>
    <w:rsid w:val="00730027"/>
    <w:rsid w:val="00730DAB"/>
    <w:rsid w:val="00742BA4"/>
    <w:rsid w:val="00745758"/>
    <w:rsid w:val="007521CF"/>
    <w:rsid w:val="00776192"/>
    <w:rsid w:val="00791442"/>
    <w:rsid w:val="007978B8"/>
    <w:rsid w:val="007A3A32"/>
    <w:rsid w:val="007B21A0"/>
    <w:rsid w:val="007B3780"/>
    <w:rsid w:val="007C5313"/>
    <w:rsid w:val="007E07BB"/>
    <w:rsid w:val="007E74A7"/>
    <w:rsid w:val="007F54F4"/>
    <w:rsid w:val="008006A9"/>
    <w:rsid w:val="00823052"/>
    <w:rsid w:val="00840E87"/>
    <w:rsid w:val="00843E71"/>
    <w:rsid w:val="00853131"/>
    <w:rsid w:val="00854362"/>
    <w:rsid w:val="00866ECE"/>
    <w:rsid w:val="008718F9"/>
    <w:rsid w:val="0088274F"/>
    <w:rsid w:val="00893D49"/>
    <w:rsid w:val="00895A34"/>
    <w:rsid w:val="0089662B"/>
    <w:rsid w:val="008A29CF"/>
    <w:rsid w:val="008B3DC2"/>
    <w:rsid w:val="008C6A90"/>
    <w:rsid w:val="008D111B"/>
    <w:rsid w:val="008D27B5"/>
    <w:rsid w:val="008D404B"/>
    <w:rsid w:val="008E78C9"/>
    <w:rsid w:val="008F224E"/>
    <w:rsid w:val="00905B37"/>
    <w:rsid w:val="0091483F"/>
    <w:rsid w:val="0091704F"/>
    <w:rsid w:val="00921602"/>
    <w:rsid w:val="0092632C"/>
    <w:rsid w:val="00927825"/>
    <w:rsid w:val="00935075"/>
    <w:rsid w:val="00937C07"/>
    <w:rsid w:val="00937C4B"/>
    <w:rsid w:val="0094411A"/>
    <w:rsid w:val="00955871"/>
    <w:rsid w:val="009721F0"/>
    <w:rsid w:val="00983947"/>
    <w:rsid w:val="00991F89"/>
    <w:rsid w:val="0099341C"/>
    <w:rsid w:val="009953C5"/>
    <w:rsid w:val="009A4EAD"/>
    <w:rsid w:val="009A5F09"/>
    <w:rsid w:val="009B6724"/>
    <w:rsid w:val="009C1A57"/>
    <w:rsid w:val="009C60F1"/>
    <w:rsid w:val="009F2A74"/>
    <w:rsid w:val="009F6BDF"/>
    <w:rsid w:val="00A030FF"/>
    <w:rsid w:val="00A05A71"/>
    <w:rsid w:val="00A0768B"/>
    <w:rsid w:val="00A105DC"/>
    <w:rsid w:val="00A26D7B"/>
    <w:rsid w:val="00A478DB"/>
    <w:rsid w:val="00A53D3B"/>
    <w:rsid w:val="00A53E0A"/>
    <w:rsid w:val="00A56384"/>
    <w:rsid w:val="00A610B5"/>
    <w:rsid w:val="00A67CE4"/>
    <w:rsid w:val="00A71055"/>
    <w:rsid w:val="00A723F4"/>
    <w:rsid w:val="00A731A5"/>
    <w:rsid w:val="00A74605"/>
    <w:rsid w:val="00A82B9E"/>
    <w:rsid w:val="00A85BE5"/>
    <w:rsid w:val="00A87576"/>
    <w:rsid w:val="00A87622"/>
    <w:rsid w:val="00A94AE9"/>
    <w:rsid w:val="00AA60AF"/>
    <w:rsid w:val="00AB57B1"/>
    <w:rsid w:val="00AD3547"/>
    <w:rsid w:val="00AD4684"/>
    <w:rsid w:val="00AD5B39"/>
    <w:rsid w:val="00AF01F3"/>
    <w:rsid w:val="00AF1065"/>
    <w:rsid w:val="00B02FE6"/>
    <w:rsid w:val="00B04C54"/>
    <w:rsid w:val="00B12550"/>
    <w:rsid w:val="00B214DE"/>
    <w:rsid w:val="00B44CA7"/>
    <w:rsid w:val="00B45FD2"/>
    <w:rsid w:val="00B46594"/>
    <w:rsid w:val="00B47BEB"/>
    <w:rsid w:val="00B55170"/>
    <w:rsid w:val="00B623BD"/>
    <w:rsid w:val="00B83D0E"/>
    <w:rsid w:val="00BA4BE3"/>
    <w:rsid w:val="00BA5040"/>
    <w:rsid w:val="00BC6237"/>
    <w:rsid w:val="00BE1926"/>
    <w:rsid w:val="00C019D3"/>
    <w:rsid w:val="00C07098"/>
    <w:rsid w:val="00C23CE5"/>
    <w:rsid w:val="00C33318"/>
    <w:rsid w:val="00C404C2"/>
    <w:rsid w:val="00C40D85"/>
    <w:rsid w:val="00C40DF5"/>
    <w:rsid w:val="00C4185F"/>
    <w:rsid w:val="00C579D7"/>
    <w:rsid w:val="00C60C92"/>
    <w:rsid w:val="00C67B6F"/>
    <w:rsid w:val="00C71C6A"/>
    <w:rsid w:val="00C76260"/>
    <w:rsid w:val="00C809C2"/>
    <w:rsid w:val="00C87318"/>
    <w:rsid w:val="00C91D4B"/>
    <w:rsid w:val="00C9395F"/>
    <w:rsid w:val="00C93A96"/>
    <w:rsid w:val="00CA0925"/>
    <w:rsid w:val="00CA4D05"/>
    <w:rsid w:val="00CB2867"/>
    <w:rsid w:val="00CC6206"/>
    <w:rsid w:val="00CE149A"/>
    <w:rsid w:val="00CE20FE"/>
    <w:rsid w:val="00CF05E0"/>
    <w:rsid w:val="00CF40DB"/>
    <w:rsid w:val="00CF63CA"/>
    <w:rsid w:val="00D03836"/>
    <w:rsid w:val="00D0565C"/>
    <w:rsid w:val="00D165ED"/>
    <w:rsid w:val="00D33EED"/>
    <w:rsid w:val="00D410CC"/>
    <w:rsid w:val="00D51288"/>
    <w:rsid w:val="00D54043"/>
    <w:rsid w:val="00D66A66"/>
    <w:rsid w:val="00D82749"/>
    <w:rsid w:val="00D82995"/>
    <w:rsid w:val="00DB6CEB"/>
    <w:rsid w:val="00DC3907"/>
    <w:rsid w:val="00DD5E48"/>
    <w:rsid w:val="00DD6690"/>
    <w:rsid w:val="00DE1E73"/>
    <w:rsid w:val="00E13095"/>
    <w:rsid w:val="00E13BAC"/>
    <w:rsid w:val="00E30161"/>
    <w:rsid w:val="00E30880"/>
    <w:rsid w:val="00E47C7D"/>
    <w:rsid w:val="00E56D9A"/>
    <w:rsid w:val="00E66606"/>
    <w:rsid w:val="00E7014C"/>
    <w:rsid w:val="00E978DE"/>
    <w:rsid w:val="00EB191A"/>
    <w:rsid w:val="00EB5E21"/>
    <w:rsid w:val="00EB6749"/>
    <w:rsid w:val="00EC2853"/>
    <w:rsid w:val="00ED08E3"/>
    <w:rsid w:val="00ED63A9"/>
    <w:rsid w:val="00ED6F04"/>
    <w:rsid w:val="00EF6D1E"/>
    <w:rsid w:val="00EF7B52"/>
    <w:rsid w:val="00F01B92"/>
    <w:rsid w:val="00F04923"/>
    <w:rsid w:val="00F1212A"/>
    <w:rsid w:val="00F150A3"/>
    <w:rsid w:val="00F275D2"/>
    <w:rsid w:val="00F307B6"/>
    <w:rsid w:val="00F3521B"/>
    <w:rsid w:val="00F3599C"/>
    <w:rsid w:val="00F42366"/>
    <w:rsid w:val="00F42650"/>
    <w:rsid w:val="00F47358"/>
    <w:rsid w:val="00F47FFB"/>
    <w:rsid w:val="00F66F3F"/>
    <w:rsid w:val="00F720F0"/>
    <w:rsid w:val="00F76964"/>
    <w:rsid w:val="00F859EC"/>
    <w:rsid w:val="00F9239F"/>
    <w:rsid w:val="00F9787E"/>
    <w:rsid w:val="00FA1FB6"/>
    <w:rsid w:val="00FA421A"/>
    <w:rsid w:val="00FB62E5"/>
    <w:rsid w:val="00FC32D4"/>
    <w:rsid w:val="00FC46A5"/>
    <w:rsid w:val="00FC501E"/>
    <w:rsid w:val="00FE5044"/>
    <w:rsid w:val="00FF2BCC"/>
    <w:rsid w:val="00FF5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60C50"/>
  <w15:chartTrackingRefBased/>
  <w15:docId w15:val="{79099797-2882-46FF-A135-79B0BFD1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9F9"/>
    <w:pPr>
      <w:spacing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991F89"/>
    <w:pPr>
      <w:keepNext/>
      <w:keepLines/>
      <w:spacing w:after="24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991F89"/>
    <w:pPr>
      <w:keepNext/>
      <w:keepLines/>
      <w:spacing w:after="24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991F89"/>
    <w:pPr>
      <w:keepNext/>
      <w:keepLines/>
      <w:spacing w:after="240"/>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F89"/>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991F89"/>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991F89"/>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A875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576"/>
    <w:rPr>
      <w:rFonts w:ascii="Times New Roman" w:hAnsi="Times New Roman"/>
      <w:sz w:val="24"/>
    </w:rPr>
  </w:style>
  <w:style w:type="paragraph" w:styleId="Footer">
    <w:name w:val="footer"/>
    <w:basedOn w:val="Normal"/>
    <w:link w:val="FooterChar"/>
    <w:uiPriority w:val="99"/>
    <w:unhideWhenUsed/>
    <w:rsid w:val="00A875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576"/>
    <w:rPr>
      <w:rFonts w:ascii="Times New Roman" w:hAnsi="Times New Roman"/>
      <w:sz w:val="24"/>
    </w:rPr>
  </w:style>
  <w:style w:type="paragraph" w:styleId="Caption">
    <w:name w:val="caption"/>
    <w:basedOn w:val="Normal"/>
    <w:next w:val="Normal"/>
    <w:uiPriority w:val="35"/>
    <w:unhideWhenUsed/>
    <w:qFormat/>
    <w:rsid w:val="001A3032"/>
    <w:pPr>
      <w:spacing w:after="200" w:line="240" w:lineRule="auto"/>
    </w:pPr>
    <w:rPr>
      <w:i/>
      <w:iCs/>
      <w:color w:val="44546A" w:themeColor="text2"/>
      <w:sz w:val="18"/>
      <w:szCs w:val="18"/>
    </w:rPr>
  </w:style>
  <w:style w:type="paragraph" w:styleId="ListParagraph">
    <w:name w:val="List Paragraph"/>
    <w:basedOn w:val="Normal"/>
    <w:uiPriority w:val="34"/>
    <w:qFormat/>
    <w:rsid w:val="00FC46A5"/>
    <w:pPr>
      <w:ind w:left="720"/>
      <w:contextualSpacing/>
    </w:pPr>
  </w:style>
  <w:style w:type="character" w:styleId="Hyperlink">
    <w:name w:val="Hyperlink"/>
    <w:basedOn w:val="DefaultParagraphFont"/>
    <w:uiPriority w:val="99"/>
    <w:unhideWhenUsed/>
    <w:rsid w:val="00F307B6"/>
    <w:rPr>
      <w:color w:val="0563C1" w:themeColor="hyperlink"/>
      <w:u w:val="single"/>
    </w:rPr>
  </w:style>
  <w:style w:type="character" w:styleId="UnresolvedMention">
    <w:name w:val="Unresolved Mention"/>
    <w:basedOn w:val="DefaultParagraphFont"/>
    <w:uiPriority w:val="99"/>
    <w:semiHidden/>
    <w:unhideWhenUsed/>
    <w:rsid w:val="00F307B6"/>
    <w:rPr>
      <w:color w:val="605E5C"/>
      <w:shd w:val="clear" w:color="auto" w:fill="E1DFDD"/>
    </w:rPr>
  </w:style>
  <w:style w:type="paragraph" w:styleId="NormalWeb">
    <w:name w:val="Normal (Web)"/>
    <w:basedOn w:val="Normal"/>
    <w:uiPriority w:val="99"/>
    <w:semiHidden/>
    <w:unhideWhenUsed/>
    <w:rsid w:val="00C33318"/>
    <w:pPr>
      <w:spacing w:before="100" w:beforeAutospacing="1" w:after="100" w:afterAutospacing="1" w:line="240" w:lineRule="auto"/>
    </w:pPr>
    <w:rPr>
      <w:rFonts w:eastAsia="Times New Roman" w:cs="Times New Roman"/>
      <w:szCs w:val="24"/>
    </w:rPr>
  </w:style>
  <w:style w:type="paragraph" w:customStyle="1" w:styleId="hhd2">
    <w:name w:val="hhd2"/>
    <w:basedOn w:val="Normal"/>
    <w:rsid w:val="00C33318"/>
    <w:pPr>
      <w:spacing w:before="100" w:beforeAutospacing="1" w:after="100" w:afterAutospacing="1" w:line="240" w:lineRule="auto"/>
    </w:pPr>
    <w:rPr>
      <w:rFonts w:eastAsia="Times New Roman" w:cs="Times New Roman"/>
      <w:szCs w:val="24"/>
    </w:rPr>
  </w:style>
  <w:style w:type="paragraph" w:styleId="TOCHeading">
    <w:name w:val="TOC Heading"/>
    <w:basedOn w:val="Heading1"/>
    <w:next w:val="Normal"/>
    <w:uiPriority w:val="39"/>
    <w:unhideWhenUsed/>
    <w:qFormat/>
    <w:rsid w:val="00CF05E0"/>
    <w:pPr>
      <w:spacing w:before="240" w:after="0" w:line="259" w:lineRule="auto"/>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CF05E0"/>
    <w:pPr>
      <w:spacing w:after="100"/>
    </w:pPr>
  </w:style>
  <w:style w:type="paragraph" w:styleId="TOC2">
    <w:name w:val="toc 2"/>
    <w:basedOn w:val="Normal"/>
    <w:next w:val="Normal"/>
    <w:autoRedefine/>
    <w:uiPriority w:val="39"/>
    <w:unhideWhenUsed/>
    <w:rsid w:val="00CF05E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guidance-providers/adult-social-care/digital-record-systems-adult-social-care-services" TargetMode="External"/><Relationship Id="rId13" Type="http://schemas.openxmlformats.org/officeDocument/2006/relationships/hyperlink" Target="https://transform.england.nhs.uk/digitise-connect-transform/digitising-the-frontline/"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nao.org.uk/wp-content/uploads/2019/05/Digital-transformation-in-the-NHS.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g.org.uk/wp-content/uploads/2024/04/RationWatch-Report-2024.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kingsfund.org.uk/sites/default/files/2018-06/Digital_change_health_care_Kings_Fund_June_2018.pdf"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gov.uk/government/publications/people-at-the-heart-of-care-adult-social-care-reform-white-paper" TargetMode="External"/><Relationship Id="rId14" Type="http://schemas.openxmlformats.org/officeDocument/2006/relationships/hyperlink" Target="https://doi.org/10.3310/nihropenres.13994.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DC545C-85FE-46F1-A2FB-10EAF60E9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10</Pages>
  <Words>2892</Words>
  <Characters>16489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sobia kauser</cp:lastModifiedBy>
  <cp:revision>2</cp:revision>
  <dcterms:created xsi:type="dcterms:W3CDTF">2025-10-26T00:47:00Z</dcterms:created>
  <dcterms:modified xsi:type="dcterms:W3CDTF">2025-10-26T00:47:00Z</dcterms:modified>
</cp:coreProperties>
</file>