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B7B5B" w14:textId="77777777" w:rsidR="00E31520" w:rsidRPr="00E31520" w:rsidRDefault="00E31520">
      <w:pPr>
        <w:pStyle w:val="p1"/>
        <w:rPr>
          <w:rFonts w:ascii="Arial" w:hAnsi="Arial" w:cs="Arial"/>
        </w:rPr>
      </w:pPr>
      <w:r w:rsidRPr="00E31520">
        <w:rPr>
          <w:rStyle w:val="s1"/>
          <w:rFonts w:ascii="Arial" w:hAnsi="Arial" w:cs="Arial"/>
        </w:rPr>
        <w:t>Student Name:</w:t>
      </w:r>
      <w:r w:rsidRPr="00E31520">
        <w:rPr>
          <w:rStyle w:val="s2"/>
          <w:rFonts w:ascii="Arial" w:hAnsi="Arial" w:cs="Arial"/>
        </w:rPr>
        <w:t xml:space="preserve"> Newrikaa Jeyapathy</w:t>
      </w:r>
    </w:p>
    <w:p w14:paraId="3618AE10" w14:textId="43C1A635" w:rsidR="00E31520" w:rsidRPr="00E31520" w:rsidRDefault="00E31520" w:rsidP="00E31520">
      <w:pPr>
        <w:pStyle w:val="p1"/>
        <w:rPr>
          <w:rFonts w:ascii="Arial" w:hAnsi="Arial" w:cs="Arial"/>
        </w:rPr>
      </w:pPr>
      <w:r w:rsidRPr="00E31520">
        <w:rPr>
          <w:rStyle w:val="s1"/>
          <w:rFonts w:ascii="Arial" w:hAnsi="Arial" w:cs="Arial"/>
        </w:rPr>
        <w:t>Student ID:</w:t>
      </w:r>
      <w:r w:rsidRPr="00E31520">
        <w:rPr>
          <w:rStyle w:val="s2"/>
          <w:rFonts w:ascii="Arial" w:hAnsi="Arial" w:cs="Arial"/>
        </w:rPr>
        <w:t xml:space="preserve"> 2324340</w:t>
      </w:r>
    </w:p>
    <w:p w14:paraId="36DA9999" w14:textId="7FD9641F" w:rsidR="00E31520" w:rsidRPr="00E31520" w:rsidRDefault="00E31520" w:rsidP="00E31520">
      <w:pPr>
        <w:pStyle w:val="p1"/>
        <w:rPr>
          <w:rFonts w:ascii="Arial" w:hAnsi="Arial" w:cs="Arial"/>
        </w:rPr>
      </w:pPr>
      <w:r w:rsidRPr="00E31520">
        <w:rPr>
          <w:rStyle w:val="s1"/>
          <w:rFonts w:ascii="Arial" w:hAnsi="Arial" w:cs="Arial"/>
        </w:rPr>
        <w:t>Lecturer:</w:t>
      </w:r>
      <w:r w:rsidRPr="00E31520">
        <w:rPr>
          <w:rStyle w:val="s2"/>
          <w:rFonts w:ascii="Arial" w:hAnsi="Arial" w:cs="Arial"/>
        </w:rPr>
        <w:t xml:space="preserve"> Martin </w:t>
      </w:r>
      <w:proofErr w:type="spellStart"/>
      <w:r w:rsidRPr="00E31520">
        <w:rPr>
          <w:rStyle w:val="s2"/>
          <w:rFonts w:ascii="Arial" w:hAnsi="Arial" w:cs="Arial"/>
        </w:rPr>
        <w:t>Svejda</w:t>
      </w:r>
      <w:proofErr w:type="spellEnd"/>
    </w:p>
    <w:p w14:paraId="7B436436" w14:textId="77777777" w:rsidR="00E31520" w:rsidRPr="00E31520" w:rsidRDefault="00E31520">
      <w:pPr>
        <w:pStyle w:val="p1"/>
        <w:rPr>
          <w:rFonts w:ascii="Arial" w:hAnsi="Arial" w:cs="Arial"/>
        </w:rPr>
      </w:pPr>
      <w:r w:rsidRPr="00E31520">
        <w:rPr>
          <w:rStyle w:val="s1"/>
          <w:rFonts w:ascii="Arial" w:hAnsi="Arial" w:cs="Arial"/>
        </w:rPr>
        <w:t>Module Code:</w:t>
      </w:r>
      <w:r w:rsidRPr="00E31520">
        <w:rPr>
          <w:rStyle w:val="s2"/>
          <w:rFonts w:ascii="Arial" w:hAnsi="Arial" w:cs="Arial"/>
        </w:rPr>
        <w:t xml:space="preserve"> BMHP6026</w:t>
      </w:r>
    </w:p>
    <w:p w14:paraId="3622DE4D" w14:textId="7E771048" w:rsidR="00E31520" w:rsidRPr="00E31520" w:rsidRDefault="00E31520" w:rsidP="00E31520">
      <w:pPr>
        <w:pStyle w:val="p1"/>
        <w:rPr>
          <w:rFonts w:ascii="Arial" w:hAnsi="Arial" w:cs="Arial"/>
        </w:rPr>
      </w:pPr>
      <w:r w:rsidRPr="00E31520">
        <w:rPr>
          <w:rStyle w:val="s1"/>
          <w:rFonts w:ascii="Arial" w:hAnsi="Arial" w:cs="Arial"/>
        </w:rPr>
        <w:t>Module Title:</w:t>
      </w:r>
      <w:r w:rsidRPr="00E31520">
        <w:rPr>
          <w:rStyle w:val="s2"/>
          <w:rFonts w:ascii="Arial" w:hAnsi="Arial" w:cs="Arial"/>
        </w:rPr>
        <w:t xml:space="preserve"> Digital Transformation in the Health and Care Professions</w:t>
      </w:r>
    </w:p>
    <w:p w14:paraId="7159B53E" w14:textId="16A39A5C" w:rsidR="00E31520" w:rsidRPr="00E31520" w:rsidRDefault="00E31520" w:rsidP="00E31520">
      <w:pPr>
        <w:pStyle w:val="p1"/>
        <w:rPr>
          <w:rFonts w:ascii="Arial" w:hAnsi="Arial" w:cs="Arial"/>
        </w:rPr>
      </w:pPr>
      <w:r w:rsidRPr="00E31520">
        <w:rPr>
          <w:rStyle w:val="s1"/>
          <w:rFonts w:ascii="Arial" w:hAnsi="Arial" w:cs="Arial"/>
        </w:rPr>
        <w:t>Assignment Title:</w:t>
      </w:r>
      <w:r w:rsidRPr="00E31520">
        <w:rPr>
          <w:rStyle w:val="s2"/>
          <w:rFonts w:ascii="Arial" w:hAnsi="Arial" w:cs="Arial"/>
        </w:rPr>
        <w:t xml:space="preserve"> Critical Evaluation of the NHS App as a Digital Innovation in UK Health and Social Care</w:t>
      </w:r>
    </w:p>
    <w:p w14:paraId="45255357" w14:textId="678C569D" w:rsidR="00E31520" w:rsidRDefault="00E31520" w:rsidP="00E31520">
      <w:pPr>
        <w:pStyle w:val="p1"/>
        <w:rPr>
          <w:rStyle w:val="s2"/>
          <w:rFonts w:ascii="Arial" w:hAnsi="Arial" w:cs="Arial"/>
        </w:rPr>
      </w:pPr>
      <w:r w:rsidRPr="00E31520">
        <w:rPr>
          <w:rStyle w:val="s1"/>
          <w:rFonts w:ascii="Arial" w:hAnsi="Arial" w:cs="Arial"/>
        </w:rPr>
        <w:t>Component:</w:t>
      </w:r>
      <w:r w:rsidRPr="00E31520">
        <w:rPr>
          <w:rStyle w:val="s2"/>
          <w:rFonts w:ascii="Arial" w:hAnsi="Arial" w:cs="Arial"/>
        </w:rPr>
        <w:t xml:space="preserve"> Component 1 – Digital Innovation Report</w:t>
      </w:r>
    </w:p>
    <w:p w14:paraId="09909F78" w14:textId="77777777" w:rsidR="00E31520" w:rsidRDefault="00E31520" w:rsidP="00E31520">
      <w:pPr>
        <w:pStyle w:val="p1"/>
        <w:rPr>
          <w:rStyle w:val="s2"/>
          <w:rFonts w:ascii="Arial" w:hAnsi="Arial" w:cs="Arial"/>
        </w:rPr>
      </w:pPr>
    </w:p>
    <w:p w14:paraId="69FCC6C8" w14:textId="77777777" w:rsidR="00E31520" w:rsidRDefault="00E31520" w:rsidP="00E31520">
      <w:pPr>
        <w:pStyle w:val="p1"/>
        <w:rPr>
          <w:rStyle w:val="s2"/>
          <w:rFonts w:ascii="Arial" w:hAnsi="Arial" w:cs="Arial"/>
        </w:rPr>
      </w:pPr>
    </w:p>
    <w:p w14:paraId="66C9FF6D" w14:textId="77777777" w:rsidR="00E31520" w:rsidRDefault="00E31520" w:rsidP="00E31520">
      <w:pPr>
        <w:pStyle w:val="p1"/>
        <w:rPr>
          <w:rStyle w:val="s2"/>
          <w:rFonts w:ascii="Arial" w:hAnsi="Arial" w:cs="Arial"/>
        </w:rPr>
      </w:pPr>
    </w:p>
    <w:p w14:paraId="60FB1F71" w14:textId="77777777" w:rsidR="00E31520" w:rsidRDefault="00E31520" w:rsidP="00E31520">
      <w:pPr>
        <w:pStyle w:val="p1"/>
        <w:rPr>
          <w:rStyle w:val="s2"/>
          <w:rFonts w:ascii="Arial" w:hAnsi="Arial" w:cs="Arial"/>
        </w:rPr>
      </w:pPr>
    </w:p>
    <w:p w14:paraId="11F4BF7F" w14:textId="77777777" w:rsidR="00E31520" w:rsidRDefault="00E31520" w:rsidP="00E31520">
      <w:pPr>
        <w:pStyle w:val="p1"/>
        <w:rPr>
          <w:rStyle w:val="s2"/>
          <w:rFonts w:ascii="Arial" w:hAnsi="Arial" w:cs="Arial"/>
        </w:rPr>
      </w:pPr>
    </w:p>
    <w:p w14:paraId="776EF522" w14:textId="77777777" w:rsidR="00E31520" w:rsidRDefault="00E31520" w:rsidP="00E31520">
      <w:pPr>
        <w:pStyle w:val="p1"/>
        <w:rPr>
          <w:rStyle w:val="s2"/>
          <w:rFonts w:ascii="Arial" w:hAnsi="Arial" w:cs="Arial"/>
        </w:rPr>
      </w:pPr>
    </w:p>
    <w:p w14:paraId="1C7DABC0" w14:textId="77777777" w:rsidR="00E31520" w:rsidRDefault="00E31520" w:rsidP="00E31520">
      <w:pPr>
        <w:pStyle w:val="p1"/>
        <w:rPr>
          <w:rStyle w:val="s2"/>
          <w:rFonts w:ascii="Arial" w:hAnsi="Arial" w:cs="Arial"/>
        </w:rPr>
      </w:pPr>
    </w:p>
    <w:p w14:paraId="5C293930" w14:textId="77777777" w:rsidR="00E31520" w:rsidRDefault="00E31520" w:rsidP="00E31520">
      <w:pPr>
        <w:pStyle w:val="p1"/>
        <w:rPr>
          <w:rStyle w:val="s2"/>
          <w:rFonts w:ascii="Arial" w:hAnsi="Arial" w:cs="Arial"/>
        </w:rPr>
      </w:pPr>
    </w:p>
    <w:p w14:paraId="4179472B" w14:textId="77777777" w:rsidR="00E31520" w:rsidRDefault="00E31520" w:rsidP="00E31520">
      <w:pPr>
        <w:pStyle w:val="p1"/>
        <w:rPr>
          <w:rStyle w:val="s2"/>
          <w:rFonts w:ascii="Arial" w:hAnsi="Arial" w:cs="Arial"/>
        </w:rPr>
      </w:pPr>
    </w:p>
    <w:p w14:paraId="36349D94" w14:textId="77777777" w:rsidR="00E31520" w:rsidRDefault="00E31520" w:rsidP="00E31520">
      <w:pPr>
        <w:pStyle w:val="p1"/>
        <w:rPr>
          <w:rStyle w:val="s2"/>
          <w:rFonts w:ascii="Arial" w:hAnsi="Arial" w:cs="Arial"/>
        </w:rPr>
      </w:pPr>
    </w:p>
    <w:p w14:paraId="32CCAB3E" w14:textId="77777777" w:rsidR="00E31520" w:rsidRDefault="00E31520" w:rsidP="00E31520">
      <w:pPr>
        <w:pStyle w:val="p1"/>
        <w:rPr>
          <w:rStyle w:val="s2"/>
          <w:rFonts w:ascii="Arial" w:hAnsi="Arial" w:cs="Arial"/>
        </w:rPr>
      </w:pPr>
    </w:p>
    <w:p w14:paraId="4B80AEB3" w14:textId="77777777" w:rsidR="00E31520" w:rsidRDefault="00E31520" w:rsidP="00E31520">
      <w:pPr>
        <w:pStyle w:val="p1"/>
        <w:rPr>
          <w:rStyle w:val="s2"/>
          <w:rFonts w:ascii="Arial" w:hAnsi="Arial" w:cs="Arial"/>
        </w:rPr>
      </w:pPr>
    </w:p>
    <w:p w14:paraId="794A518A" w14:textId="77777777" w:rsidR="00E31520" w:rsidRDefault="00E31520" w:rsidP="00E31520">
      <w:pPr>
        <w:pStyle w:val="p1"/>
        <w:rPr>
          <w:rStyle w:val="s2"/>
          <w:rFonts w:ascii="Arial" w:hAnsi="Arial" w:cs="Arial"/>
        </w:rPr>
      </w:pPr>
    </w:p>
    <w:p w14:paraId="7AFDAA44" w14:textId="77777777" w:rsidR="00E31520" w:rsidRDefault="00E31520" w:rsidP="00E31520">
      <w:pPr>
        <w:pStyle w:val="p1"/>
        <w:rPr>
          <w:rStyle w:val="s2"/>
          <w:rFonts w:ascii="Arial" w:hAnsi="Arial" w:cs="Arial"/>
        </w:rPr>
      </w:pPr>
    </w:p>
    <w:p w14:paraId="1137A228" w14:textId="77777777" w:rsidR="00E31520" w:rsidRDefault="00E31520" w:rsidP="00E31520">
      <w:pPr>
        <w:pStyle w:val="p1"/>
        <w:rPr>
          <w:rStyle w:val="s2"/>
          <w:rFonts w:ascii="Arial" w:hAnsi="Arial" w:cs="Arial"/>
        </w:rPr>
      </w:pPr>
    </w:p>
    <w:p w14:paraId="2B7DC68E" w14:textId="77777777" w:rsidR="00E31520" w:rsidRDefault="00E31520" w:rsidP="00E31520">
      <w:pPr>
        <w:pStyle w:val="p1"/>
        <w:rPr>
          <w:rStyle w:val="s2"/>
          <w:rFonts w:ascii="Arial" w:hAnsi="Arial" w:cs="Arial"/>
        </w:rPr>
      </w:pPr>
    </w:p>
    <w:p w14:paraId="6B5FB9E4" w14:textId="77777777" w:rsidR="00E31520" w:rsidRDefault="00E31520" w:rsidP="00E31520">
      <w:pPr>
        <w:pStyle w:val="p1"/>
        <w:rPr>
          <w:rStyle w:val="s2"/>
          <w:rFonts w:ascii="Arial" w:hAnsi="Arial" w:cs="Arial"/>
        </w:rPr>
      </w:pPr>
    </w:p>
    <w:p w14:paraId="612E930B" w14:textId="77777777" w:rsidR="00E31520" w:rsidRPr="00E31520" w:rsidRDefault="00E31520" w:rsidP="00E31520">
      <w:pPr>
        <w:pStyle w:val="p1"/>
        <w:rPr>
          <w:rFonts w:ascii="Arial" w:hAnsi="Arial" w:cs="Arial"/>
        </w:rPr>
      </w:pPr>
    </w:p>
    <w:p w14:paraId="68C51252" w14:textId="4EDE73BC"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lastRenderedPageBreak/>
        <w:t>Introduction</w:t>
      </w:r>
    </w:p>
    <w:p w14:paraId="6293F093" w14:textId="72932A45" w:rsidR="00373C47" w:rsidRPr="00BE51E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E51E8">
        <w:rPr>
          <w:rFonts w:ascii="Arial" w:eastAsia="Times New Roman" w:hAnsi="Arial" w:cs="Arial"/>
          <w:kern w:val="0"/>
          <w14:ligatures w14:val="none"/>
        </w:rPr>
        <w:t>Digital technology has become an increasingly important part of modernising health and social care services in the UK. One of the most significant digital developments in recent years is the NHS App, which acts as a digital “front door” for many NHS services in England. The NHS App was first rolled out to the public in January 2019 and allows patients to access several services through a single platform. These include ordering repeat prescriptions, booking GP appointments where available, viewing parts of their medical record, accessing NHS 111 online, and managing personal health information (NHS England, 2019). Since its introduction, national health policy has increasingly emphasised the importance of digital technologies in improving access to services, supporting patient self-management, and making healthcare delivery more efficient (Department of Health and Social Care, 2022).</w:t>
      </w:r>
    </w:p>
    <w:p w14:paraId="54623378" w14:textId="7F0AC048" w:rsidR="00373C47" w:rsidRPr="00BE51E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E51E8">
        <w:rPr>
          <w:rFonts w:ascii="Arial" w:eastAsia="Times New Roman" w:hAnsi="Arial" w:cs="Arial"/>
          <w:kern w:val="0"/>
          <w14:ligatures w14:val="none"/>
        </w:rPr>
        <w:t>The use of the NHS App has grown rapidly since its launch. By late 2025, almost 40 million people had registered to use the App, indicating that digital tools are becoming a normal part of how patients interact with healthcare services (NHS England, 2025a). However, high levels of adoption do not automatically mean that a digital innovation is successful. It is important to consider whether the NHS App genuinely improves service delivery, supports healthcare staff, and benefits patients in practice. At the same time, potential challenges must also be considered, such as digital exclusion, privacy concerns and the possibility that digital services could increase workload for healthcare professionals.</w:t>
      </w:r>
    </w:p>
    <w:p w14:paraId="47F0AA4E" w14:textId="0EDAAA18" w:rsidR="00373C47" w:rsidRPr="00BE51E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E51E8">
        <w:rPr>
          <w:rFonts w:ascii="Arial" w:eastAsia="Times New Roman" w:hAnsi="Arial" w:cs="Arial"/>
          <w:kern w:val="0"/>
          <w14:ligatures w14:val="none"/>
        </w:rPr>
        <w:t>This report critically evaluates the impact of the NHS App on three key areas: service delivery, the healthcare workforce, and patients or service users. Evidence from policy documents and academic literature is used to assess both the advantages and the limitations of this digital innovation. The report concludes with recommendations for improving the implementation of the NHS App in line with national digital health strategies and information governance standards.</w:t>
      </w:r>
    </w:p>
    <w:p w14:paraId="76C25BAF" w14:textId="77777777" w:rsidR="00373C47" w:rsidRPr="00BE51E8"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19443140" w14:textId="77777777"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Impact on Service Delivery</w:t>
      </w:r>
    </w:p>
    <w:p w14:paraId="600F29B5" w14:textId="51C24D5E"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Improvements in access, convenience and efficiency</w:t>
      </w:r>
    </w:p>
    <w:p w14:paraId="1E7A56FD" w14:textId="6964F709"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One of the main objectives of the NHS App is to make it easier for patients to carry out routine healthcare tasks without needing to contact their GP practice directly. Through the App, patients can order repeat prescriptions, access healthcare information and manage appointments digitally. This supports wider government strategies aimed at improving efficiency and providing patients with greater control over their healthcare (DHSC, 2022).</w:t>
      </w:r>
    </w:p>
    <w:p w14:paraId="69CB3176" w14:textId="311638DA"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Evidence suggests that many patients are already using the App for routine services. For example, NHS England reported that 67.8 million repeat prescriptions were ordered through the NHS App between December 2024 and November 2025 (NHS England, 2025a). This indicates a significant shift towards digital channels rather than telephone requests or in-person visits to GP practices.</w:t>
      </w:r>
    </w:p>
    <w:p w14:paraId="3335703B"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lastRenderedPageBreak/>
        <w:t>In theory, this shift could reduce pressure on administrative staff in primary care. Reception teams may spend less time dealing with routine prescription requests and appointment queries, allowing them to focus on more complex tasks such as safeguarding concerns or supporting vulnerable patients. The NHS App also allows patients to view parts of their medical records, which may help them better understand their health conditions and treatment plans. This aligns with national policy goals that encourage greater patient involvement and shared decision-making in healthcare (DHSC, 2022).</w:t>
      </w:r>
    </w:p>
    <w:p w14:paraId="241F64A5"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30E337EA" w14:textId="0F00B6A1"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Limitations and system integration challenges</w:t>
      </w:r>
    </w:p>
    <w:p w14:paraId="441BBE73" w14:textId="70A58373"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Despite these benefits, the effectiveness of the NHS App depends largely on how well it is integrated into existing NHS systems. In practice, not all GP practices offer the same functions through the App. For example, appointment booking may be available in some practices but not in others due to differences in local systems or organisational decisions.</w:t>
      </w:r>
    </w:p>
    <w:p w14:paraId="25F02F09" w14:textId="3A9954EC"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National digital strategies have recognised that uneven digital infrastructure can limit the impact of innovations such as the NHS App. The Department of Health and Social Care (2022) emphasises the importance of improving interoperability and data sharing across NHS systems. Without consistent integration, digital tools may only partially improve service delivery.</w:t>
      </w:r>
    </w:p>
    <w:p w14:paraId="0A4927B1"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In some cases, the NHS App may simply provide a more convenient way for patients to access services that are already under pressure. If appointment availability remains limited, digital access may not increase overall capacity. Instead, it may simply change the way patients request services rather than improving the availability of care.</w:t>
      </w:r>
    </w:p>
    <w:p w14:paraId="3384665A"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266E47D3" w14:textId="09DF2A96"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Demand amplification and workload shift</w:t>
      </w:r>
    </w:p>
    <w:p w14:paraId="238850EA" w14:textId="605C95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Another important issue is the potential for digital access to increase demand. When it becomes easier for patients to contact healthcare services, the number of requests may rise. Research examining digital consultation models suggests that many online contacts still result in follow-up appointments with clinicians (Salisbury et al., 2020). As a result, digital contact may add an additional step rather than replacing traditional consultations.</w:t>
      </w:r>
    </w:p>
    <w:p w14:paraId="3F94E245"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Although the NHS App is not identical to online consultation systems, it forms part of the wider digital ecosystem that encourages patients to interact with healthcare services more frequently. If healthcare systems do not adapt their triage processes and service pathways, digital tools may unintentionally increase workload instead of reducing it.</w:t>
      </w:r>
    </w:p>
    <w:p w14:paraId="4DB952EC"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2B23E755" w14:textId="3725DD57"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lastRenderedPageBreak/>
        <w:t>Equity and access considerations</w:t>
      </w:r>
    </w:p>
    <w:p w14:paraId="77F7D295" w14:textId="215D335E"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The impact of digital services also depends on whether all patients are able to use them. NHS England has recognised that digital exclusion remains a significant concern, particularly for older adults, individuals with limited digital literacy, and people without reliable internet access (NHS England, 2023).</w:t>
      </w:r>
    </w:p>
    <w:p w14:paraId="0BFC2982" w14:textId="189875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If healthcare services increasingly promote digital access as the primary method of communication, patients who cannot use digital tools may face additional barriers. This could potentially create unequal access to healthcare services. To address this issue, digital services should be implemented alongside alternative options and support systems that ensure all patients can access care.</w:t>
      </w:r>
    </w:p>
    <w:p w14:paraId="5DE09738" w14:textId="58DF17D6"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Overall, the NHS App has the potential to improve convenience and efficiency for routine healthcare tasks. However, its overall impact on service delivery is influenced by wider issues such as system integration, service capacity and digital inclusion.</w:t>
      </w:r>
    </w:p>
    <w:p w14:paraId="4BC2198C" w14:textId="77777777" w:rsidR="00B1208C" w:rsidRPr="00E43228" w:rsidRDefault="00B1208C" w:rsidP="00373C47">
      <w:pPr>
        <w:spacing w:before="100" w:beforeAutospacing="1" w:after="100" w:afterAutospacing="1" w:line="240" w:lineRule="auto"/>
        <w:outlineLvl w:val="1"/>
        <w:rPr>
          <w:rFonts w:ascii="Arial" w:eastAsia="Times New Roman" w:hAnsi="Arial" w:cs="Arial"/>
          <w:kern w:val="0"/>
          <w14:ligatures w14:val="none"/>
        </w:rPr>
      </w:pPr>
    </w:p>
    <w:p w14:paraId="4B267FD3" w14:textId="2F07615A"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Impact on the Healthcare Workforce</w:t>
      </w:r>
    </w:p>
    <w:p w14:paraId="45165FC9" w14:textId="0F023DA4"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Changing roles and digital skills</w:t>
      </w:r>
    </w:p>
    <w:p w14:paraId="7F72AB66" w14:textId="23AF9FD0"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The introduction of digital technologies such as the NHS App has also influenced the roles and responsibilities of healthcare staff. Administrative teams may spend additional time helping patients with digital registration or identity verification, while clinicians may need to adapt how they document information knowing that patients can view their records.</w:t>
      </w:r>
    </w:p>
    <w:p w14:paraId="6D266974"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The “What Good Looks Like” framework highlights that successful digital transformation requires organisational support, leadership and staff training rather than simply introducing new technology (NHS England Transformation Directorate, 2021). When digital systems are implemented effectively, they may reduce repetitive administrative work and improve workflow efficiency. However, without sufficient training or resources, staff may experience additional pressure when adapting to new digital systems.</w:t>
      </w:r>
    </w:p>
    <w:p w14:paraId="75A87BA7"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5B9CA0E4" w14:textId="77777777"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Workload and safeguarding considerations</w:t>
      </w:r>
    </w:p>
    <w:p w14:paraId="65850A72" w14:textId="77777777"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Research has also highlighted concerns about the impact of patient access to digital records on staff workload. Clinicians may need to respond to patient queries about medical terminology, explain test results or clarify information within clinical records (</w:t>
      </w:r>
      <w:proofErr w:type="spellStart"/>
      <w:r w:rsidRPr="00E43228">
        <w:rPr>
          <w:rFonts w:ascii="Arial" w:eastAsia="Times New Roman" w:hAnsi="Arial" w:cs="Arial"/>
          <w:kern w:val="0"/>
          <w14:ligatures w14:val="none"/>
        </w:rPr>
        <w:t>Davidge</w:t>
      </w:r>
      <w:proofErr w:type="spellEnd"/>
      <w:r w:rsidRPr="00E43228">
        <w:rPr>
          <w:rFonts w:ascii="Arial" w:eastAsia="Times New Roman" w:hAnsi="Arial" w:cs="Arial"/>
          <w:kern w:val="0"/>
          <w14:ligatures w14:val="none"/>
        </w:rPr>
        <w:t xml:space="preserve"> et al., 2023). While increased transparency can improve patient engagement, it may also generate additional communication tasks for healthcare professionals.</w:t>
      </w:r>
    </w:p>
    <w:p w14:paraId="5659C205" w14:textId="3121BB19"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 xml:space="preserve">Safeguarding concerns are another important issue. In some situations, patients may feel pressured by family members or partners to share access to their health </w:t>
      </w:r>
      <w:r w:rsidRPr="00E43228">
        <w:rPr>
          <w:rFonts w:ascii="Arial" w:eastAsia="Times New Roman" w:hAnsi="Arial" w:cs="Arial"/>
          <w:kern w:val="0"/>
          <w14:ligatures w14:val="none"/>
        </w:rPr>
        <w:lastRenderedPageBreak/>
        <w:t>records. This can create risks, particularly in cases involving domestic abuse or coercive control. Research has emphasised the need for healthcare professionals to be aware of these risks and to have appropriate procedures in place to manage them (McMillan et al., 2022).</w:t>
      </w:r>
    </w:p>
    <w:p w14:paraId="425A8762" w14:textId="0031C700"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Despite these challenges, digital tools can also bring benefits for healthcare staff. For example, when patients are able to manage prescriptions or access information independently, administrative teams may spend less time handling routine requests. This could allow healthcare professionals to focus more on complex clinical interactions.</w:t>
      </w:r>
    </w:p>
    <w:p w14:paraId="59A7030E" w14:textId="0514C6F1" w:rsidR="00373C47" w:rsidRPr="00E43228"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E43228">
        <w:rPr>
          <w:rFonts w:ascii="Arial" w:eastAsia="Times New Roman" w:hAnsi="Arial" w:cs="Arial"/>
          <w:kern w:val="0"/>
          <w14:ligatures w14:val="none"/>
        </w:rPr>
        <w:t>Overall, the NHS App may support more efficient working practices, but its impact on staff depends heavily on how it is implemented and supported within healthcare organisations.</w:t>
      </w:r>
    </w:p>
    <w:p w14:paraId="772D21C0" w14:textId="77777777"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p>
    <w:p w14:paraId="2CCFDA30" w14:textId="3F919F55"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Impact on Patients and Service Users</w:t>
      </w:r>
    </w:p>
    <w:p w14:paraId="33034B87" w14:textId="737C2BC2"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Benefits for patient engagement and convenience</w:t>
      </w:r>
    </w:p>
    <w:p w14:paraId="4F314182" w14:textId="27DBF4E8"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For many patients, the NHS App offers greater flexibility when accessing healthcare services. Instead of calling GP practices during limited opening hours, patients can manage prescriptions, check medical information or access services through their smartphone at a time that suits them.</w:t>
      </w:r>
    </w:p>
    <w:p w14:paraId="2FAAEE65" w14:textId="77777777"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Research has suggested that providing patients with access to their own health records can improve engagement and encourage better self-management of health conditions (Hägglund et al., 2022). Being able to review medication information, appointment details and test results may help patients feel more informed and involved in their healthcare.</w:t>
      </w:r>
    </w:p>
    <w:p w14:paraId="4B886E2F" w14:textId="77777777"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p>
    <w:p w14:paraId="0008E400" w14:textId="6624DF6E"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Digital exclusion and health inequalities</w:t>
      </w:r>
    </w:p>
    <w:p w14:paraId="055DBC55" w14:textId="68C632D4"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However, the benefits of digital health services are not experienced equally across all groups. Some individuals may lack smartphones, reliable internet access or the digital skills required to use online platforms. Others may face language barriers or accessibility challenges when navigating digital systems.</w:t>
      </w:r>
    </w:p>
    <w:p w14:paraId="693736E6" w14:textId="217C1A4B"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NHS England has recognised that digital exclusion may widen existing health inequalities if services rely too heavily on digital access (NHS England, 2023). Healthcare organisations therefore need to ensure that non-digital options remain available and that additional support is provided for individuals who may struggle to use digital services.</w:t>
      </w:r>
    </w:p>
    <w:p w14:paraId="531150C6" w14:textId="77777777" w:rsidR="00811447" w:rsidRDefault="00811447" w:rsidP="00373C47">
      <w:pPr>
        <w:spacing w:before="100" w:beforeAutospacing="1" w:after="100" w:afterAutospacing="1" w:line="240" w:lineRule="auto"/>
        <w:outlineLvl w:val="1"/>
        <w:rPr>
          <w:rFonts w:ascii="Arial" w:eastAsia="Times New Roman" w:hAnsi="Arial" w:cs="Arial"/>
          <w:b/>
          <w:bCs/>
          <w:kern w:val="0"/>
          <w14:ligatures w14:val="none"/>
        </w:rPr>
      </w:pPr>
    </w:p>
    <w:p w14:paraId="06420F04" w14:textId="71C9500F"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Privacy, trust and data protection</w:t>
      </w:r>
    </w:p>
    <w:p w14:paraId="74890623" w14:textId="150ADB2C"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lastRenderedPageBreak/>
        <w:t>Another key issue for patients is trust in how their personal health data is managed. Health information is classified as “special category data” under UK GDPR, meaning it requires strong legal protection and strict safeguards (ICO, 2024a). Although the NHS App is designed with secure data protection systems, some patients may still feel concerned about privacy and data sharing.</w:t>
      </w:r>
    </w:p>
    <w:p w14:paraId="486D0C1A" w14:textId="206E997B"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Trust is essential for encouraging patients to adopt digital healthcare services. Clear communication about how personal data is stored, protected and used is therefore necessary to maintain public confidence.</w:t>
      </w:r>
    </w:p>
    <w:p w14:paraId="1FD60D4F" w14:textId="77777777" w:rsidR="00811447" w:rsidRDefault="00811447" w:rsidP="00373C47">
      <w:pPr>
        <w:spacing w:before="100" w:beforeAutospacing="1" w:after="100" w:afterAutospacing="1" w:line="240" w:lineRule="auto"/>
        <w:outlineLvl w:val="1"/>
        <w:rPr>
          <w:rFonts w:ascii="Arial" w:eastAsia="Times New Roman" w:hAnsi="Arial" w:cs="Arial"/>
          <w:b/>
          <w:bCs/>
          <w:kern w:val="0"/>
          <w14:ligatures w14:val="none"/>
        </w:rPr>
      </w:pPr>
    </w:p>
    <w:p w14:paraId="3FD67322" w14:textId="2F9C7234"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Patient understanding and communication</w:t>
      </w:r>
    </w:p>
    <w:p w14:paraId="121ED8C0" w14:textId="77777777" w:rsidR="00E16919"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Another issue highlighted in the literature is that some patients may find clinical information difficult to interpret without professional guidance. Medical records often contain technical terminology that may be confusing for individuals without medical training. This could lead to anxiety or misunderstanding if patients misinterpret the information they read (</w:t>
      </w:r>
      <w:proofErr w:type="spellStart"/>
      <w:r w:rsidRPr="00DF1046">
        <w:rPr>
          <w:rFonts w:ascii="Arial" w:eastAsia="Times New Roman" w:hAnsi="Arial" w:cs="Arial"/>
          <w:kern w:val="0"/>
          <w14:ligatures w14:val="none"/>
        </w:rPr>
        <w:t>Davidge</w:t>
      </w:r>
      <w:proofErr w:type="spellEnd"/>
      <w:r w:rsidRPr="00DF1046">
        <w:rPr>
          <w:rFonts w:ascii="Arial" w:eastAsia="Times New Roman" w:hAnsi="Arial" w:cs="Arial"/>
          <w:kern w:val="0"/>
          <w14:ligatures w14:val="none"/>
        </w:rPr>
        <w:t xml:space="preserve"> et al., 2023).</w:t>
      </w:r>
    </w:p>
    <w:p w14:paraId="6F5CE7FD" w14:textId="18F1DFAE"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Healthcare organisations may therefore need to consider how medical information is presented and explained to patients. Improving communication and providing clearer explanations could help ensure that digital access improves understanding rather than causing confusion.</w:t>
      </w:r>
    </w:p>
    <w:p w14:paraId="03FF0431" w14:textId="19599AF3" w:rsidR="00373C47" w:rsidRPr="00DF1046"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DF1046">
        <w:rPr>
          <w:rFonts w:ascii="Arial" w:eastAsia="Times New Roman" w:hAnsi="Arial" w:cs="Arial"/>
          <w:kern w:val="0"/>
          <w14:ligatures w14:val="none"/>
        </w:rPr>
        <w:t>Overall, the NHS App has the potential to improve convenience and engagement for many patients, but issues such as digital exclusion, privacy concerns and communication challenges must be addressed to ensure that digital innovations benefit all users.</w:t>
      </w:r>
    </w:p>
    <w:p w14:paraId="5F661313" w14:textId="77777777" w:rsidR="00E16919" w:rsidRPr="00373C47" w:rsidRDefault="00E16919" w:rsidP="00373C47">
      <w:pPr>
        <w:spacing w:before="100" w:beforeAutospacing="1" w:after="100" w:afterAutospacing="1" w:line="240" w:lineRule="auto"/>
        <w:outlineLvl w:val="1"/>
        <w:rPr>
          <w:rFonts w:ascii="Arial" w:eastAsia="Times New Roman" w:hAnsi="Arial" w:cs="Arial"/>
          <w:b/>
          <w:bCs/>
          <w:kern w:val="0"/>
          <w14:ligatures w14:val="none"/>
        </w:rPr>
      </w:pPr>
    </w:p>
    <w:p w14:paraId="52A51C24" w14:textId="6B8D4183" w:rsidR="00373C47" w:rsidRPr="00373C47" w:rsidRDefault="00373C47" w:rsidP="00373C47">
      <w:pPr>
        <w:spacing w:before="100" w:beforeAutospacing="1" w:after="100" w:afterAutospacing="1" w:line="240" w:lineRule="auto"/>
        <w:outlineLvl w:val="1"/>
        <w:rPr>
          <w:rFonts w:ascii="Arial" w:eastAsia="Times New Roman" w:hAnsi="Arial" w:cs="Arial"/>
          <w:b/>
          <w:bCs/>
          <w:kern w:val="0"/>
          <w14:ligatures w14:val="none"/>
        </w:rPr>
      </w:pPr>
      <w:r w:rsidRPr="00373C47">
        <w:rPr>
          <w:rFonts w:ascii="Arial" w:eastAsia="Times New Roman" w:hAnsi="Arial" w:cs="Arial"/>
          <w:b/>
          <w:bCs/>
          <w:kern w:val="0"/>
          <w14:ligatures w14:val="none"/>
        </w:rPr>
        <w:t>Conclusion and Recommendations</w:t>
      </w:r>
    </w:p>
    <w:p w14:paraId="23357CAD"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478CD">
        <w:rPr>
          <w:rFonts w:ascii="Arial" w:eastAsia="Times New Roman" w:hAnsi="Arial" w:cs="Arial"/>
          <w:kern w:val="0"/>
          <w14:ligatures w14:val="none"/>
        </w:rPr>
        <w:t>The NHS App represents a major digital innovation introduced within the past decade and plays an important role in the UK government’s strategy to modernise healthcare services. Evidence suggests that the App has been widely adopted and is frequently used for routine tasks such as ordering repeat prescriptions and accessing health information (NHS England, 2025a). These features demonstrate its potential to improve convenience and efficiency in healthcare delivery.</w:t>
      </w:r>
    </w:p>
    <w:p w14:paraId="55FCCC64"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5E3A0679"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478CD">
        <w:rPr>
          <w:rFonts w:ascii="Arial" w:eastAsia="Times New Roman" w:hAnsi="Arial" w:cs="Arial"/>
          <w:kern w:val="0"/>
          <w14:ligatures w14:val="none"/>
        </w:rPr>
        <w:t>However, the evidence also shows that the benefits of digital technologies are not guaranteed. Improvements in service delivery may be limited by uneven system integration and the risk that digital access could increase demand for services. The workforce may also experience new pressures related to workload, communication and safeguarding responsibilities. For patients, digital services can improve engagement and access, but challenges such as digital exclusion and privacy concerns remain significant.</w:t>
      </w:r>
    </w:p>
    <w:p w14:paraId="73172A3E"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5ABC8801"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r w:rsidRPr="00B478CD">
        <w:rPr>
          <w:rFonts w:ascii="Arial" w:eastAsia="Times New Roman" w:hAnsi="Arial" w:cs="Arial"/>
          <w:kern w:val="0"/>
          <w14:ligatures w14:val="none"/>
        </w:rPr>
        <w:t>To maximise the benefits of the NHS App, several steps should be considered. First, digital inclusion should be prioritised to ensure that all patients can access healthcare services regardless of their digital skills or resources. Second, healthcare staff should receive appropriate training and support to manage digital tools effectively. Finally, healthcare systems should redesign workflows and triage processes so that digital access improves efficiency rather than increasing workload.</w:t>
      </w:r>
    </w:p>
    <w:p w14:paraId="0DBA7565" w14:textId="77777777" w:rsidR="00373C47" w:rsidRPr="00B478CD" w:rsidRDefault="00373C47" w:rsidP="00373C47">
      <w:pPr>
        <w:spacing w:before="100" w:beforeAutospacing="1" w:after="100" w:afterAutospacing="1" w:line="240" w:lineRule="auto"/>
        <w:outlineLvl w:val="1"/>
        <w:rPr>
          <w:rFonts w:ascii="Arial" w:eastAsia="Times New Roman" w:hAnsi="Arial" w:cs="Arial"/>
          <w:kern w:val="0"/>
          <w14:ligatures w14:val="none"/>
        </w:rPr>
      </w:pPr>
    </w:p>
    <w:p w14:paraId="36831F00" w14:textId="77777777" w:rsidR="00B478CD" w:rsidRDefault="00373C47" w:rsidP="00A21515">
      <w:pPr>
        <w:spacing w:before="100" w:beforeAutospacing="1" w:after="100" w:afterAutospacing="1" w:line="240" w:lineRule="auto"/>
        <w:rPr>
          <w:rFonts w:ascii="Arial" w:hAnsi="Arial" w:cs="Arial"/>
          <w:b/>
          <w:bCs/>
          <w:kern w:val="0"/>
          <w14:ligatures w14:val="none"/>
        </w:rPr>
      </w:pPr>
      <w:r w:rsidRPr="00B478CD">
        <w:rPr>
          <w:rFonts w:ascii="Arial" w:eastAsia="Times New Roman" w:hAnsi="Arial" w:cs="Arial"/>
          <w:kern w:val="0"/>
          <w14:ligatures w14:val="none"/>
        </w:rPr>
        <w:t xml:space="preserve">Overall, the NHS App has clear potential to support more accessible and responsive healthcare services. However, its long-term success will depend on careful implementation, continued investment in digital infrastructure and a strong focus on equity and patient </w:t>
      </w:r>
      <w:r w:rsidR="00B478CD" w:rsidRPr="00B478CD">
        <w:rPr>
          <w:rFonts w:ascii="Arial" w:eastAsia="Times New Roman" w:hAnsi="Arial" w:cs="Arial"/>
          <w:kern w:val="0"/>
          <w14:ligatures w14:val="none"/>
        </w:rPr>
        <w:t>safety.</w:t>
      </w:r>
      <w:r w:rsidR="00B478CD" w:rsidRPr="007C2DEB">
        <w:rPr>
          <w:rFonts w:ascii="Arial" w:hAnsi="Arial" w:cs="Arial"/>
          <w:b/>
          <w:bCs/>
          <w:kern w:val="0"/>
          <w14:ligatures w14:val="none"/>
        </w:rPr>
        <w:t xml:space="preserve"> </w:t>
      </w:r>
    </w:p>
    <w:p w14:paraId="7CE1FE78" w14:textId="0D9C0BF3" w:rsidR="005F344C" w:rsidRPr="007C2DEB" w:rsidRDefault="00B478CD" w:rsidP="00A21515">
      <w:pPr>
        <w:spacing w:before="100" w:beforeAutospacing="1" w:after="100" w:afterAutospacing="1" w:line="240" w:lineRule="auto"/>
        <w:rPr>
          <w:rFonts w:ascii="Arial" w:hAnsi="Arial" w:cs="Arial"/>
          <w:b/>
          <w:bCs/>
          <w:kern w:val="0"/>
          <w14:ligatures w14:val="none"/>
        </w:rPr>
      </w:pPr>
      <w:r w:rsidRPr="007C2DEB">
        <w:rPr>
          <w:rFonts w:ascii="Arial" w:hAnsi="Arial" w:cs="Arial"/>
          <w:b/>
          <w:bCs/>
          <w:kern w:val="0"/>
          <w14:ligatures w14:val="none"/>
        </w:rPr>
        <w:t>References</w:t>
      </w:r>
      <w:r w:rsidR="005F344C" w:rsidRPr="007C2DEB">
        <w:rPr>
          <w:rFonts w:ascii="Arial" w:hAnsi="Arial" w:cs="Arial"/>
          <w:b/>
          <w:bCs/>
          <w:kern w:val="0"/>
          <w14:ligatures w14:val="none"/>
        </w:rPr>
        <w:t xml:space="preserve"> </w:t>
      </w:r>
    </w:p>
    <w:p w14:paraId="35A464BD" w14:textId="27396CB7" w:rsidR="00867C0D" w:rsidRPr="007C2DEB" w:rsidRDefault="00867C0D" w:rsidP="007C2DEB">
      <w:pPr>
        <w:pStyle w:val="p1"/>
        <w:rPr>
          <w:rFonts w:ascii="Arial" w:hAnsi="Arial" w:cs="Arial"/>
        </w:rPr>
      </w:pPr>
      <w:proofErr w:type="spellStart"/>
      <w:r w:rsidRPr="007C2DEB">
        <w:rPr>
          <w:rStyle w:val="s1"/>
          <w:rFonts w:ascii="Arial" w:hAnsi="Arial" w:cs="Arial"/>
        </w:rPr>
        <w:t>Davidge</w:t>
      </w:r>
      <w:proofErr w:type="spellEnd"/>
      <w:r w:rsidRPr="007C2DEB">
        <w:rPr>
          <w:rStyle w:val="s1"/>
          <w:rFonts w:ascii="Arial" w:hAnsi="Arial" w:cs="Arial"/>
        </w:rPr>
        <w:t xml:space="preserve">, G., Atherton, H., </w:t>
      </w:r>
      <w:proofErr w:type="spellStart"/>
      <w:r w:rsidRPr="007C2DEB">
        <w:rPr>
          <w:rStyle w:val="s1"/>
          <w:rFonts w:ascii="Arial" w:hAnsi="Arial" w:cs="Arial"/>
        </w:rPr>
        <w:t>Calitri</w:t>
      </w:r>
      <w:proofErr w:type="spellEnd"/>
      <w:r w:rsidRPr="007C2DEB">
        <w:rPr>
          <w:rStyle w:val="s1"/>
          <w:rFonts w:ascii="Arial" w:hAnsi="Arial" w:cs="Arial"/>
        </w:rPr>
        <w:t xml:space="preserve">, R., Waller, J., Morris, R., Salisbury, C. and Campbell, J. (2023) ‘Primary care staff’s views and experience of patients’ online access to their electronic health records: a qualitative study’, </w:t>
      </w:r>
      <w:r w:rsidRPr="007C2DEB">
        <w:rPr>
          <w:rStyle w:val="s2"/>
          <w:rFonts w:ascii="Arial" w:hAnsi="Arial" w:cs="Arial"/>
        </w:rPr>
        <w:t>BMJ Open</w:t>
      </w:r>
      <w:r w:rsidRPr="007C2DEB">
        <w:rPr>
          <w:rStyle w:val="s1"/>
          <w:rFonts w:ascii="Arial" w:hAnsi="Arial" w:cs="Arial"/>
        </w:rPr>
        <w:t>, 13(4), e068597. Available at:</w:t>
      </w:r>
      <w:r w:rsidR="007C2DEB">
        <w:rPr>
          <w:rFonts w:ascii="Arial" w:hAnsi="Arial" w:cs="Arial"/>
        </w:rPr>
        <w:t xml:space="preserve"> </w:t>
      </w:r>
      <w:hyperlink r:id="rId7" w:history="1">
        <w:r w:rsidR="007C2DEB" w:rsidRPr="003A3037">
          <w:rPr>
            <w:rStyle w:val="Hyperlink"/>
            <w:rFonts w:ascii="Arial" w:hAnsi="Arial" w:cs="Arial"/>
          </w:rPr>
          <w:t>https://bmjopen.bmj.com/content/13/4/e068597</w:t>
        </w:r>
      </w:hyperlink>
      <w:r w:rsidR="007C2DEB">
        <w:rPr>
          <w:rFonts w:ascii="Arial" w:hAnsi="Arial" w:cs="Arial"/>
        </w:rPr>
        <w:t xml:space="preserve"> </w:t>
      </w:r>
      <w:r w:rsidRPr="007C2DEB">
        <w:rPr>
          <w:rStyle w:val="s3"/>
          <w:rFonts w:ascii="Arial" w:hAnsi="Arial" w:cs="Arial"/>
        </w:rPr>
        <w:t>(Accessed: 15 February 2026).</w:t>
      </w:r>
    </w:p>
    <w:p w14:paraId="299D4636" w14:textId="74CA82B5" w:rsidR="00867C0D" w:rsidRPr="007C2DEB" w:rsidRDefault="00867C0D" w:rsidP="007C2DEB">
      <w:pPr>
        <w:pStyle w:val="p1"/>
        <w:rPr>
          <w:rFonts w:ascii="Arial" w:hAnsi="Arial" w:cs="Arial"/>
        </w:rPr>
      </w:pPr>
      <w:r w:rsidRPr="007C2DEB">
        <w:rPr>
          <w:rStyle w:val="s1"/>
          <w:rFonts w:ascii="Arial" w:hAnsi="Arial" w:cs="Arial"/>
        </w:rPr>
        <w:t xml:space="preserve">Department of Health and Social Care (2022) </w:t>
      </w:r>
      <w:r w:rsidRPr="007C2DEB">
        <w:rPr>
          <w:rStyle w:val="s2"/>
          <w:rFonts w:ascii="Arial" w:hAnsi="Arial" w:cs="Arial"/>
        </w:rPr>
        <w:t>A plan for digital health and social care</w:t>
      </w:r>
      <w:r w:rsidRPr="007C2DEB">
        <w:rPr>
          <w:rStyle w:val="s1"/>
          <w:rFonts w:ascii="Arial" w:hAnsi="Arial" w:cs="Arial"/>
        </w:rPr>
        <w:t>. Available at:</w:t>
      </w:r>
      <w:r w:rsidR="007C2DEB">
        <w:rPr>
          <w:rFonts w:ascii="Arial" w:hAnsi="Arial" w:cs="Arial"/>
        </w:rPr>
        <w:t xml:space="preserve"> </w:t>
      </w:r>
      <w:hyperlink r:id="rId8" w:history="1">
        <w:r w:rsidR="007C2DEB" w:rsidRPr="003A3037">
          <w:rPr>
            <w:rStyle w:val="Hyperlink"/>
            <w:rFonts w:ascii="Arial" w:hAnsi="Arial" w:cs="Arial"/>
          </w:rPr>
          <w:t>https://www.gov.uk/government/publications/a-plan-for-digital-health-and-social-care/a-plan-for-digital-health-and-social-care</w:t>
        </w:r>
      </w:hyperlink>
      <w:r w:rsidR="007C2DEB">
        <w:rPr>
          <w:rFonts w:ascii="Arial" w:hAnsi="Arial" w:cs="Arial"/>
        </w:rPr>
        <w:t xml:space="preserve"> </w:t>
      </w:r>
      <w:r w:rsidRPr="007C2DEB">
        <w:rPr>
          <w:rStyle w:val="s3"/>
          <w:rFonts w:ascii="Arial" w:hAnsi="Arial" w:cs="Arial"/>
        </w:rPr>
        <w:t>(Accessed: 14 February 2026).</w:t>
      </w:r>
    </w:p>
    <w:p w14:paraId="78423CD4" w14:textId="22EDDA7A" w:rsidR="00867C0D" w:rsidRPr="007C2DEB" w:rsidRDefault="00867C0D" w:rsidP="007C2DEB">
      <w:pPr>
        <w:pStyle w:val="p1"/>
        <w:rPr>
          <w:rFonts w:ascii="Arial" w:hAnsi="Arial" w:cs="Arial"/>
        </w:rPr>
      </w:pPr>
      <w:r w:rsidRPr="007C2DEB">
        <w:rPr>
          <w:rStyle w:val="s1"/>
          <w:rFonts w:ascii="Arial" w:hAnsi="Arial" w:cs="Arial"/>
        </w:rPr>
        <w:t xml:space="preserve">Hägglund, M., </w:t>
      </w:r>
      <w:proofErr w:type="spellStart"/>
      <w:r w:rsidRPr="007C2DEB">
        <w:rPr>
          <w:rStyle w:val="s1"/>
          <w:rFonts w:ascii="Arial" w:hAnsi="Arial" w:cs="Arial"/>
        </w:rPr>
        <w:t>Scandurra</w:t>
      </w:r>
      <w:proofErr w:type="spellEnd"/>
      <w:r w:rsidRPr="007C2DEB">
        <w:rPr>
          <w:rStyle w:val="s1"/>
          <w:rFonts w:ascii="Arial" w:hAnsi="Arial" w:cs="Arial"/>
        </w:rPr>
        <w:t xml:space="preserve">, I. and </w:t>
      </w:r>
      <w:proofErr w:type="spellStart"/>
      <w:r w:rsidRPr="007C2DEB">
        <w:rPr>
          <w:rStyle w:val="s1"/>
          <w:rFonts w:ascii="Arial" w:hAnsi="Arial" w:cs="Arial"/>
        </w:rPr>
        <w:t>Moström</w:t>
      </w:r>
      <w:proofErr w:type="spellEnd"/>
      <w:r w:rsidRPr="007C2DEB">
        <w:rPr>
          <w:rStyle w:val="s1"/>
          <w:rFonts w:ascii="Arial" w:hAnsi="Arial" w:cs="Arial"/>
        </w:rPr>
        <w:t xml:space="preserve">, D. (2022) ‘Patient empowerment through online access to health records: systematic review’, </w:t>
      </w:r>
      <w:r w:rsidRPr="007C2DEB">
        <w:rPr>
          <w:rStyle w:val="s2"/>
          <w:rFonts w:ascii="Arial" w:hAnsi="Arial" w:cs="Arial"/>
        </w:rPr>
        <w:t>BMJ</w:t>
      </w:r>
      <w:r w:rsidRPr="007C2DEB">
        <w:rPr>
          <w:rStyle w:val="s1"/>
          <w:rFonts w:ascii="Arial" w:hAnsi="Arial" w:cs="Arial"/>
        </w:rPr>
        <w:t>, 378, e071531. Available at:</w:t>
      </w:r>
      <w:r w:rsidR="007C2DEB">
        <w:rPr>
          <w:rFonts w:ascii="Arial" w:hAnsi="Arial" w:cs="Arial"/>
        </w:rPr>
        <w:t xml:space="preserve"> </w:t>
      </w:r>
      <w:hyperlink r:id="rId9" w:history="1">
        <w:r w:rsidR="007C2DEB" w:rsidRPr="003A3037">
          <w:rPr>
            <w:rStyle w:val="Hyperlink"/>
            <w:rFonts w:ascii="Arial" w:hAnsi="Arial" w:cs="Arial"/>
          </w:rPr>
          <w:t>https://www.bmj.com/content/378/bmj-2022-071531</w:t>
        </w:r>
      </w:hyperlink>
      <w:r w:rsidR="007C2DEB">
        <w:rPr>
          <w:rFonts w:ascii="Arial" w:hAnsi="Arial" w:cs="Arial"/>
        </w:rPr>
        <w:t xml:space="preserve"> </w:t>
      </w:r>
      <w:r w:rsidRPr="007C2DEB">
        <w:rPr>
          <w:rStyle w:val="s3"/>
          <w:rFonts w:ascii="Arial" w:hAnsi="Arial" w:cs="Arial"/>
        </w:rPr>
        <w:t>(Accessed: 15 February 2026).</w:t>
      </w:r>
    </w:p>
    <w:p w14:paraId="57BB4774" w14:textId="6BDBB630" w:rsidR="00867C0D" w:rsidRPr="007C2DEB" w:rsidRDefault="00867C0D">
      <w:pPr>
        <w:pStyle w:val="p1"/>
        <w:rPr>
          <w:rFonts w:ascii="Arial" w:hAnsi="Arial" w:cs="Arial"/>
        </w:rPr>
      </w:pPr>
      <w:r w:rsidRPr="007C2DEB">
        <w:rPr>
          <w:rStyle w:val="s1"/>
          <w:rFonts w:ascii="Arial" w:hAnsi="Arial" w:cs="Arial"/>
        </w:rPr>
        <w:t xml:space="preserve">Information Commissioner’s Office (2024) </w:t>
      </w:r>
      <w:r w:rsidRPr="007C2DEB">
        <w:rPr>
          <w:rStyle w:val="s2"/>
          <w:rFonts w:ascii="Arial" w:hAnsi="Arial" w:cs="Arial"/>
        </w:rPr>
        <w:t>Special category data</w:t>
      </w:r>
      <w:r w:rsidRPr="007C2DEB">
        <w:rPr>
          <w:rStyle w:val="s1"/>
          <w:rFonts w:ascii="Arial" w:hAnsi="Arial" w:cs="Arial"/>
        </w:rPr>
        <w:t>. Available at:</w:t>
      </w:r>
      <w:r w:rsidR="007C2DEB">
        <w:rPr>
          <w:rFonts w:ascii="Arial" w:hAnsi="Arial" w:cs="Arial"/>
        </w:rPr>
        <w:t xml:space="preserve"> </w:t>
      </w:r>
      <w:hyperlink r:id="rId10" w:history="1">
        <w:r w:rsidR="007C2DEB" w:rsidRPr="003A3037">
          <w:rPr>
            <w:rStyle w:val="Hyperlink"/>
            <w:rFonts w:ascii="Arial" w:hAnsi="Arial" w:cs="Arial"/>
          </w:rPr>
          <w:t>https://ico.org.uk/for-organisations/uk-gdpr-guidance-and-resources/lawful-basis/special-category-data/</w:t>
        </w:r>
      </w:hyperlink>
      <w:r w:rsidR="007C2DEB">
        <w:rPr>
          <w:rFonts w:ascii="Arial" w:hAnsi="Arial" w:cs="Arial"/>
        </w:rPr>
        <w:t xml:space="preserve"> </w:t>
      </w:r>
      <w:r w:rsidRPr="007C2DEB">
        <w:rPr>
          <w:rStyle w:val="s3"/>
          <w:rFonts w:ascii="Arial" w:hAnsi="Arial" w:cs="Arial"/>
        </w:rPr>
        <w:t>(Accessed: 13 February 2026).</w:t>
      </w:r>
    </w:p>
    <w:p w14:paraId="142D6413" w14:textId="35B2B4F3" w:rsidR="00867C0D" w:rsidRPr="007C2DEB" w:rsidRDefault="00867C0D" w:rsidP="007C2DEB">
      <w:pPr>
        <w:pStyle w:val="p1"/>
        <w:rPr>
          <w:rFonts w:ascii="Arial" w:hAnsi="Arial" w:cs="Arial"/>
        </w:rPr>
      </w:pPr>
      <w:r w:rsidRPr="007C2DEB">
        <w:rPr>
          <w:rStyle w:val="s1"/>
          <w:rFonts w:ascii="Arial" w:hAnsi="Arial" w:cs="Arial"/>
        </w:rPr>
        <w:t xml:space="preserve">McMillan, B., </w:t>
      </w:r>
      <w:proofErr w:type="spellStart"/>
      <w:r w:rsidRPr="007C2DEB">
        <w:rPr>
          <w:rStyle w:val="s1"/>
          <w:rFonts w:ascii="Arial" w:hAnsi="Arial" w:cs="Arial"/>
        </w:rPr>
        <w:t>Davidge</w:t>
      </w:r>
      <w:proofErr w:type="spellEnd"/>
      <w:r w:rsidRPr="007C2DEB">
        <w:rPr>
          <w:rStyle w:val="s1"/>
          <w:rFonts w:ascii="Arial" w:hAnsi="Arial" w:cs="Arial"/>
        </w:rPr>
        <w:t xml:space="preserve">, G., Atherton, H. and Campbell, J. (2022) ‘Implications of patient online access to health records in English primary care’, </w:t>
      </w:r>
      <w:r w:rsidRPr="007C2DEB">
        <w:rPr>
          <w:rStyle w:val="s2"/>
          <w:rFonts w:ascii="Arial" w:hAnsi="Arial" w:cs="Arial"/>
        </w:rPr>
        <w:t>British Journal of General Practice</w:t>
      </w:r>
      <w:r w:rsidRPr="007C2DEB">
        <w:rPr>
          <w:rStyle w:val="s1"/>
          <w:rFonts w:ascii="Arial" w:hAnsi="Arial" w:cs="Arial"/>
        </w:rPr>
        <w:t>, 72(725), pp. 558–560. Available at:</w:t>
      </w:r>
      <w:r w:rsidR="007C2DEB">
        <w:rPr>
          <w:rFonts w:ascii="Arial" w:hAnsi="Arial" w:cs="Arial"/>
        </w:rPr>
        <w:t xml:space="preserve"> </w:t>
      </w:r>
      <w:hyperlink r:id="rId11" w:history="1">
        <w:r w:rsidR="007C2DEB" w:rsidRPr="003A3037">
          <w:rPr>
            <w:rStyle w:val="Hyperlink"/>
            <w:rFonts w:ascii="Arial" w:hAnsi="Arial" w:cs="Arial"/>
          </w:rPr>
          <w:t>https://bjgp.org/content/72/725/558</w:t>
        </w:r>
      </w:hyperlink>
      <w:r w:rsidR="007C2DEB">
        <w:rPr>
          <w:rFonts w:ascii="Arial" w:hAnsi="Arial" w:cs="Arial"/>
        </w:rPr>
        <w:t xml:space="preserve"> </w:t>
      </w:r>
      <w:r w:rsidRPr="007C2DEB">
        <w:rPr>
          <w:rStyle w:val="s3"/>
          <w:rFonts w:ascii="Arial" w:hAnsi="Arial" w:cs="Arial"/>
        </w:rPr>
        <w:t>(Accessed: 15 February 2026).</w:t>
      </w:r>
    </w:p>
    <w:p w14:paraId="4105B31E" w14:textId="0237F608" w:rsidR="007C2DEB" w:rsidRDefault="00867C0D" w:rsidP="007C2DEB">
      <w:pPr>
        <w:pStyle w:val="p1"/>
        <w:rPr>
          <w:rFonts w:ascii="Arial" w:hAnsi="Arial" w:cs="Arial"/>
        </w:rPr>
      </w:pPr>
      <w:r w:rsidRPr="007C2DEB">
        <w:rPr>
          <w:rStyle w:val="s1"/>
          <w:rFonts w:ascii="Arial" w:hAnsi="Arial" w:cs="Arial"/>
        </w:rPr>
        <w:t xml:space="preserve">NHS England (2019) </w:t>
      </w:r>
      <w:r w:rsidRPr="007C2DEB">
        <w:rPr>
          <w:rStyle w:val="s2"/>
          <w:rFonts w:ascii="Arial" w:hAnsi="Arial" w:cs="Arial"/>
        </w:rPr>
        <w:t>NHS App begins public rollout</w:t>
      </w:r>
      <w:r w:rsidRPr="007C2DEB">
        <w:rPr>
          <w:rStyle w:val="s1"/>
          <w:rFonts w:ascii="Arial" w:hAnsi="Arial" w:cs="Arial"/>
        </w:rPr>
        <w:t>. Available at:</w:t>
      </w:r>
      <w:r w:rsidR="007C2DEB">
        <w:rPr>
          <w:rFonts w:ascii="Arial" w:hAnsi="Arial" w:cs="Arial"/>
        </w:rPr>
        <w:t xml:space="preserve"> </w:t>
      </w:r>
      <w:hyperlink r:id="rId12" w:history="1">
        <w:r w:rsidR="007C2DEB" w:rsidRPr="003A3037">
          <w:rPr>
            <w:rStyle w:val="Hyperlink"/>
            <w:rFonts w:ascii="Arial" w:hAnsi="Arial" w:cs="Arial"/>
          </w:rPr>
          <w:t>https://www.england.nhs.uk/2019/01/nhs-app-begins-public-rollout/</w:t>
        </w:r>
      </w:hyperlink>
      <w:r w:rsidR="007C2DEB">
        <w:rPr>
          <w:rFonts w:ascii="Arial" w:hAnsi="Arial" w:cs="Arial"/>
        </w:rPr>
        <w:t xml:space="preserve"> </w:t>
      </w:r>
      <w:r w:rsidRPr="007C2DEB">
        <w:rPr>
          <w:rStyle w:val="s3"/>
          <w:rFonts w:ascii="Arial" w:hAnsi="Arial" w:cs="Arial"/>
        </w:rPr>
        <w:t>(Accessed: 13 February 2026).</w:t>
      </w:r>
    </w:p>
    <w:p w14:paraId="4AE73941" w14:textId="1058FD9A" w:rsidR="00867C0D" w:rsidRPr="007C2DEB" w:rsidRDefault="00867C0D" w:rsidP="007C2DEB">
      <w:pPr>
        <w:pStyle w:val="p1"/>
        <w:rPr>
          <w:rFonts w:ascii="Arial" w:hAnsi="Arial" w:cs="Arial"/>
        </w:rPr>
      </w:pPr>
      <w:r w:rsidRPr="007C2DEB">
        <w:rPr>
          <w:rStyle w:val="s1"/>
          <w:rFonts w:ascii="Arial" w:hAnsi="Arial" w:cs="Arial"/>
        </w:rPr>
        <w:t xml:space="preserve">NHS England (2023) </w:t>
      </w:r>
      <w:r w:rsidRPr="007C2DEB">
        <w:rPr>
          <w:rStyle w:val="s2"/>
          <w:rFonts w:ascii="Arial" w:hAnsi="Arial" w:cs="Arial"/>
        </w:rPr>
        <w:t>Inclusive digital healthcare: A framework for NHS action on digital inclusion</w:t>
      </w:r>
      <w:r w:rsidRPr="007C2DEB">
        <w:rPr>
          <w:rStyle w:val="s1"/>
          <w:rFonts w:ascii="Arial" w:hAnsi="Arial" w:cs="Arial"/>
        </w:rPr>
        <w:t>. Available at:</w:t>
      </w:r>
      <w:r w:rsidR="007C2DEB">
        <w:rPr>
          <w:rFonts w:ascii="Arial" w:hAnsi="Arial" w:cs="Arial"/>
        </w:rPr>
        <w:t xml:space="preserve"> </w:t>
      </w:r>
      <w:hyperlink r:id="rId13" w:history="1">
        <w:r w:rsidR="007C2DEB" w:rsidRPr="003A3037">
          <w:rPr>
            <w:rStyle w:val="Hyperlink"/>
            <w:rFonts w:ascii="Arial" w:hAnsi="Arial" w:cs="Arial"/>
          </w:rPr>
          <w:t>https://www.england.nhs.uk/long-read/inclusive-digital-</w:t>
        </w:r>
        <w:r w:rsidR="007C2DEB" w:rsidRPr="003A3037">
          <w:rPr>
            <w:rStyle w:val="Hyperlink"/>
            <w:rFonts w:ascii="Arial" w:hAnsi="Arial" w:cs="Arial"/>
          </w:rPr>
          <w:lastRenderedPageBreak/>
          <w:t>healthcare-a-framework-for-nhs-action-on-digital-inclusion/</w:t>
        </w:r>
      </w:hyperlink>
      <w:r w:rsidR="007C2DEB">
        <w:rPr>
          <w:rFonts w:ascii="Arial" w:hAnsi="Arial" w:cs="Arial"/>
        </w:rPr>
        <w:t xml:space="preserve"> </w:t>
      </w:r>
      <w:r w:rsidRPr="007C2DEB">
        <w:rPr>
          <w:rStyle w:val="s3"/>
          <w:rFonts w:ascii="Arial" w:hAnsi="Arial" w:cs="Arial"/>
        </w:rPr>
        <w:t>(Accessed: 14 February 2026).</w:t>
      </w:r>
    </w:p>
    <w:p w14:paraId="0B255036" w14:textId="046CBBF0" w:rsidR="00867C0D" w:rsidRPr="007C2DEB" w:rsidRDefault="00867C0D" w:rsidP="007C2DEB">
      <w:pPr>
        <w:pStyle w:val="p1"/>
        <w:rPr>
          <w:rFonts w:ascii="Arial" w:hAnsi="Arial" w:cs="Arial"/>
        </w:rPr>
      </w:pPr>
      <w:r w:rsidRPr="007C2DEB">
        <w:rPr>
          <w:rStyle w:val="s1"/>
          <w:rFonts w:ascii="Arial" w:hAnsi="Arial" w:cs="Arial"/>
        </w:rPr>
        <w:t xml:space="preserve">NHS England (2025) </w:t>
      </w:r>
      <w:r w:rsidRPr="007C2DEB">
        <w:rPr>
          <w:rStyle w:val="s2"/>
          <w:rFonts w:ascii="Arial" w:hAnsi="Arial" w:cs="Arial"/>
        </w:rPr>
        <w:t>Record numbers using NHS App to manage health</w:t>
      </w:r>
      <w:r w:rsidRPr="007C2DEB">
        <w:rPr>
          <w:rStyle w:val="s1"/>
          <w:rFonts w:ascii="Arial" w:hAnsi="Arial" w:cs="Arial"/>
        </w:rPr>
        <w:t>. Available at:</w:t>
      </w:r>
      <w:r w:rsidR="007C2DEB">
        <w:rPr>
          <w:rFonts w:ascii="Arial" w:hAnsi="Arial" w:cs="Arial"/>
        </w:rPr>
        <w:t xml:space="preserve"> </w:t>
      </w:r>
      <w:hyperlink r:id="rId14" w:history="1">
        <w:r w:rsidR="007C2DEB" w:rsidRPr="003A3037">
          <w:rPr>
            <w:rStyle w:val="Hyperlink"/>
            <w:rFonts w:ascii="Arial" w:hAnsi="Arial" w:cs="Arial"/>
          </w:rPr>
          <w:t>https://www.england.nhs.uk/2025/12/record-numbers-using-nhs-app-to-manage-health/</w:t>
        </w:r>
      </w:hyperlink>
      <w:r w:rsidR="007C2DEB">
        <w:rPr>
          <w:rFonts w:ascii="Arial" w:hAnsi="Arial" w:cs="Arial"/>
        </w:rPr>
        <w:t xml:space="preserve"> </w:t>
      </w:r>
      <w:r w:rsidRPr="007C2DEB">
        <w:rPr>
          <w:rStyle w:val="s3"/>
          <w:rFonts w:ascii="Arial" w:hAnsi="Arial" w:cs="Arial"/>
        </w:rPr>
        <w:t>(Accessed: 15 February 2026).</w:t>
      </w:r>
    </w:p>
    <w:p w14:paraId="7273464F" w14:textId="754ED723" w:rsidR="00867C0D" w:rsidRPr="007C2DEB" w:rsidRDefault="00867C0D" w:rsidP="007C2DEB">
      <w:pPr>
        <w:pStyle w:val="p1"/>
        <w:rPr>
          <w:rFonts w:ascii="Arial" w:hAnsi="Arial" w:cs="Arial"/>
        </w:rPr>
      </w:pPr>
      <w:r w:rsidRPr="007C2DEB">
        <w:rPr>
          <w:rStyle w:val="s1"/>
          <w:rFonts w:ascii="Arial" w:hAnsi="Arial" w:cs="Arial"/>
        </w:rPr>
        <w:t xml:space="preserve">NHS England Transformation Directorate (2021) </w:t>
      </w:r>
      <w:r w:rsidRPr="007C2DEB">
        <w:rPr>
          <w:rStyle w:val="s2"/>
          <w:rFonts w:ascii="Arial" w:hAnsi="Arial" w:cs="Arial"/>
        </w:rPr>
        <w:t>What Good Looks Like: Seven success measures for digital transformation</w:t>
      </w:r>
      <w:r w:rsidRPr="007C2DEB">
        <w:rPr>
          <w:rStyle w:val="s1"/>
          <w:rFonts w:ascii="Arial" w:hAnsi="Arial" w:cs="Arial"/>
        </w:rPr>
        <w:t>. Available at:</w:t>
      </w:r>
      <w:r w:rsidR="007C2DEB">
        <w:rPr>
          <w:rStyle w:val="s1"/>
          <w:rFonts w:ascii="Arial" w:hAnsi="Arial" w:cs="Arial"/>
        </w:rPr>
        <w:t xml:space="preserve"> </w:t>
      </w:r>
      <w:hyperlink r:id="rId15" w:history="1">
        <w:r w:rsidR="007C2DEB" w:rsidRPr="003A3037">
          <w:rPr>
            <w:rStyle w:val="Hyperlink"/>
            <w:rFonts w:ascii="Arial" w:hAnsi="Arial" w:cs="Arial"/>
          </w:rPr>
          <w:t>https://transform.england.nhs.uk/digitise-connect-transform/what-good-looks-like/what-good-looks-like-publication/</w:t>
        </w:r>
      </w:hyperlink>
      <w:r w:rsidR="007C2DEB">
        <w:rPr>
          <w:rFonts w:ascii="Arial" w:hAnsi="Arial" w:cs="Arial"/>
        </w:rPr>
        <w:t xml:space="preserve"> </w:t>
      </w:r>
      <w:r w:rsidRPr="007C2DEB">
        <w:rPr>
          <w:rStyle w:val="s3"/>
          <w:rFonts w:ascii="Arial" w:hAnsi="Arial" w:cs="Arial"/>
        </w:rPr>
        <w:t>(Accessed: 14 February 2026).</w:t>
      </w:r>
    </w:p>
    <w:p w14:paraId="7864CFEE" w14:textId="3B54C2C5" w:rsidR="00867C0D" w:rsidRPr="007C2DEB" w:rsidRDefault="00867C0D">
      <w:pPr>
        <w:pStyle w:val="p1"/>
        <w:rPr>
          <w:rFonts w:ascii="Arial" w:hAnsi="Arial" w:cs="Arial"/>
        </w:rPr>
      </w:pPr>
      <w:r w:rsidRPr="007C2DEB">
        <w:rPr>
          <w:rStyle w:val="s1"/>
          <w:rFonts w:ascii="Arial" w:hAnsi="Arial" w:cs="Arial"/>
        </w:rPr>
        <w:t xml:space="preserve">NHS Digital (2025) </w:t>
      </w:r>
      <w:r w:rsidRPr="007C2DEB">
        <w:rPr>
          <w:rStyle w:val="s2"/>
          <w:rFonts w:ascii="Arial" w:hAnsi="Arial" w:cs="Arial"/>
        </w:rPr>
        <w:t>NHS App statistics</w:t>
      </w:r>
      <w:r w:rsidRPr="007C2DEB">
        <w:rPr>
          <w:rStyle w:val="s1"/>
          <w:rFonts w:ascii="Arial" w:hAnsi="Arial" w:cs="Arial"/>
        </w:rPr>
        <w:t>. Available at:</w:t>
      </w:r>
      <w:r w:rsidR="007C2DEB">
        <w:rPr>
          <w:rFonts w:ascii="Arial" w:hAnsi="Arial" w:cs="Arial"/>
        </w:rPr>
        <w:t xml:space="preserve"> </w:t>
      </w:r>
      <w:hyperlink r:id="rId16" w:history="1">
        <w:r w:rsidR="007C2DEB" w:rsidRPr="003A3037">
          <w:rPr>
            <w:rStyle w:val="Hyperlink"/>
            <w:rFonts w:ascii="Arial" w:hAnsi="Arial" w:cs="Arial"/>
          </w:rPr>
          <w:t>https://digital.nhs.uk/data-and-information/publications/statistical/nhs-app-statistics</w:t>
        </w:r>
      </w:hyperlink>
      <w:r w:rsidR="007C2DEB">
        <w:rPr>
          <w:rFonts w:ascii="Arial" w:hAnsi="Arial" w:cs="Arial"/>
        </w:rPr>
        <w:t xml:space="preserve"> </w:t>
      </w:r>
      <w:r w:rsidRPr="007C2DEB">
        <w:rPr>
          <w:rStyle w:val="s3"/>
          <w:rFonts w:ascii="Arial" w:hAnsi="Arial" w:cs="Arial"/>
        </w:rPr>
        <w:t>(Accessed: 15 February 2026).</w:t>
      </w:r>
    </w:p>
    <w:p w14:paraId="49692C93" w14:textId="569DE5F5" w:rsidR="00867C0D" w:rsidRPr="007C2DEB" w:rsidRDefault="00867C0D">
      <w:pPr>
        <w:pStyle w:val="p1"/>
        <w:rPr>
          <w:rFonts w:ascii="Arial" w:hAnsi="Arial" w:cs="Arial"/>
        </w:rPr>
      </w:pPr>
      <w:r w:rsidRPr="007C2DEB">
        <w:rPr>
          <w:rStyle w:val="s1"/>
          <w:rFonts w:ascii="Arial" w:hAnsi="Arial" w:cs="Arial"/>
        </w:rPr>
        <w:t xml:space="preserve">Salisbury, C., Quigley, A., Hex, N. and Aznar, C. (2020) ‘The impact of digital-first consultations on workload in general practice: modelling study’, </w:t>
      </w:r>
      <w:r w:rsidRPr="007C2DEB">
        <w:rPr>
          <w:rStyle w:val="s2"/>
          <w:rFonts w:ascii="Arial" w:hAnsi="Arial" w:cs="Arial"/>
        </w:rPr>
        <w:t>BMJ Open</w:t>
      </w:r>
      <w:r w:rsidRPr="007C2DEB">
        <w:rPr>
          <w:rStyle w:val="s1"/>
          <w:rFonts w:ascii="Arial" w:hAnsi="Arial" w:cs="Arial"/>
        </w:rPr>
        <w:t>, 10(6), e035963. Available at:</w:t>
      </w:r>
      <w:r w:rsidR="007C2DEB">
        <w:rPr>
          <w:rFonts w:ascii="Arial" w:hAnsi="Arial" w:cs="Arial"/>
        </w:rPr>
        <w:t xml:space="preserve"> </w:t>
      </w:r>
      <w:hyperlink r:id="rId17" w:history="1">
        <w:r w:rsidR="007C2DEB" w:rsidRPr="003A3037">
          <w:rPr>
            <w:rStyle w:val="Hyperlink"/>
            <w:rFonts w:ascii="Arial" w:hAnsi="Arial" w:cs="Arial"/>
          </w:rPr>
          <w:t>https://bmjopen.bmj.com/content/10/6/e035963</w:t>
        </w:r>
      </w:hyperlink>
      <w:r w:rsidR="007C2DEB">
        <w:rPr>
          <w:rFonts w:ascii="Arial" w:hAnsi="Arial" w:cs="Arial"/>
        </w:rPr>
        <w:t xml:space="preserve"> </w:t>
      </w:r>
      <w:r w:rsidRPr="007C2DEB">
        <w:rPr>
          <w:rStyle w:val="s3"/>
          <w:rFonts w:ascii="Arial" w:hAnsi="Arial" w:cs="Arial"/>
        </w:rPr>
        <w:t>(Accessed: 14 February 2026).</w:t>
      </w:r>
    </w:p>
    <w:p w14:paraId="69DD3B13" w14:textId="132B7287" w:rsidR="005F344C" w:rsidRPr="00A21515" w:rsidRDefault="00867C0D" w:rsidP="00867C0D">
      <w:pPr>
        <w:pStyle w:val="p1"/>
        <w:rPr>
          <w:rFonts w:ascii="Arial" w:hAnsi="Arial" w:cs="Arial"/>
        </w:rPr>
      </w:pPr>
      <w:proofErr w:type="spellStart"/>
      <w:r w:rsidRPr="007C2DEB">
        <w:rPr>
          <w:rStyle w:val="s1"/>
          <w:rFonts w:ascii="Arial" w:hAnsi="Arial" w:cs="Arial"/>
        </w:rPr>
        <w:t>Greenhalgh</w:t>
      </w:r>
      <w:proofErr w:type="spellEnd"/>
      <w:r w:rsidRPr="007C2DEB">
        <w:rPr>
          <w:rStyle w:val="s1"/>
          <w:rFonts w:ascii="Arial" w:hAnsi="Arial" w:cs="Arial"/>
        </w:rPr>
        <w:t xml:space="preserve">, T., </w:t>
      </w:r>
      <w:proofErr w:type="spellStart"/>
      <w:r w:rsidRPr="007C2DEB">
        <w:rPr>
          <w:rStyle w:val="s1"/>
          <w:rFonts w:ascii="Arial" w:hAnsi="Arial" w:cs="Arial"/>
        </w:rPr>
        <w:t>Wherton</w:t>
      </w:r>
      <w:proofErr w:type="spellEnd"/>
      <w:r w:rsidRPr="007C2DEB">
        <w:rPr>
          <w:rStyle w:val="s1"/>
          <w:rFonts w:ascii="Arial" w:hAnsi="Arial" w:cs="Arial"/>
        </w:rPr>
        <w:t xml:space="preserve">, J., </w:t>
      </w:r>
      <w:proofErr w:type="spellStart"/>
      <w:r w:rsidRPr="007C2DEB">
        <w:rPr>
          <w:rStyle w:val="s1"/>
          <w:rFonts w:ascii="Arial" w:hAnsi="Arial" w:cs="Arial"/>
        </w:rPr>
        <w:t>Papoutsi</w:t>
      </w:r>
      <w:proofErr w:type="spellEnd"/>
      <w:r w:rsidRPr="007C2DEB">
        <w:rPr>
          <w:rStyle w:val="s1"/>
          <w:rFonts w:ascii="Arial" w:hAnsi="Arial" w:cs="Arial"/>
        </w:rPr>
        <w:t xml:space="preserve">, C., Lynch, J., Hughes, G., A’Court, C., Hinder, S., </w:t>
      </w:r>
      <w:proofErr w:type="spellStart"/>
      <w:r w:rsidRPr="007C2DEB">
        <w:rPr>
          <w:rStyle w:val="s1"/>
          <w:rFonts w:ascii="Arial" w:hAnsi="Arial" w:cs="Arial"/>
        </w:rPr>
        <w:t>Fahy</w:t>
      </w:r>
      <w:proofErr w:type="spellEnd"/>
      <w:r w:rsidRPr="007C2DEB">
        <w:rPr>
          <w:rStyle w:val="s1"/>
          <w:rFonts w:ascii="Arial" w:hAnsi="Arial" w:cs="Arial"/>
        </w:rPr>
        <w:t xml:space="preserve">, N., Procter, R. and Shaw, S. (2017) ‘Beyond adoption: a new framework for theorising and evaluating digital health services’, </w:t>
      </w:r>
      <w:r w:rsidRPr="007C2DEB">
        <w:rPr>
          <w:rStyle w:val="s2"/>
          <w:rFonts w:ascii="Arial" w:hAnsi="Arial" w:cs="Arial"/>
        </w:rPr>
        <w:t>Journal of Medical Internet Research</w:t>
      </w:r>
      <w:r w:rsidRPr="007C2DEB">
        <w:rPr>
          <w:rStyle w:val="s1"/>
          <w:rFonts w:ascii="Arial" w:hAnsi="Arial" w:cs="Arial"/>
        </w:rPr>
        <w:t>, 19(11), e367. Available at:</w:t>
      </w:r>
      <w:r w:rsidR="007C2DEB">
        <w:rPr>
          <w:rFonts w:ascii="Arial" w:hAnsi="Arial" w:cs="Arial"/>
        </w:rPr>
        <w:t xml:space="preserve"> </w:t>
      </w:r>
      <w:hyperlink r:id="rId18" w:history="1">
        <w:r w:rsidR="007C2DEB" w:rsidRPr="003A3037">
          <w:rPr>
            <w:rStyle w:val="Hyperlink"/>
            <w:rFonts w:ascii="Arial" w:hAnsi="Arial" w:cs="Arial"/>
          </w:rPr>
          <w:t>https://www.jmir.org/2017/11/e367/</w:t>
        </w:r>
      </w:hyperlink>
      <w:r w:rsidR="007C2DEB">
        <w:rPr>
          <w:rFonts w:ascii="Arial" w:hAnsi="Arial" w:cs="Arial"/>
        </w:rPr>
        <w:t xml:space="preserve"> </w:t>
      </w:r>
      <w:r w:rsidRPr="007C2DEB">
        <w:rPr>
          <w:rStyle w:val="s3"/>
          <w:rFonts w:ascii="Arial" w:hAnsi="Arial" w:cs="Arial"/>
        </w:rPr>
        <w:t>(Accessed: 13 February 2026).</w:t>
      </w:r>
    </w:p>
    <w:p w14:paraId="7FEFF158" w14:textId="77777777" w:rsidR="00A21515" w:rsidRPr="00526A34" w:rsidRDefault="00A21515">
      <w:pPr>
        <w:rPr>
          <w:rFonts w:ascii="Arial" w:hAnsi="Arial" w:cs="Arial"/>
        </w:rPr>
      </w:pPr>
    </w:p>
    <w:sectPr w:rsidR="00A21515" w:rsidRPr="00526A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9278F" w14:textId="77777777" w:rsidR="002D130A" w:rsidRDefault="002D130A" w:rsidP="00867C0D">
      <w:pPr>
        <w:spacing w:after="0" w:line="240" w:lineRule="auto"/>
      </w:pPr>
      <w:r>
        <w:separator/>
      </w:r>
    </w:p>
  </w:endnote>
  <w:endnote w:type="continuationSeparator" w:id="0">
    <w:p w14:paraId="42E47FF7" w14:textId="77777777" w:rsidR="002D130A" w:rsidRDefault="002D130A" w:rsidP="00867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3C48C" w14:textId="77777777" w:rsidR="002D130A" w:rsidRDefault="002D130A" w:rsidP="00867C0D">
      <w:pPr>
        <w:spacing w:after="0" w:line="240" w:lineRule="auto"/>
      </w:pPr>
      <w:r>
        <w:separator/>
      </w:r>
    </w:p>
  </w:footnote>
  <w:footnote w:type="continuationSeparator" w:id="0">
    <w:p w14:paraId="2B0205EB" w14:textId="77777777" w:rsidR="002D130A" w:rsidRDefault="002D130A" w:rsidP="00867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D6E5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8146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515"/>
    <w:rsid w:val="000135C2"/>
    <w:rsid w:val="00263A18"/>
    <w:rsid w:val="002D130A"/>
    <w:rsid w:val="00373C47"/>
    <w:rsid w:val="003C1E8F"/>
    <w:rsid w:val="003D0BB5"/>
    <w:rsid w:val="004A7D78"/>
    <w:rsid w:val="00526A34"/>
    <w:rsid w:val="005F344C"/>
    <w:rsid w:val="0064057A"/>
    <w:rsid w:val="00672FD1"/>
    <w:rsid w:val="007C2DEB"/>
    <w:rsid w:val="00811447"/>
    <w:rsid w:val="00867C0D"/>
    <w:rsid w:val="00886CCC"/>
    <w:rsid w:val="008B6C8B"/>
    <w:rsid w:val="008F0DEA"/>
    <w:rsid w:val="00977A27"/>
    <w:rsid w:val="009E1E92"/>
    <w:rsid w:val="00A108E6"/>
    <w:rsid w:val="00A21515"/>
    <w:rsid w:val="00B1208C"/>
    <w:rsid w:val="00B478CD"/>
    <w:rsid w:val="00B80551"/>
    <w:rsid w:val="00BE51E8"/>
    <w:rsid w:val="00C85A3F"/>
    <w:rsid w:val="00D931CD"/>
    <w:rsid w:val="00DD742F"/>
    <w:rsid w:val="00DF1046"/>
    <w:rsid w:val="00E16919"/>
    <w:rsid w:val="00E31520"/>
    <w:rsid w:val="00E43228"/>
    <w:rsid w:val="00E54741"/>
    <w:rsid w:val="00F77D95"/>
    <w:rsid w:val="00FA4430"/>
    <w:rsid w:val="00FD6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8413C"/>
  <w15:chartTrackingRefBased/>
  <w15:docId w15:val="{BAA696EB-4411-1C40-85CB-DAE212EE6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1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1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515"/>
    <w:rPr>
      <w:rFonts w:eastAsiaTheme="majorEastAsia" w:cstheme="majorBidi"/>
      <w:color w:val="272727" w:themeColor="text1" w:themeTint="D8"/>
    </w:rPr>
  </w:style>
  <w:style w:type="paragraph" w:styleId="Title">
    <w:name w:val="Title"/>
    <w:basedOn w:val="Normal"/>
    <w:next w:val="Normal"/>
    <w:link w:val="TitleChar"/>
    <w:uiPriority w:val="10"/>
    <w:qFormat/>
    <w:rsid w:val="00A21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515"/>
    <w:pPr>
      <w:spacing w:before="160"/>
      <w:jc w:val="center"/>
    </w:pPr>
    <w:rPr>
      <w:i/>
      <w:iCs/>
      <w:color w:val="404040" w:themeColor="text1" w:themeTint="BF"/>
    </w:rPr>
  </w:style>
  <w:style w:type="character" w:customStyle="1" w:styleId="QuoteChar">
    <w:name w:val="Quote Char"/>
    <w:basedOn w:val="DefaultParagraphFont"/>
    <w:link w:val="Quote"/>
    <w:uiPriority w:val="29"/>
    <w:rsid w:val="00A21515"/>
    <w:rPr>
      <w:i/>
      <w:iCs/>
      <w:color w:val="404040" w:themeColor="text1" w:themeTint="BF"/>
    </w:rPr>
  </w:style>
  <w:style w:type="paragraph" w:styleId="ListParagraph">
    <w:name w:val="List Paragraph"/>
    <w:basedOn w:val="Normal"/>
    <w:uiPriority w:val="34"/>
    <w:qFormat/>
    <w:rsid w:val="00A21515"/>
    <w:pPr>
      <w:ind w:left="720"/>
      <w:contextualSpacing/>
    </w:pPr>
  </w:style>
  <w:style w:type="character" w:styleId="IntenseEmphasis">
    <w:name w:val="Intense Emphasis"/>
    <w:basedOn w:val="DefaultParagraphFont"/>
    <w:uiPriority w:val="21"/>
    <w:qFormat/>
    <w:rsid w:val="00A21515"/>
    <w:rPr>
      <w:i/>
      <w:iCs/>
      <w:color w:val="0F4761" w:themeColor="accent1" w:themeShade="BF"/>
    </w:rPr>
  </w:style>
  <w:style w:type="paragraph" w:styleId="IntenseQuote">
    <w:name w:val="Intense Quote"/>
    <w:basedOn w:val="Normal"/>
    <w:next w:val="Normal"/>
    <w:link w:val="IntenseQuoteChar"/>
    <w:uiPriority w:val="30"/>
    <w:qFormat/>
    <w:rsid w:val="00A21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515"/>
    <w:rPr>
      <w:i/>
      <w:iCs/>
      <w:color w:val="0F4761" w:themeColor="accent1" w:themeShade="BF"/>
    </w:rPr>
  </w:style>
  <w:style w:type="character" w:styleId="IntenseReference">
    <w:name w:val="Intense Reference"/>
    <w:basedOn w:val="DefaultParagraphFont"/>
    <w:uiPriority w:val="32"/>
    <w:qFormat/>
    <w:rsid w:val="00A21515"/>
    <w:rPr>
      <w:b/>
      <w:bCs/>
      <w:smallCaps/>
      <w:color w:val="0F4761" w:themeColor="accent1" w:themeShade="BF"/>
      <w:spacing w:val="5"/>
    </w:rPr>
  </w:style>
  <w:style w:type="paragraph" w:customStyle="1" w:styleId="p1">
    <w:name w:val="p1"/>
    <w:basedOn w:val="Normal"/>
    <w:rsid w:val="00A2151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21515"/>
  </w:style>
  <w:style w:type="paragraph" w:customStyle="1" w:styleId="p2">
    <w:name w:val="p2"/>
    <w:basedOn w:val="Normal"/>
    <w:rsid w:val="00A2151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21515"/>
  </w:style>
  <w:style w:type="paragraph" w:customStyle="1" w:styleId="p3">
    <w:name w:val="p3"/>
    <w:basedOn w:val="Normal"/>
    <w:rsid w:val="00A21515"/>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A21515"/>
  </w:style>
  <w:style w:type="character" w:customStyle="1" w:styleId="s4">
    <w:name w:val="s4"/>
    <w:basedOn w:val="DefaultParagraphFont"/>
    <w:rsid w:val="00A21515"/>
  </w:style>
  <w:style w:type="paragraph" w:styleId="Header">
    <w:name w:val="header"/>
    <w:basedOn w:val="Normal"/>
    <w:link w:val="HeaderChar"/>
    <w:uiPriority w:val="99"/>
    <w:unhideWhenUsed/>
    <w:rsid w:val="00867C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C0D"/>
  </w:style>
  <w:style w:type="paragraph" w:styleId="Footer">
    <w:name w:val="footer"/>
    <w:basedOn w:val="Normal"/>
    <w:link w:val="FooterChar"/>
    <w:uiPriority w:val="99"/>
    <w:unhideWhenUsed/>
    <w:rsid w:val="00867C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C0D"/>
  </w:style>
  <w:style w:type="character" w:styleId="Hyperlink">
    <w:name w:val="Hyperlink"/>
    <w:basedOn w:val="DefaultParagraphFont"/>
    <w:uiPriority w:val="99"/>
    <w:unhideWhenUsed/>
    <w:rsid w:val="007C2DEB"/>
    <w:rPr>
      <w:color w:val="467886" w:themeColor="hyperlink"/>
      <w:u w:val="single"/>
    </w:rPr>
  </w:style>
  <w:style w:type="character" w:styleId="UnresolvedMention">
    <w:name w:val="Unresolved Mention"/>
    <w:basedOn w:val="DefaultParagraphFont"/>
    <w:uiPriority w:val="99"/>
    <w:semiHidden/>
    <w:unhideWhenUsed/>
    <w:rsid w:val="007C2D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a-plan-for-digital-health-and-social-care" TargetMode="External"/><Relationship Id="rId13" Type="http://schemas.openxmlformats.org/officeDocument/2006/relationships/hyperlink" Target="https://www.england.nhs.uk/long-read/inclusive-digital-healthcare-a-framework-for-nhs-action-on-digital-inclusion/" TargetMode="External"/><Relationship Id="rId18" Type="http://schemas.openxmlformats.org/officeDocument/2006/relationships/hyperlink" Target="https://www.jmir.org/2017/11/e367/" TargetMode="External"/><Relationship Id="rId3" Type="http://schemas.openxmlformats.org/officeDocument/2006/relationships/settings" Target="settings.xml"/><Relationship Id="rId7" Type="http://schemas.openxmlformats.org/officeDocument/2006/relationships/hyperlink" Target="https://bmjopen.bmj.com/content/13/4/e068597" TargetMode="External"/><Relationship Id="rId12" Type="http://schemas.openxmlformats.org/officeDocument/2006/relationships/hyperlink" Target="https://www.england.nhs.uk/2019/01/nhs-app-begins-public-rollout/" TargetMode="External"/><Relationship Id="rId17" Type="http://schemas.openxmlformats.org/officeDocument/2006/relationships/hyperlink" Target="https://bmjopen.bmj.com/content/10/6/e035963"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nhs-app-statistic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jgp.org/content/72/725/558" TargetMode="External"/><Relationship Id="rId5" Type="http://schemas.openxmlformats.org/officeDocument/2006/relationships/footnotes" Target="footnotes.xml"/><Relationship Id="rId15" Type="http://schemas.openxmlformats.org/officeDocument/2006/relationships/hyperlink" Target="https://transform.england.nhs.uk/digitise-connect-transform/what-good-looks-like/what-good-looks-like-publication/" TargetMode="External"/><Relationship Id="rId10" Type="http://schemas.openxmlformats.org/officeDocument/2006/relationships/hyperlink" Target="https://ico.org.uk/for-organisations/uk-gdpr-guidance-and-resources/lawful-basis/special-category-dat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mj.com/content/378/bmj-2022-071531" TargetMode="External"/><Relationship Id="rId14" Type="http://schemas.openxmlformats.org/officeDocument/2006/relationships/hyperlink" Target="https://www.england.nhs.uk/2025/12/record-numbers-using-nhs-app-to-manage-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2704</Words>
  <Characters>15418</Characters>
  <Application>Microsoft Office Word</Application>
  <DocSecurity>0</DocSecurity>
  <Lines>128</Lines>
  <Paragraphs>36</Paragraphs>
  <ScaleCrop>false</ScaleCrop>
  <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Newrikaa Jeyapathy (2324340)</dc:creator>
  <cp:keywords/>
  <dc:description/>
  <cp:lastModifiedBy>Newrikaa Jeyapathy (2324340)</cp:lastModifiedBy>
  <cp:revision>2</cp:revision>
  <dcterms:created xsi:type="dcterms:W3CDTF">2026-03-08T12:02:00Z</dcterms:created>
  <dcterms:modified xsi:type="dcterms:W3CDTF">2026-03-08T12:02:00Z</dcterms:modified>
</cp:coreProperties>
</file>