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C45E" w14:textId="1D18F5D6" w:rsidR="00401283" w:rsidRDefault="00401283" w:rsidP="00E92FC0">
      <w:pPr>
        <w:spacing w:before="120" w:after="120" w:line="360" w:lineRule="auto"/>
        <w:outlineLvl w:val="0"/>
        <w:rPr>
          <w:rFonts w:ascii="Arial" w:hAnsi="Arial" w:cs="Arial"/>
          <w:b/>
          <w:bCs/>
          <w:kern w:val="36"/>
          <w:sz w:val="22"/>
          <w:szCs w:val="22"/>
        </w:rPr>
      </w:pPr>
      <w:bookmarkStart w:id="0" w:name="_Toc235651365"/>
      <w:r>
        <w:rPr>
          <w:noProof/>
        </w:rPr>
        <w:drawing>
          <wp:inline distT="0" distB="0" distL="0" distR="0" wp14:anchorId="619BC23F" wp14:editId="2F77CADF">
            <wp:extent cx="2623078" cy="1167542"/>
            <wp:effectExtent l="0" t="0" r="0" b="0"/>
            <wp:docPr id="80932830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bookmarkEnd w:id="0"/>
    </w:p>
    <w:p w14:paraId="4304326B" w14:textId="77777777" w:rsidR="00401283" w:rsidRDefault="00401283" w:rsidP="00401283">
      <w:pPr>
        <w:spacing w:before="280" w:after="280"/>
        <w:rPr>
          <w:rFonts w:ascii="Arial" w:eastAsia="Arial" w:hAnsi="Arial" w:cs="Arial"/>
          <w:b/>
          <w:bCs/>
          <w:sz w:val="48"/>
          <w:szCs w:val="48"/>
        </w:rPr>
      </w:pPr>
      <w:r>
        <w:rPr>
          <w:rFonts w:ascii="Arial" w:eastAsia="Arial" w:hAnsi="Arial" w:cs="Arial"/>
          <w:b/>
          <w:bCs/>
          <w:sz w:val="48"/>
          <w:szCs w:val="48"/>
        </w:rPr>
        <w:t>Assignment</w:t>
      </w:r>
    </w:p>
    <w:p w14:paraId="130EFDCD" w14:textId="3DEF7060" w:rsidR="00401283" w:rsidRPr="00401283" w:rsidRDefault="00401283" w:rsidP="00401283">
      <w:pPr>
        <w:spacing w:before="280" w:after="280"/>
        <w:rPr>
          <w:rFonts w:ascii="Arial" w:eastAsia="Arial" w:hAnsi="Arial" w:cs="Arial"/>
          <w:b/>
          <w:bCs/>
          <w:sz w:val="32"/>
          <w:szCs w:val="32"/>
        </w:rPr>
      </w:pPr>
      <w:r w:rsidRPr="00401283">
        <w:rPr>
          <w:rFonts w:ascii="Arial" w:eastAsia="Arial" w:hAnsi="Arial" w:cs="Arial"/>
          <w:b/>
          <w:bCs/>
          <w:sz w:val="32"/>
          <w:szCs w:val="32"/>
        </w:rPr>
        <w:t>Written Assignment</w:t>
      </w:r>
    </w:p>
    <w:p w14:paraId="691652CD" w14:textId="19103761" w:rsidR="00401283" w:rsidRPr="009A6414" w:rsidRDefault="00401283" w:rsidP="009A6414">
      <w:pPr>
        <w:spacing w:before="280" w:after="280"/>
        <w:rPr>
          <w:rFonts w:ascii="Arial" w:eastAsia="Arial" w:hAnsi="Arial" w:cs="Arial"/>
          <w:b/>
          <w:bCs/>
          <w:sz w:val="32"/>
          <w:szCs w:val="32"/>
        </w:rPr>
      </w:pPr>
      <w:r w:rsidRPr="009A6414">
        <w:rPr>
          <w:rFonts w:ascii="Arial" w:eastAsia="Arial" w:hAnsi="Arial" w:cs="Arial"/>
          <w:b/>
          <w:bCs/>
          <w:sz w:val="32"/>
          <w:szCs w:val="32"/>
        </w:rPr>
        <w:t>Case Study: Mrs Thompson</w:t>
      </w:r>
    </w:p>
    <w:p w14:paraId="18737EDB" w14:textId="77777777" w:rsidR="00401283" w:rsidRPr="00401283" w:rsidRDefault="00401283" w:rsidP="00401283">
      <w:pPr>
        <w:shd w:val="clear" w:color="auto" w:fill="FFFFFF"/>
        <w:spacing w:before="240"/>
        <w:rPr>
          <w:rFonts w:ascii="Arial" w:eastAsia="Arial" w:hAnsi="Arial" w:cs="Arial"/>
          <w:sz w:val="28"/>
          <w:szCs w:val="28"/>
        </w:rPr>
      </w:pPr>
      <w:r w:rsidRPr="00401283">
        <w:rPr>
          <w:rFonts w:ascii="Arial" w:eastAsia="Arial" w:hAnsi="Arial" w:cs="Arial"/>
          <w:b/>
          <w:bCs/>
          <w:sz w:val="28"/>
          <w:szCs w:val="28"/>
        </w:rPr>
        <w:t>Student Names:</w:t>
      </w:r>
      <w:r w:rsidRPr="00401283">
        <w:rPr>
          <w:rFonts w:ascii="Arial" w:eastAsia="Arial" w:hAnsi="Arial" w:cs="Arial"/>
          <w:sz w:val="28"/>
          <w:szCs w:val="28"/>
        </w:rPr>
        <w:t> Sadia Batool (2512945)</w:t>
      </w:r>
    </w:p>
    <w:p w14:paraId="21D65F1E" w14:textId="77777777" w:rsidR="00401283" w:rsidRPr="00401283" w:rsidRDefault="00401283" w:rsidP="00401283">
      <w:pPr>
        <w:shd w:val="clear" w:color="auto" w:fill="FFFFFF"/>
        <w:rPr>
          <w:rFonts w:ascii="Arial" w:eastAsia="Arial" w:hAnsi="Arial" w:cs="Arial"/>
          <w:sz w:val="28"/>
          <w:szCs w:val="28"/>
        </w:rPr>
      </w:pPr>
      <w:r w:rsidRPr="00401283">
        <w:rPr>
          <w:rFonts w:ascii="Arial" w:eastAsia="Arial" w:hAnsi="Arial" w:cs="Arial"/>
          <w:b/>
          <w:bCs/>
          <w:sz w:val="28"/>
          <w:szCs w:val="28"/>
        </w:rPr>
        <w:t>Module Code:</w:t>
      </w:r>
      <w:r w:rsidRPr="00401283">
        <w:rPr>
          <w:rFonts w:ascii="Arial" w:eastAsia="Arial" w:hAnsi="Arial" w:cs="Arial"/>
          <w:sz w:val="28"/>
          <w:szCs w:val="28"/>
        </w:rPr>
        <w:t xml:space="preserve"> LCHS4003 </w:t>
      </w:r>
    </w:p>
    <w:p w14:paraId="380BC748" w14:textId="77777777" w:rsidR="00401283" w:rsidRDefault="00401283" w:rsidP="00401283">
      <w:pPr>
        <w:shd w:val="clear" w:color="auto" w:fill="FFFFFF"/>
        <w:rPr>
          <w:rFonts w:ascii="Arial" w:eastAsia="Arial" w:hAnsi="Arial" w:cs="Arial"/>
          <w:sz w:val="28"/>
          <w:szCs w:val="28"/>
        </w:rPr>
      </w:pPr>
      <w:r>
        <w:rPr>
          <w:rFonts w:ascii="Arial" w:eastAsia="Arial" w:hAnsi="Arial" w:cs="Arial"/>
          <w:b/>
          <w:bCs/>
          <w:sz w:val="28"/>
          <w:szCs w:val="28"/>
        </w:rPr>
        <w:t>Module Title:</w:t>
      </w:r>
      <w:r>
        <w:rPr>
          <w:rFonts w:ascii="Arial" w:eastAsia="Arial" w:hAnsi="Arial" w:cs="Arial"/>
          <w:sz w:val="28"/>
          <w:szCs w:val="28"/>
        </w:rPr>
        <w:t> Introduction to Health and Social Care</w:t>
      </w:r>
    </w:p>
    <w:p w14:paraId="36E8F6A4" w14:textId="519849B7" w:rsidR="00401283" w:rsidRDefault="00401283" w:rsidP="00401283">
      <w:pPr>
        <w:jc w:val="both"/>
        <w:rPr>
          <w:rFonts w:ascii="Quattrocento Sans" w:eastAsia="Quattrocento Sans" w:hAnsi="Quattrocento Sans" w:cs="Quattrocento Sans"/>
          <w:sz w:val="28"/>
          <w:szCs w:val="28"/>
        </w:rPr>
      </w:pPr>
      <w:r>
        <w:rPr>
          <w:rFonts w:ascii="Arial" w:eastAsia="Arial" w:hAnsi="Arial" w:cs="Arial"/>
          <w:b/>
          <w:bCs/>
          <w:sz w:val="28"/>
          <w:szCs w:val="28"/>
        </w:rPr>
        <w:t xml:space="preserve">Lecturer's Name: </w:t>
      </w:r>
      <w:r w:rsidR="001E3CDF">
        <w:rPr>
          <w:rFonts w:ascii="Arial" w:eastAsia="Arial" w:hAnsi="Arial" w:cs="Arial"/>
          <w:b/>
          <w:bCs/>
          <w:sz w:val="28"/>
          <w:szCs w:val="28"/>
        </w:rPr>
        <w:t>Farah Islam</w:t>
      </w:r>
    </w:p>
    <w:p w14:paraId="224AB11F" w14:textId="77777777" w:rsidR="00401283" w:rsidRDefault="00401283" w:rsidP="00401283">
      <w:pPr>
        <w:jc w:val="both"/>
        <w:rPr>
          <w:rFonts w:ascii="Arial" w:eastAsia="Arial" w:hAnsi="Arial" w:cs="Arial"/>
          <w:sz w:val="28"/>
          <w:szCs w:val="28"/>
        </w:rPr>
      </w:pPr>
    </w:p>
    <w:p w14:paraId="2679A6F0" w14:textId="60FA5C8D" w:rsidR="00401283" w:rsidRDefault="00401283" w:rsidP="00401283">
      <w:pPr>
        <w:jc w:val="both"/>
        <w:rPr>
          <w:rFonts w:ascii="Arial" w:eastAsia="Arial" w:hAnsi="Arial" w:cs="Arial"/>
          <w:sz w:val="28"/>
          <w:szCs w:val="28"/>
        </w:rPr>
      </w:pPr>
      <w:r>
        <w:rPr>
          <w:rFonts w:ascii="Arial" w:eastAsia="Arial" w:hAnsi="Arial" w:cs="Arial"/>
          <w:b/>
          <w:bCs/>
          <w:sz w:val="28"/>
          <w:szCs w:val="28"/>
        </w:rPr>
        <w:t>Submitted on:</w:t>
      </w:r>
      <w:r>
        <w:rPr>
          <w:rFonts w:ascii="Arial" w:eastAsia="Arial" w:hAnsi="Arial" w:cs="Arial"/>
          <w:sz w:val="28"/>
          <w:szCs w:val="28"/>
        </w:rPr>
        <w:t xml:space="preserve"> </w:t>
      </w:r>
      <w:r w:rsidR="00A8072D">
        <w:rPr>
          <w:rFonts w:ascii="Arial" w:eastAsia="Arial" w:hAnsi="Arial" w:cs="Arial"/>
          <w:sz w:val="28"/>
          <w:szCs w:val="28"/>
        </w:rPr>
        <w:t>23/07/2026</w:t>
      </w:r>
    </w:p>
    <w:p w14:paraId="4084D5A0" w14:textId="77777777" w:rsidR="00401283" w:rsidRDefault="00401283" w:rsidP="00E92FC0">
      <w:pPr>
        <w:spacing w:before="120" w:after="120" w:line="360" w:lineRule="auto"/>
        <w:outlineLvl w:val="0"/>
        <w:rPr>
          <w:rFonts w:ascii="Arial" w:hAnsi="Arial" w:cs="Arial"/>
          <w:b/>
          <w:bCs/>
          <w:kern w:val="36"/>
          <w:sz w:val="22"/>
          <w:szCs w:val="22"/>
        </w:rPr>
      </w:pPr>
    </w:p>
    <w:p w14:paraId="0F53D44A" w14:textId="77777777" w:rsidR="00401283" w:rsidRDefault="00401283" w:rsidP="00E92FC0">
      <w:pPr>
        <w:spacing w:before="120" w:after="120" w:line="360" w:lineRule="auto"/>
        <w:outlineLvl w:val="0"/>
        <w:rPr>
          <w:rFonts w:ascii="Arial" w:hAnsi="Arial" w:cs="Arial"/>
          <w:b/>
          <w:bCs/>
          <w:kern w:val="36"/>
          <w:sz w:val="22"/>
          <w:szCs w:val="22"/>
        </w:rPr>
      </w:pPr>
    </w:p>
    <w:p w14:paraId="609666A3" w14:textId="77777777" w:rsidR="00D644C7" w:rsidRDefault="00D644C7" w:rsidP="00E92FC0">
      <w:pPr>
        <w:spacing w:before="120" w:after="120" w:line="360" w:lineRule="auto"/>
        <w:outlineLvl w:val="0"/>
        <w:rPr>
          <w:rFonts w:ascii="Arial" w:hAnsi="Arial" w:cs="Arial"/>
          <w:b/>
          <w:bCs/>
          <w:kern w:val="36"/>
          <w:sz w:val="22"/>
          <w:szCs w:val="22"/>
        </w:rPr>
      </w:pPr>
    </w:p>
    <w:p w14:paraId="7E3F1570" w14:textId="77777777" w:rsidR="00D644C7" w:rsidRDefault="00D644C7" w:rsidP="00E92FC0">
      <w:pPr>
        <w:spacing w:before="120" w:after="120" w:line="360" w:lineRule="auto"/>
        <w:outlineLvl w:val="0"/>
        <w:rPr>
          <w:rFonts w:ascii="Arial" w:hAnsi="Arial" w:cs="Arial"/>
          <w:b/>
          <w:bCs/>
          <w:kern w:val="36"/>
          <w:sz w:val="22"/>
          <w:szCs w:val="22"/>
        </w:rPr>
      </w:pPr>
    </w:p>
    <w:p w14:paraId="3CFB6A1C" w14:textId="77777777" w:rsidR="00D644C7" w:rsidRDefault="00D644C7" w:rsidP="00E92FC0">
      <w:pPr>
        <w:spacing w:before="120" w:after="120" w:line="360" w:lineRule="auto"/>
        <w:outlineLvl w:val="0"/>
        <w:rPr>
          <w:rFonts w:ascii="Arial" w:hAnsi="Arial" w:cs="Arial"/>
          <w:b/>
          <w:bCs/>
          <w:kern w:val="36"/>
          <w:sz w:val="22"/>
          <w:szCs w:val="22"/>
        </w:rPr>
      </w:pPr>
    </w:p>
    <w:p w14:paraId="0E2D2991" w14:textId="77777777" w:rsidR="00D644C7" w:rsidRDefault="00D644C7" w:rsidP="00E92FC0">
      <w:pPr>
        <w:spacing w:before="120" w:after="120" w:line="360" w:lineRule="auto"/>
        <w:outlineLvl w:val="0"/>
        <w:rPr>
          <w:rFonts w:ascii="Arial" w:hAnsi="Arial" w:cs="Arial"/>
          <w:b/>
          <w:bCs/>
          <w:kern w:val="36"/>
          <w:sz w:val="22"/>
          <w:szCs w:val="22"/>
        </w:rPr>
      </w:pPr>
    </w:p>
    <w:p w14:paraId="20EB04A1" w14:textId="77777777" w:rsidR="00D644C7" w:rsidRDefault="00D644C7" w:rsidP="00E92FC0">
      <w:pPr>
        <w:spacing w:before="120" w:after="120" w:line="360" w:lineRule="auto"/>
        <w:outlineLvl w:val="0"/>
        <w:rPr>
          <w:rFonts w:ascii="Arial" w:hAnsi="Arial" w:cs="Arial"/>
          <w:b/>
          <w:bCs/>
          <w:kern w:val="36"/>
          <w:sz w:val="22"/>
          <w:szCs w:val="22"/>
        </w:rPr>
      </w:pPr>
    </w:p>
    <w:p w14:paraId="47D14436" w14:textId="77777777" w:rsidR="00D644C7" w:rsidRDefault="00D644C7" w:rsidP="00E92FC0">
      <w:pPr>
        <w:spacing w:before="120" w:after="120" w:line="360" w:lineRule="auto"/>
        <w:outlineLvl w:val="0"/>
        <w:rPr>
          <w:rFonts w:ascii="Arial" w:hAnsi="Arial" w:cs="Arial"/>
          <w:b/>
          <w:bCs/>
          <w:kern w:val="36"/>
          <w:sz w:val="22"/>
          <w:szCs w:val="22"/>
        </w:rPr>
      </w:pPr>
    </w:p>
    <w:p w14:paraId="2989E7A1" w14:textId="77777777" w:rsidR="00D644C7" w:rsidRDefault="00D644C7" w:rsidP="00E92FC0">
      <w:pPr>
        <w:spacing w:before="120" w:after="120" w:line="360" w:lineRule="auto"/>
        <w:outlineLvl w:val="0"/>
        <w:rPr>
          <w:rFonts w:ascii="Arial" w:hAnsi="Arial" w:cs="Arial"/>
          <w:b/>
          <w:bCs/>
          <w:kern w:val="36"/>
          <w:sz w:val="22"/>
          <w:szCs w:val="22"/>
        </w:rPr>
      </w:pPr>
    </w:p>
    <w:p w14:paraId="3847F247" w14:textId="77777777" w:rsidR="00D644C7" w:rsidRDefault="00D644C7" w:rsidP="00E92FC0">
      <w:pPr>
        <w:spacing w:before="120" w:after="120" w:line="360" w:lineRule="auto"/>
        <w:outlineLvl w:val="0"/>
        <w:rPr>
          <w:rFonts w:ascii="Arial" w:hAnsi="Arial" w:cs="Arial"/>
          <w:b/>
          <w:bCs/>
          <w:kern w:val="36"/>
          <w:sz w:val="22"/>
          <w:szCs w:val="22"/>
        </w:rPr>
      </w:pPr>
    </w:p>
    <w:p w14:paraId="4A658EE7" w14:textId="77777777" w:rsidR="00D644C7" w:rsidRDefault="00D644C7" w:rsidP="00E92FC0">
      <w:pPr>
        <w:spacing w:before="120" w:after="120" w:line="360" w:lineRule="auto"/>
        <w:outlineLvl w:val="0"/>
        <w:rPr>
          <w:rFonts w:ascii="Arial" w:hAnsi="Arial" w:cs="Arial"/>
          <w:b/>
          <w:bCs/>
          <w:kern w:val="36"/>
          <w:sz w:val="22"/>
          <w:szCs w:val="22"/>
        </w:rPr>
      </w:pPr>
    </w:p>
    <w:p w14:paraId="5F2E3FEB" w14:textId="77777777" w:rsidR="00D644C7" w:rsidRDefault="00D644C7" w:rsidP="00E92FC0">
      <w:pPr>
        <w:spacing w:before="120" w:after="120" w:line="360" w:lineRule="auto"/>
        <w:outlineLvl w:val="0"/>
        <w:rPr>
          <w:rFonts w:ascii="Arial" w:hAnsi="Arial" w:cs="Arial"/>
          <w:b/>
          <w:bCs/>
          <w:kern w:val="36"/>
          <w:sz w:val="22"/>
          <w:szCs w:val="22"/>
        </w:rPr>
      </w:pPr>
    </w:p>
    <w:p w14:paraId="02F9DE38" w14:textId="77777777" w:rsidR="00D644C7" w:rsidRDefault="00D644C7" w:rsidP="00E92FC0">
      <w:pPr>
        <w:spacing w:before="120" w:after="120" w:line="360" w:lineRule="auto"/>
        <w:outlineLvl w:val="0"/>
        <w:rPr>
          <w:rFonts w:ascii="Arial" w:hAnsi="Arial" w:cs="Arial"/>
          <w:b/>
          <w:bCs/>
          <w:kern w:val="36"/>
          <w:sz w:val="22"/>
          <w:szCs w:val="22"/>
        </w:rPr>
      </w:pPr>
    </w:p>
    <w:p w14:paraId="03AE3A78" w14:textId="77777777" w:rsidR="00D644C7" w:rsidRDefault="00D644C7" w:rsidP="00E92FC0">
      <w:pPr>
        <w:spacing w:before="120" w:after="120" w:line="360" w:lineRule="auto"/>
        <w:outlineLvl w:val="0"/>
        <w:rPr>
          <w:rFonts w:ascii="Arial" w:hAnsi="Arial" w:cs="Arial"/>
          <w:b/>
          <w:bCs/>
          <w:kern w:val="36"/>
          <w:sz w:val="22"/>
          <w:szCs w:val="22"/>
        </w:rPr>
      </w:pPr>
    </w:p>
    <w:p w14:paraId="4CC14D3D" w14:textId="77777777" w:rsidR="00D644C7" w:rsidRDefault="00D644C7" w:rsidP="00E92FC0">
      <w:pPr>
        <w:spacing w:before="120" w:after="120" w:line="360" w:lineRule="auto"/>
        <w:outlineLvl w:val="0"/>
        <w:rPr>
          <w:rFonts w:ascii="Arial" w:hAnsi="Arial" w:cs="Arial"/>
          <w:b/>
          <w:bCs/>
          <w:kern w:val="36"/>
          <w:sz w:val="22"/>
          <w:szCs w:val="22"/>
        </w:rPr>
      </w:pPr>
    </w:p>
    <w:p w14:paraId="223CEE19" w14:textId="77777777" w:rsidR="00D644C7" w:rsidRDefault="00D644C7" w:rsidP="00E92FC0">
      <w:pPr>
        <w:spacing w:before="120" w:after="120" w:line="360" w:lineRule="auto"/>
        <w:outlineLvl w:val="0"/>
        <w:rPr>
          <w:rFonts w:ascii="Arial" w:hAnsi="Arial" w:cs="Arial"/>
          <w:b/>
          <w:bCs/>
          <w:kern w:val="36"/>
          <w:sz w:val="22"/>
          <w:szCs w:val="22"/>
        </w:rPr>
      </w:pPr>
    </w:p>
    <w:p w14:paraId="34F7490A" w14:textId="77777777" w:rsidR="00D644C7" w:rsidRDefault="008F1E8A" w:rsidP="008F1E8A">
      <w:pPr>
        <w:pStyle w:val="Heading1"/>
        <w:rPr>
          <w:rFonts w:ascii="Arial" w:hAnsi="Arial" w:cs="Arial"/>
          <w:b/>
          <w:bCs/>
          <w:color w:val="auto"/>
          <w:sz w:val="24"/>
          <w:szCs w:val="24"/>
        </w:rPr>
      </w:pPr>
      <w:bookmarkStart w:id="1" w:name="_Toc235651366"/>
      <w:r w:rsidRPr="00E4360C">
        <w:rPr>
          <w:rFonts w:ascii="Arial" w:hAnsi="Arial" w:cs="Arial"/>
          <w:b/>
          <w:bCs/>
          <w:color w:val="auto"/>
          <w:sz w:val="24"/>
          <w:szCs w:val="24"/>
        </w:rPr>
        <w:lastRenderedPageBreak/>
        <w:t>Health and Social Care Report: Communication, Record-Keeping, and Multi-Agency Collaboration</w:t>
      </w:r>
      <w:bookmarkEnd w:id="1"/>
    </w:p>
    <w:p w14:paraId="590F6E38" w14:textId="34D04517" w:rsidR="008F1E8A" w:rsidRPr="00E4360C" w:rsidRDefault="008F1E8A" w:rsidP="008F1E8A">
      <w:pPr>
        <w:pStyle w:val="Heading1"/>
        <w:rPr>
          <w:rFonts w:ascii="Arial" w:hAnsi="Arial" w:cs="Arial"/>
          <w:b/>
          <w:bCs/>
          <w:color w:val="auto"/>
          <w:sz w:val="24"/>
          <w:szCs w:val="24"/>
        </w:rPr>
      </w:pPr>
      <w:r>
        <w:rPr>
          <w:rFonts w:ascii="Arial" w:hAnsi="Arial" w:cs="Arial"/>
          <w:b/>
          <w:bCs/>
          <w:color w:val="auto"/>
          <w:sz w:val="24"/>
          <w:szCs w:val="24"/>
        </w:rPr>
        <w:t xml:space="preserve"> </w:t>
      </w:r>
    </w:p>
    <w:p w14:paraId="40043336" w14:textId="77777777" w:rsidR="008F1E8A" w:rsidRPr="00E4360C" w:rsidRDefault="008F1E8A" w:rsidP="008F1E8A">
      <w:pPr>
        <w:spacing w:line="360" w:lineRule="auto"/>
        <w:rPr>
          <w:rFonts w:ascii="Arial" w:hAnsi="Arial" w:cs="Arial"/>
          <w:b/>
          <w:bCs/>
          <w:sz w:val="24"/>
          <w:szCs w:val="24"/>
        </w:rPr>
      </w:pPr>
      <w:r w:rsidRPr="00E4360C">
        <w:rPr>
          <w:rFonts w:ascii="Arial" w:hAnsi="Arial" w:cs="Arial"/>
          <w:b/>
          <w:bCs/>
          <w:sz w:val="24"/>
          <w:szCs w:val="24"/>
        </w:rPr>
        <w:t>1. Introduction</w:t>
      </w:r>
    </w:p>
    <w:p w14:paraId="7C2D626D" w14:textId="77777777" w:rsidR="008F1E8A" w:rsidRDefault="008F1E8A" w:rsidP="008F1E8A">
      <w:pPr>
        <w:spacing w:line="360" w:lineRule="auto"/>
        <w:rPr>
          <w:rFonts w:ascii="Arial" w:hAnsi="Arial" w:cs="Arial"/>
        </w:rPr>
      </w:pPr>
      <w:r w:rsidRPr="00E4360C">
        <w:rPr>
          <w:rFonts w:ascii="Arial" w:hAnsi="Arial" w:cs="Arial"/>
          <w:sz w:val="22"/>
          <w:szCs w:val="22"/>
        </w:rPr>
        <w:t xml:space="preserve">The purpose of this report is to examine three key areas of health and social care practice: communication, record-keeping, and multi-agency working, through the case of Mrs Thompson. Mrs Thompson is 84, lives with mild dementia, and was recently in hospital with pneumonia. Since coming home, things have gone downhill. She has missed medication, her confusion has worsened, and she was found outside in cold weather without proper clothing. The local authority involved is now reviewing her care. What happened to Mrs Thompson raises serious questions. Her case shows what can go wrong when communication is weak, when records lack detail, and when professionals around someone are not properly coordinated. It also shows how quickly things can deteriorate for an older person after a hospital stay. Pneumonia is hard on the body at any age, but for someone with dementia, it can affect confidence, strength, memory, and the ability to manage daily routines all at once. Going forward, her care cannot just react to incidents that have already happened. It needs to </w:t>
      </w:r>
      <w:proofErr w:type="gramStart"/>
      <w:r w:rsidRPr="00E4360C">
        <w:rPr>
          <w:rFonts w:ascii="Arial" w:hAnsi="Arial" w:cs="Arial"/>
          <w:sz w:val="22"/>
          <w:szCs w:val="22"/>
        </w:rPr>
        <w:t>plan ahead</w:t>
      </w:r>
      <w:proofErr w:type="gramEnd"/>
      <w:r w:rsidRPr="00E4360C">
        <w:rPr>
          <w:rFonts w:ascii="Arial" w:hAnsi="Arial" w:cs="Arial"/>
          <w:sz w:val="22"/>
          <w:szCs w:val="22"/>
        </w:rPr>
        <w:t>. A proper plan should consider her physical recovery, cognitive difficulties, home environment, whether her medication system works for her, and how she is coping emotionally. Person-centred care means building support around who she is as an individual, her needs, her preferences, and what she can still do for herself.</w:t>
      </w:r>
    </w:p>
    <w:p w14:paraId="7425D832" w14:textId="77777777" w:rsidR="008F1E8A" w:rsidRPr="00E4360C" w:rsidRDefault="008F1E8A" w:rsidP="008F1E8A">
      <w:pPr>
        <w:rPr>
          <w:rFonts w:ascii="Arial" w:hAnsi="Arial" w:cs="Arial"/>
          <w:sz w:val="22"/>
          <w:szCs w:val="22"/>
        </w:rPr>
      </w:pPr>
    </w:p>
    <w:p w14:paraId="6AE3E5E1" w14:textId="77777777" w:rsidR="008F1E8A" w:rsidRPr="00E4360C" w:rsidRDefault="008F1E8A" w:rsidP="008F1E8A">
      <w:pPr>
        <w:spacing w:line="360" w:lineRule="auto"/>
        <w:rPr>
          <w:rFonts w:ascii="Arial" w:hAnsi="Arial" w:cs="Arial"/>
          <w:b/>
          <w:bCs/>
          <w:sz w:val="24"/>
          <w:szCs w:val="24"/>
        </w:rPr>
      </w:pPr>
      <w:r w:rsidRPr="00E4360C">
        <w:rPr>
          <w:rFonts w:ascii="Arial" w:hAnsi="Arial" w:cs="Arial"/>
          <w:b/>
          <w:bCs/>
          <w:sz w:val="24"/>
          <w:szCs w:val="24"/>
        </w:rPr>
        <w:t>2. Effective Communication in Mrs Thompson's Care</w:t>
      </w:r>
    </w:p>
    <w:p w14:paraId="43F6E259" w14:textId="77777777" w:rsidR="008F1E8A" w:rsidRDefault="008F1E8A" w:rsidP="008F1E8A">
      <w:pPr>
        <w:spacing w:line="360" w:lineRule="auto"/>
        <w:rPr>
          <w:rFonts w:ascii="Arial" w:hAnsi="Arial" w:cs="Arial"/>
        </w:rPr>
      </w:pPr>
      <w:r w:rsidRPr="00E4360C">
        <w:rPr>
          <w:rFonts w:ascii="Arial" w:hAnsi="Arial" w:cs="Arial"/>
          <w:sz w:val="22"/>
          <w:szCs w:val="22"/>
        </w:rPr>
        <w:t xml:space="preserve">Communication is central to safe care, especially when someone has dementia (Skills for Care, 2015). In Mrs Thompson's case, it is not only about professionals passing information between themselves. It is about staff noticing changes in her condition, explaining things in a way she can follow, and making sure her wishes are not lost. The missed medication and growing confusion suggest that communication was not working well. Staff need to adjust how they speak to her. The NHS advises using short, simple sentences, speaking calmly, allowing time for responses, and reducing background noise before starting a conversation (NHS, 2024). Eye contact, tone of voice, and body language all matter too. Someone with dementia might not always follow the words, but they often sense how something is being said. If a carer seems rushed or distracted, Mrs Thompson may pick up on that and withdraw, even if she cannot explain why. Her family should be kept informed where appropriate. They know her usual behaviour and may notice early signs that something is wrong. Still, staff must respect Mrs Thompson's right to make her own decisions where she can. If she lacks capacity for a specific decision, the Mental Capacity Act 2005 requires professionals to act in her best interests, but that should be a last resort, not the default. The </w:t>
      </w:r>
      <w:r w:rsidRPr="00D85DFD">
        <w:rPr>
          <w:rFonts w:ascii="Arial" w:hAnsi="Arial" w:cs="Arial"/>
          <w:sz w:val="22"/>
          <w:szCs w:val="22"/>
        </w:rPr>
        <w:t>Equality Act 2010</w:t>
      </w:r>
      <w:r w:rsidRPr="00E4360C">
        <w:rPr>
          <w:rFonts w:ascii="Arial" w:hAnsi="Arial" w:cs="Arial"/>
          <w:sz w:val="22"/>
          <w:szCs w:val="22"/>
        </w:rPr>
        <w:t xml:space="preserve"> is also relevant. Dementia counts as a disability, so services must not discriminate and should make reasonable adjustments, such as picture prompts, large-print medication charts, or simple written reminders around the house. These small changes can make a big difference to how involved she feels in her care. One key point in this case is the importance </w:t>
      </w:r>
      <w:r w:rsidRPr="00E4360C">
        <w:rPr>
          <w:rFonts w:ascii="Arial" w:hAnsi="Arial" w:cs="Arial"/>
          <w:sz w:val="22"/>
          <w:szCs w:val="22"/>
        </w:rPr>
        <w:lastRenderedPageBreak/>
        <w:t>of checking understanding. It is not enough to explain a medication routine once and assume it has been understood. Staff should gently check whether Mrs Thompson remembers and can act on it. That back-and-forth turns a one-way instruction into real communication. At the same time, supporting Mrs Thompson does not mean taking over. If she struggles with medication, carers should consider options like blister packs, labelled containers, and supervised prompts rather than doing everything for her. That way, her dignity is respected, and the least restrictive approach is followed.</w:t>
      </w:r>
    </w:p>
    <w:p w14:paraId="715642AD" w14:textId="77777777" w:rsidR="008F1E8A" w:rsidRPr="00E4360C" w:rsidRDefault="008F1E8A" w:rsidP="008F1E8A">
      <w:pPr>
        <w:rPr>
          <w:rFonts w:ascii="Arial" w:hAnsi="Arial" w:cs="Arial"/>
          <w:sz w:val="22"/>
          <w:szCs w:val="22"/>
        </w:rPr>
      </w:pPr>
    </w:p>
    <w:p w14:paraId="1548D897" w14:textId="77777777" w:rsidR="008F1E8A" w:rsidRPr="00E4360C" w:rsidRDefault="008F1E8A" w:rsidP="008F1E8A">
      <w:pPr>
        <w:spacing w:line="360" w:lineRule="auto"/>
        <w:rPr>
          <w:rFonts w:ascii="Arial" w:hAnsi="Arial" w:cs="Arial"/>
          <w:b/>
          <w:bCs/>
          <w:sz w:val="24"/>
          <w:szCs w:val="24"/>
        </w:rPr>
      </w:pPr>
      <w:r w:rsidRPr="00E4360C">
        <w:rPr>
          <w:rFonts w:ascii="Arial" w:hAnsi="Arial" w:cs="Arial"/>
          <w:b/>
          <w:bCs/>
          <w:sz w:val="24"/>
          <w:szCs w:val="24"/>
        </w:rPr>
        <w:t>3. Administrative Skills and Record-Keeping</w:t>
      </w:r>
    </w:p>
    <w:p w14:paraId="26A9E882" w14:textId="77777777" w:rsidR="008F1E8A" w:rsidRDefault="008F1E8A" w:rsidP="008F1E8A">
      <w:pPr>
        <w:spacing w:line="360" w:lineRule="auto"/>
        <w:rPr>
          <w:rFonts w:ascii="Arial" w:hAnsi="Arial" w:cs="Arial"/>
        </w:rPr>
      </w:pPr>
      <w:r w:rsidRPr="00E4360C">
        <w:rPr>
          <w:rFonts w:ascii="Arial" w:hAnsi="Arial" w:cs="Arial"/>
          <w:sz w:val="22"/>
          <w:szCs w:val="22"/>
        </w:rPr>
        <w:t xml:space="preserve">Good record-keeping often goes unnoticed until something fails (Care Quality Commission, 2023). Yet in Mrs Thompson's case, written records hold everything together. They document what happened with the missed medication, the circumstances in which she was found outside, what actions staff took, and what was decided afterwards. Without that information, patterns are missed, risks go unnoticed, and accountability is lost. Records should be written at the time or soon after. They need to be specific and factual, not vague or filled with personal opinions. If Mrs Thompson was found outside, the record should note the time, what she was wearing, the weather, what she said, what the carer did, who was contacted, and what the plan was going forward. That level of detail matters because the next person reading the file needs a clear picture of what </w:t>
      </w:r>
      <w:proofErr w:type="gramStart"/>
      <w:r w:rsidRPr="00E4360C">
        <w:rPr>
          <w:rFonts w:ascii="Arial" w:hAnsi="Arial" w:cs="Arial"/>
          <w:sz w:val="22"/>
          <w:szCs w:val="22"/>
        </w:rPr>
        <w:t>actually happened</w:t>
      </w:r>
      <w:proofErr w:type="gramEnd"/>
      <w:r w:rsidRPr="00E4360C">
        <w:rPr>
          <w:rFonts w:ascii="Arial" w:hAnsi="Arial" w:cs="Arial"/>
          <w:sz w:val="22"/>
          <w:szCs w:val="22"/>
        </w:rPr>
        <w:t>. Mrs Thompson's information is sensitive, so the Data Protection Act 2018 and UK GDPR apply. Her records must be kept secure and shared only with those who have a legitimate need to see them, such as her GP, community nurse, or the local authority review team. Her consent should be sought where possible. If she cannot give consent, information should only be shared when necessary for her care and in her best interests. The Caldicott Principles reinforce this by stating that only the minimum necessary information should be shared, with clear justification each time (</w:t>
      </w:r>
      <w:r w:rsidRPr="00D85DFD">
        <w:rPr>
          <w:rFonts w:ascii="Arial" w:hAnsi="Arial" w:cs="Arial"/>
          <w:sz w:val="22"/>
          <w:szCs w:val="22"/>
        </w:rPr>
        <w:t>National Data Guardian, 2020</w:t>
      </w:r>
      <w:r w:rsidRPr="00E4360C">
        <w:rPr>
          <w:rFonts w:ascii="Arial" w:hAnsi="Arial" w:cs="Arial"/>
          <w:sz w:val="22"/>
          <w:szCs w:val="22"/>
        </w:rPr>
        <w:t>). CQC Regulation 17 requires providers to keep accurate records and have systems in place to identify risk (Care Quality Commission, 2023). The Care Certificate Standard 14 also covers the safe handling of information (Skills for Care, 2015). These are not just bureaucratic rules; they exist to protect people like Mrs Thompson. Beyond daily notes, staff must also carry out proper risk assessments. After Mrs Thompson was found wandering, her care plan should ask whether her front door is secure, whether a door sensor might help, and whether the plan reflects the increased risk of hypothermia or self-neglect. A care plan that never gets updated protects no one</w:t>
      </w:r>
    </w:p>
    <w:p w14:paraId="5F4979EC" w14:textId="77777777" w:rsidR="008F1E8A" w:rsidRPr="00E4360C" w:rsidRDefault="008F1E8A" w:rsidP="008F1E8A">
      <w:pPr>
        <w:rPr>
          <w:rFonts w:ascii="Arial" w:eastAsiaTheme="minorHAnsi" w:hAnsi="Arial" w:cs="Arial"/>
          <w:kern w:val="2"/>
          <w:sz w:val="22"/>
          <w:szCs w:val="22"/>
          <w14:ligatures w14:val="standardContextual"/>
        </w:rPr>
      </w:pPr>
    </w:p>
    <w:p w14:paraId="20D74381" w14:textId="77777777" w:rsidR="008F1E8A" w:rsidRPr="00E4360C" w:rsidRDefault="008F1E8A" w:rsidP="00B33B91">
      <w:pPr>
        <w:spacing w:line="360" w:lineRule="auto"/>
        <w:rPr>
          <w:rFonts w:ascii="Arial" w:hAnsi="Arial" w:cs="Arial"/>
          <w:b/>
          <w:bCs/>
          <w:sz w:val="22"/>
          <w:szCs w:val="22"/>
        </w:rPr>
      </w:pPr>
      <w:r w:rsidRPr="00E4360C">
        <w:rPr>
          <w:rFonts w:ascii="Arial" w:hAnsi="Arial" w:cs="Arial"/>
          <w:b/>
          <w:bCs/>
          <w:sz w:val="24"/>
          <w:szCs w:val="24"/>
        </w:rPr>
        <w:t>4. Working Collaboratively with Other Professionals</w:t>
      </w:r>
    </w:p>
    <w:p w14:paraId="7D456D7F" w14:textId="77777777" w:rsidR="008F1E8A" w:rsidRDefault="008F1E8A" w:rsidP="00B33B91">
      <w:pPr>
        <w:spacing w:line="360" w:lineRule="auto"/>
        <w:rPr>
          <w:rFonts w:ascii="Arial" w:hAnsi="Arial" w:cs="Arial"/>
        </w:rPr>
      </w:pPr>
      <w:r w:rsidRPr="00E4360C">
        <w:rPr>
          <w:rFonts w:ascii="Arial" w:hAnsi="Arial" w:cs="Arial"/>
          <w:sz w:val="22"/>
          <w:szCs w:val="22"/>
        </w:rPr>
        <w:t xml:space="preserve">Mrs Thompson's needs span physical health, dementia care, medication management, and possible safeguarding concerns. No single professional can handle all of that. Her GP, community nurse, domiciliary carers, and the local authority review team all need to work together effectively. That requires regular communication, shared records where possible, clearly defined roles, and ideally one named person, such as a social worker or care coordinator, who keeps everything </w:t>
      </w:r>
      <w:r w:rsidRPr="00E4360C">
        <w:rPr>
          <w:rFonts w:ascii="Arial" w:hAnsi="Arial" w:cs="Arial"/>
          <w:sz w:val="22"/>
          <w:szCs w:val="22"/>
        </w:rPr>
        <w:lastRenderedPageBreak/>
        <w:t>connected. Without that framework, things slip through. The GP might not hear about the wandering incident. Care workers might not be told about a medication change. Before long, the care she receives no longer matches what she needs. The Care Act 2014 places a duty on partners to cooperate in providing care and support. However, in practice, multi-agency working is difficult. Different professionals use different systems, have different priorities, and are often short on time. Tools like SBAR (Situation, Background, Assessment, Recommendation) can help by giving staff a simple structure for handovers, ensuring nothing vital is missed. Joint training and regular review meetings also help people understand each other's roles and respond faster when things change. There is also a safeguarding angle here. Nobody is deliberately harming Mrs Thompson, but the combination of missed medication, confusion, and unsafe wandering could amount to self-neglect or unmet care needs. The review should consider whether a safeguarding referral is needed. That is not about taking away her choices; it is about ensuring she is not left exposed to avoidable harm. Practically, this might mean more frequent visits, a medication review, an occupational therapy assessment of her home, and involving family or an advocate in key decisions.</w:t>
      </w:r>
    </w:p>
    <w:p w14:paraId="6B86A5D5" w14:textId="77777777" w:rsidR="008F1E8A" w:rsidRPr="00E4360C" w:rsidRDefault="008F1E8A" w:rsidP="008F1E8A">
      <w:pPr>
        <w:rPr>
          <w:rFonts w:ascii="Arial" w:hAnsi="Arial" w:cs="Arial"/>
          <w:sz w:val="22"/>
          <w:szCs w:val="22"/>
        </w:rPr>
      </w:pPr>
    </w:p>
    <w:p w14:paraId="2794D098" w14:textId="77777777" w:rsidR="008F1E8A" w:rsidRPr="00E4360C" w:rsidRDefault="008F1E8A" w:rsidP="008F1E8A">
      <w:pPr>
        <w:spacing w:line="360" w:lineRule="auto"/>
        <w:outlineLvl w:val="1"/>
        <w:rPr>
          <w:rFonts w:ascii="Arial" w:hAnsi="Arial" w:cs="Arial"/>
          <w:b/>
          <w:bCs/>
          <w:sz w:val="24"/>
          <w:szCs w:val="24"/>
        </w:rPr>
      </w:pPr>
      <w:bookmarkStart w:id="2" w:name="_Toc235651367"/>
      <w:r w:rsidRPr="00E4360C">
        <w:rPr>
          <w:rFonts w:ascii="Arial" w:hAnsi="Arial" w:cs="Arial"/>
          <w:b/>
          <w:bCs/>
          <w:sz w:val="24"/>
          <w:szCs w:val="24"/>
        </w:rPr>
        <w:t>5. Conclusion</w:t>
      </w:r>
      <w:bookmarkEnd w:id="2"/>
    </w:p>
    <w:p w14:paraId="13132692" w14:textId="77777777" w:rsidR="008F1E8A" w:rsidRDefault="008F1E8A" w:rsidP="008F1E8A">
      <w:pPr>
        <w:spacing w:line="360" w:lineRule="auto"/>
        <w:rPr>
          <w:rFonts w:ascii="Arial" w:hAnsi="Arial" w:cs="Arial"/>
        </w:rPr>
      </w:pPr>
      <w:r w:rsidRPr="00E4360C">
        <w:rPr>
          <w:rFonts w:ascii="Arial" w:hAnsi="Arial" w:cs="Arial"/>
          <w:sz w:val="22"/>
          <w:szCs w:val="22"/>
        </w:rPr>
        <w:t xml:space="preserve">Mrs Thompson's case brings all three themes together. Her care will only work if staff communicate with her sensitively and effectively, if proper records are kept and acted upon, and if the professionals involved operate as a team rather than in isolation. The best response to her situation is a coordinated care plan that is reviewed regularly and updated as her needs change. It should include communication techniques suited to her dementia, a medication system she can manage, clear documentation of what has happened and what needs to happen </w:t>
      </w:r>
      <w:proofErr w:type="gramStart"/>
      <w:r w:rsidRPr="00E4360C">
        <w:rPr>
          <w:rFonts w:ascii="Arial" w:hAnsi="Arial" w:cs="Arial"/>
          <w:sz w:val="22"/>
          <w:szCs w:val="22"/>
        </w:rPr>
        <w:t>next, and</w:t>
      </w:r>
      <w:proofErr w:type="gramEnd"/>
      <w:r w:rsidRPr="00E4360C">
        <w:rPr>
          <w:rFonts w:ascii="Arial" w:hAnsi="Arial" w:cs="Arial"/>
          <w:sz w:val="22"/>
          <w:szCs w:val="22"/>
        </w:rPr>
        <w:t xml:space="preserve"> named people responsible for following through. When those three elements, communication, record-keeping, and teamwork, are all functioning properly, Mrs Thompson has the best chance of staying safe, being heard, and keeping as much independence as she can.</w:t>
      </w:r>
    </w:p>
    <w:p w14:paraId="60BB703A" w14:textId="77777777" w:rsidR="008F1E8A" w:rsidRPr="00E4360C" w:rsidRDefault="008F1E8A" w:rsidP="008F1E8A">
      <w:pPr>
        <w:rPr>
          <w:rFonts w:ascii="Arial" w:hAnsi="Arial" w:cs="Arial"/>
          <w:sz w:val="22"/>
          <w:szCs w:val="22"/>
        </w:rPr>
      </w:pPr>
    </w:p>
    <w:p w14:paraId="11CD3BF6" w14:textId="6C6F1EDB" w:rsidR="008F1E8A" w:rsidRPr="008F1E8A" w:rsidRDefault="008F1E8A" w:rsidP="008F1E8A">
      <w:pPr>
        <w:outlineLvl w:val="1"/>
        <w:rPr>
          <w:rFonts w:ascii="Arial" w:hAnsi="Arial" w:cs="Arial"/>
          <w:b/>
          <w:bCs/>
          <w:sz w:val="24"/>
          <w:szCs w:val="24"/>
        </w:rPr>
      </w:pPr>
      <w:bookmarkStart w:id="3" w:name="_Toc235651368"/>
      <w:r>
        <w:rPr>
          <w:rFonts w:ascii="Arial" w:hAnsi="Arial" w:cs="Arial"/>
          <w:b/>
          <w:bCs/>
          <w:sz w:val="24"/>
          <w:szCs w:val="24"/>
        </w:rPr>
        <w:t xml:space="preserve">6. </w:t>
      </w:r>
      <w:r w:rsidRPr="008F1E8A">
        <w:rPr>
          <w:rFonts w:ascii="Arial" w:hAnsi="Arial" w:cs="Arial"/>
          <w:b/>
          <w:bCs/>
          <w:sz w:val="24"/>
          <w:szCs w:val="24"/>
        </w:rPr>
        <w:t>References</w:t>
      </w:r>
      <w:bookmarkEnd w:id="3"/>
    </w:p>
    <w:p w14:paraId="09820C82"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Care Act 2014 (c. 23). London: The Stationery Office. Available at: </w:t>
      </w:r>
      <w:hyperlink r:id="rId9" w:tgtFrame="_blank" w:history="1">
        <w:r w:rsidRPr="00E4360C">
          <w:rPr>
            <w:rFonts w:ascii="Arial" w:hAnsi="Arial" w:cs="Arial"/>
            <w:color w:val="0000FF"/>
            <w:sz w:val="22"/>
            <w:szCs w:val="22"/>
            <w:u w:val="single"/>
          </w:rPr>
          <w:t>https://www.legislation.gov.uk/ukpga/2014/23/contents/enacted</w:t>
        </w:r>
      </w:hyperlink>
      <w:r w:rsidRPr="00E4360C">
        <w:rPr>
          <w:rFonts w:ascii="Arial" w:hAnsi="Arial" w:cs="Arial"/>
          <w:sz w:val="22"/>
          <w:szCs w:val="22"/>
        </w:rPr>
        <w:t xml:space="preserve"> (Accessed: 12 July 2026).</w:t>
      </w:r>
    </w:p>
    <w:p w14:paraId="5D269D48"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Care Quality Commission (2023) Regulation 17: Good Governance. Fundamental Standards. Newcastle: CQC. Available at: </w:t>
      </w:r>
      <w:hyperlink r:id="rId10" w:tgtFrame="_blank" w:history="1">
        <w:r w:rsidRPr="00E4360C">
          <w:rPr>
            <w:rFonts w:ascii="Arial" w:hAnsi="Arial" w:cs="Arial"/>
            <w:color w:val="0000FF"/>
            <w:sz w:val="22"/>
            <w:szCs w:val="22"/>
            <w:u w:val="single"/>
          </w:rPr>
          <w:t>https://www.cqc.org.uk/guidance-providers/regulations/regulation-17-good-governance</w:t>
        </w:r>
      </w:hyperlink>
      <w:r w:rsidRPr="00E4360C">
        <w:rPr>
          <w:rFonts w:ascii="Arial" w:hAnsi="Arial" w:cs="Arial"/>
          <w:sz w:val="22"/>
          <w:szCs w:val="22"/>
        </w:rPr>
        <w:t xml:space="preserve"> (Accessed: 12 July 2026).</w:t>
      </w:r>
    </w:p>
    <w:p w14:paraId="2D6CCCFE"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Data Protection Act 2018 (c. 12). London: The Stationery Office. Available at: </w:t>
      </w:r>
      <w:hyperlink r:id="rId11" w:tgtFrame="_blank" w:history="1">
        <w:r w:rsidRPr="00E4360C">
          <w:rPr>
            <w:rFonts w:ascii="Arial" w:hAnsi="Arial" w:cs="Arial"/>
            <w:color w:val="0000FF"/>
            <w:sz w:val="22"/>
            <w:szCs w:val="22"/>
            <w:u w:val="single"/>
          </w:rPr>
          <w:t>https://www.legislation.gov.uk/ukpga/2018/12/contents/enacted</w:t>
        </w:r>
      </w:hyperlink>
      <w:r w:rsidRPr="00E4360C">
        <w:rPr>
          <w:rFonts w:ascii="Arial" w:hAnsi="Arial" w:cs="Arial"/>
          <w:sz w:val="22"/>
          <w:szCs w:val="22"/>
        </w:rPr>
        <w:t xml:space="preserve"> (Accessed: 12 July 2026).</w:t>
      </w:r>
    </w:p>
    <w:p w14:paraId="4200ED16"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Equality Act 2010 (c. 15). London: The Stationery Office. Available at: </w:t>
      </w:r>
      <w:hyperlink r:id="rId12" w:tgtFrame="_blank" w:history="1">
        <w:r w:rsidRPr="00E4360C">
          <w:rPr>
            <w:rFonts w:ascii="Arial" w:hAnsi="Arial" w:cs="Arial"/>
            <w:color w:val="0000FF"/>
            <w:sz w:val="22"/>
            <w:szCs w:val="22"/>
            <w:u w:val="single"/>
          </w:rPr>
          <w:t>https://www.legislation.gov.uk/ukpga/2010/15/contents</w:t>
        </w:r>
      </w:hyperlink>
      <w:r w:rsidRPr="00E4360C">
        <w:rPr>
          <w:rFonts w:ascii="Arial" w:hAnsi="Arial" w:cs="Arial"/>
          <w:sz w:val="22"/>
          <w:szCs w:val="22"/>
        </w:rPr>
        <w:t xml:space="preserve"> (Accessed: 12 July 2026).</w:t>
      </w:r>
    </w:p>
    <w:p w14:paraId="38944367"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lastRenderedPageBreak/>
        <w:t xml:space="preserve">Mental Capacity Act 2005 (c. 9). London: The Stationery Office. Available at: </w:t>
      </w:r>
      <w:hyperlink r:id="rId13" w:tgtFrame="_blank" w:history="1">
        <w:r w:rsidRPr="00E4360C">
          <w:rPr>
            <w:rFonts w:ascii="Arial" w:hAnsi="Arial" w:cs="Arial"/>
            <w:color w:val="0000FF"/>
            <w:sz w:val="22"/>
            <w:szCs w:val="22"/>
            <w:u w:val="single"/>
          </w:rPr>
          <w:t>https://www.legislation.gov.uk/ukpga/2005/9/contents</w:t>
        </w:r>
      </w:hyperlink>
      <w:r w:rsidRPr="00E4360C">
        <w:rPr>
          <w:rFonts w:ascii="Arial" w:hAnsi="Arial" w:cs="Arial"/>
          <w:sz w:val="22"/>
          <w:szCs w:val="22"/>
        </w:rPr>
        <w:t xml:space="preserve"> (Accessed: 12 July 2026).</w:t>
      </w:r>
    </w:p>
    <w:p w14:paraId="2AEA9B2A"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National Data Guardian (2020) The Caldicott Principles. London: Department of Health and Social Care. Available at: </w:t>
      </w:r>
      <w:hyperlink r:id="rId14" w:tgtFrame="_blank" w:history="1">
        <w:r w:rsidRPr="00E4360C">
          <w:rPr>
            <w:rFonts w:ascii="Arial" w:hAnsi="Arial" w:cs="Arial"/>
            <w:color w:val="0000FF"/>
            <w:sz w:val="22"/>
            <w:szCs w:val="22"/>
            <w:u w:val="single"/>
          </w:rPr>
          <w:t>https://assets.publishing.service.gov.uk/media/5ef22964d3bf7f7141cc991f/777_consultation_background_document_FINAL_FOR_WEBSITE.pdf</w:t>
        </w:r>
      </w:hyperlink>
      <w:r w:rsidRPr="00E4360C">
        <w:rPr>
          <w:rFonts w:ascii="Arial" w:hAnsi="Arial" w:cs="Arial"/>
          <w:sz w:val="22"/>
          <w:szCs w:val="22"/>
        </w:rPr>
        <w:t xml:space="preserve"> (Accessed: 12 July 2026).</w:t>
      </w:r>
    </w:p>
    <w:p w14:paraId="054F5E72"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NHS (2024) Communicating with Someone with Dementia. London: NHS. Available at: </w:t>
      </w:r>
      <w:hyperlink r:id="rId15" w:tgtFrame="_blank" w:history="1">
        <w:r w:rsidRPr="00E4360C">
          <w:rPr>
            <w:rFonts w:ascii="Arial" w:hAnsi="Arial" w:cs="Arial"/>
            <w:color w:val="0000FF"/>
            <w:sz w:val="22"/>
            <w:szCs w:val="22"/>
            <w:u w:val="single"/>
          </w:rPr>
          <w:t>https://www.nhs.uk/conditions/dementia/caring-for-someone-with-dementia/communicating/</w:t>
        </w:r>
      </w:hyperlink>
      <w:r w:rsidRPr="00E4360C">
        <w:rPr>
          <w:rFonts w:ascii="Arial" w:hAnsi="Arial" w:cs="Arial"/>
          <w:sz w:val="22"/>
          <w:szCs w:val="22"/>
        </w:rPr>
        <w:t xml:space="preserve"> (Accessed: 12 July 2026).</w:t>
      </w:r>
    </w:p>
    <w:p w14:paraId="50E6FA21" w14:textId="77777777" w:rsidR="008F1E8A" w:rsidRPr="00E4360C" w:rsidRDefault="008F1E8A" w:rsidP="008F1E8A">
      <w:pPr>
        <w:numPr>
          <w:ilvl w:val="0"/>
          <w:numId w:val="10"/>
        </w:numPr>
        <w:spacing w:before="100" w:beforeAutospacing="1" w:after="100" w:afterAutospacing="1" w:line="360" w:lineRule="auto"/>
        <w:ind w:left="714" w:hanging="357"/>
        <w:rPr>
          <w:rFonts w:ascii="Arial" w:hAnsi="Arial" w:cs="Arial"/>
          <w:sz w:val="22"/>
          <w:szCs w:val="22"/>
        </w:rPr>
      </w:pPr>
      <w:r w:rsidRPr="00E4360C">
        <w:rPr>
          <w:rFonts w:ascii="Arial" w:hAnsi="Arial" w:cs="Arial"/>
          <w:sz w:val="22"/>
          <w:szCs w:val="22"/>
        </w:rPr>
        <w:t xml:space="preserve">Skills for Care (2015) The Care Certificate: Standard 14 — Handling Information. Leeds: Skills for Care. Available at: </w:t>
      </w:r>
      <w:hyperlink r:id="rId16" w:tgtFrame="_blank" w:history="1">
        <w:r w:rsidRPr="00E4360C">
          <w:rPr>
            <w:rFonts w:ascii="Arial" w:hAnsi="Arial" w:cs="Arial"/>
            <w:color w:val="0000FF"/>
            <w:sz w:val="22"/>
            <w:szCs w:val="22"/>
            <w:u w:val="single"/>
          </w:rPr>
          <w:t>https://www.skillsforcare.org.uk/resources/documents/Developing-your-workforce/Care-Certificate/Care-Certificate-Standards/Care-Certificate-standards-March-2025.pdf</w:t>
        </w:r>
      </w:hyperlink>
      <w:r w:rsidRPr="00E4360C">
        <w:rPr>
          <w:rFonts w:ascii="Arial" w:hAnsi="Arial" w:cs="Arial"/>
          <w:sz w:val="22"/>
          <w:szCs w:val="22"/>
        </w:rPr>
        <w:t xml:space="preserve"> (Accessed: 12 July 2026).</w:t>
      </w:r>
    </w:p>
    <w:p w14:paraId="48169F1A" w14:textId="77777777" w:rsidR="008F1E8A" w:rsidRPr="0082646C" w:rsidRDefault="008F1E8A" w:rsidP="008F1E8A">
      <w:pPr>
        <w:spacing w:line="360" w:lineRule="auto"/>
        <w:rPr>
          <w:rFonts w:ascii="Arial" w:hAnsi="Arial" w:cs="Arial"/>
          <w:sz w:val="22"/>
          <w:szCs w:val="22"/>
        </w:rPr>
      </w:pPr>
    </w:p>
    <w:p w14:paraId="26E27D7E" w14:textId="77777777" w:rsidR="008F1E8A" w:rsidRDefault="008F1E8A" w:rsidP="008F1E8A">
      <w:pPr>
        <w:pStyle w:val="NormalWeb"/>
      </w:pPr>
    </w:p>
    <w:p w14:paraId="59F50478" w14:textId="77777777" w:rsidR="008F1E8A" w:rsidRDefault="008F1E8A" w:rsidP="008F1E8A"/>
    <w:p w14:paraId="50500EC4" w14:textId="77777777" w:rsidR="00E5623E" w:rsidRDefault="00E5623E" w:rsidP="00213735">
      <w:pPr>
        <w:pStyle w:val="Heading1"/>
        <w:rPr>
          <w:rFonts w:ascii="Arial" w:hAnsi="Arial" w:cs="Arial"/>
          <w:color w:val="auto"/>
        </w:rPr>
      </w:pPr>
    </w:p>
    <w:sectPr w:rsidR="00E5623E">
      <w:headerReference w:type="default" r:id="rId17"/>
      <w:footerReference w:type="default" r:id="rId1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D02D2" w14:textId="77777777" w:rsidR="00255258" w:rsidRDefault="00255258" w:rsidP="00370C40">
      <w:r>
        <w:separator/>
      </w:r>
    </w:p>
  </w:endnote>
  <w:endnote w:type="continuationSeparator" w:id="0">
    <w:p w14:paraId="3E26705D" w14:textId="77777777" w:rsidR="00255258" w:rsidRDefault="00255258" w:rsidP="0037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571519"/>
      <w:docPartObj>
        <w:docPartGallery w:val="Page Numbers (Bottom of Page)"/>
        <w:docPartUnique/>
      </w:docPartObj>
    </w:sdtPr>
    <w:sdtEndPr>
      <w:rPr>
        <w:rFonts w:ascii="Arial" w:hAnsi="Arial" w:cs="Arial"/>
        <w:noProof/>
        <w:sz w:val="16"/>
        <w:szCs w:val="16"/>
      </w:rPr>
    </w:sdtEndPr>
    <w:sdtContent>
      <w:p w14:paraId="4D5D21C0" w14:textId="71AD17CC" w:rsidR="003B0219" w:rsidRPr="00A52079" w:rsidRDefault="003B0219" w:rsidP="003B0219">
        <w:pPr>
          <w:pStyle w:val="Footer"/>
          <w:jc w:val="right"/>
          <w:rPr>
            <w:rFonts w:ascii="Arial" w:hAnsi="Arial" w:cs="Arial"/>
            <w:sz w:val="16"/>
            <w:szCs w:val="16"/>
          </w:rPr>
        </w:pPr>
        <w:r w:rsidRPr="00A52079">
          <w:rPr>
            <w:rFonts w:ascii="Arial" w:hAnsi="Arial" w:cs="Arial"/>
            <w:sz w:val="16"/>
            <w:szCs w:val="16"/>
          </w:rPr>
          <w:fldChar w:fldCharType="begin"/>
        </w:r>
        <w:r w:rsidRPr="00A52079">
          <w:rPr>
            <w:rFonts w:ascii="Arial" w:hAnsi="Arial" w:cs="Arial"/>
            <w:sz w:val="16"/>
            <w:szCs w:val="16"/>
          </w:rPr>
          <w:instrText xml:space="preserve"> PAGE   \* MERGEFORMAT </w:instrText>
        </w:r>
        <w:r w:rsidRPr="00A52079">
          <w:rPr>
            <w:rFonts w:ascii="Arial" w:hAnsi="Arial" w:cs="Arial"/>
            <w:sz w:val="16"/>
            <w:szCs w:val="16"/>
          </w:rPr>
          <w:fldChar w:fldCharType="separate"/>
        </w:r>
        <w:r w:rsidRPr="00A52079">
          <w:rPr>
            <w:rFonts w:ascii="Arial" w:hAnsi="Arial" w:cs="Arial"/>
            <w:noProof/>
            <w:sz w:val="16"/>
            <w:szCs w:val="16"/>
          </w:rPr>
          <w:t>2</w:t>
        </w:r>
        <w:r w:rsidRPr="00A52079">
          <w:rPr>
            <w:rFonts w:ascii="Arial" w:hAnsi="Arial" w:cs="Arial"/>
            <w:noProof/>
            <w:sz w:val="16"/>
            <w:szCs w:val="16"/>
          </w:rPr>
          <w:fldChar w:fldCharType="end"/>
        </w:r>
        <w:r w:rsidRPr="00A52079">
          <w:rPr>
            <w:rFonts w:ascii="Arial" w:hAnsi="Arial" w:cs="Arial"/>
            <w:noProof/>
            <w:sz w:val="16"/>
            <w:szCs w:val="16"/>
          </w:rPr>
          <w:tab/>
        </w:r>
        <w:r w:rsidR="00A52079" w:rsidRPr="00A52079">
          <w:rPr>
            <w:rFonts w:ascii="Arial" w:eastAsia="Arial" w:hAnsi="Arial" w:cs="Arial"/>
            <w:sz w:val="16"/>
            <w:szCs w:val="16"/>
          </w:rPr>
          <w:t>Sadia Batool (2512945)</w:t>
        </w:r>
      </w:p>
    </w:sdtContent>
  </w:sdt>
  <w:p w14:paraId="4E3D1092" w14:textId="77777777" w:rsidR="003B0219" w:rsidRDefault="003B0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66F29" w14:textId="77777777" w:rsidR="00255258" w:rsidRDefault="00255258" w:rsidP="00370C40">
      <w:r>
        <w:separator/>
      </w:r>
    </w:p>
  </w:footnote>
  <w:footnote w:type="continuationSeparator" w:id="0">
    <w:p w14:paraId="4D59204F" w14:textId="77777777" w:rsidR="00255258" w:rsidRDefault="00255258" w:rsidP="00370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C461" w14:textId="34B31D39" w:rsidR="00370C40" w:rsidRPr="00FC64CD" w:rsidRDefault="00FC64CD" w:rsidP="00FC64CD">
    <w:pPr>
      <w:pStyle w:val="Header"/>
      <w:jc w:val="right"/>
      <w:rPr>
        <w:sz w:val="16"/>
        <w:szCs w:val="16"/>
      </w:rPr>
    </w:pPr>
    <w:r w:rsidRPr="00FC64CD">
      <w:rPr>
        <w:rFonts w:ascii="Arial" w:eastAsia="Arial" w:hAnsi="Arial" w:cs="Arial"/>
        <w:sz w:val="16"/>
        <w:szCs w:val="16"/>
      </w:rPr>
      <w:t>LCHS4003</w:t>
    </w:r>
    <w:r>
      <w:rPr>
        <w:rFonts w:ascii="Arial" w:eastAsia="Arial" w:hAnsi="Arial" w:cs="Arial"/>
        <w:sz w:val="16"/>
        <w:szCs w:val="16"/>
      </w:rPr>
      <w:t xml:space="preserve"> – Introduction to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3960"/>
    <w:multiLevelType w:val="multilevel"/>
    <w:tmpl w:val="A716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7AAD"/>
    <w:multiLevelType w:val="multilevel"/>
    <w:tmpl w:val="25A81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94435"/>
    <w:multiLevelType w:val="hybridMultilevel"/>
    <w:tmpl w:val="B382F63E"/>
    <w:lvl w:ilvl="0" w:tplc="33D2603A">
      <w:start w:val="1"/>
      <w:numFmt w:val="bullet"/>
      <w:lvlText w:val="●"/>
      <w:lvlJc w:val="left"/>
      <w:pPr>
        <w:ind w:left="720" w:hanging="360"/>
      </w:pPr>
    </w:lvl>
    <w:lvl w:ilvl="1" w:tplc="20F849E0">
      <w:start w:val="1"/>
      <w:numFmt w:val="bullet"/>
      <w:lvlText w:val="○"/>
      <w:lvlJc w:val="left"/>
      <w:pPr>
        <w:ind w:left="1440" w:hanging="360"/>
      </w:pPr>
    </w:lvl>
    <w:lvl w:ilvl="2" w:tplc="98707390">
      <w:start w:val="1"/>
      <w:numFmt w:val="bullet"/>
      <w:lvlText w:val="■"/>
      <w:lvlJc w:val="left"/>
      <w:pPr>
        <w:ind w:left="2160" w:hanging="360"/>
      </w:pPr>
    </w:lvl>
    <w:lvl w:ilvl="3" w:tplc="CC58E376">
      <w:start w:val="1"/>
      <w:numFmt w:val="bullet"/>
      <w:lvlText w:val="●"/>
      <w:lvlJc w:val="left"/>
      <w:pPr>
        <w:ind w:left="2880" w:hanging="360"/>
      </w:pPr>
    </w:lvl>
    <w:lvl w:ilvl="4" w:tplc="C4A0C430">
      <w:start w:val="1"/>
      <w:numFmt w:val="bullet"/>
      <w:lvlText w:val="○"/>
      <w:lvlJc w:val="left"/>
      <w:pPr>
        <w:ind w:left="3600" w:hanging="360"/>
      </w:pPr>
    </w:lvl>
    <w:lvl w:ilvl="5" w:tplc="E042F9EA">
      <w:start w:val="1"/>
      <w:numFmt w:val="bullet"/>
      <w:lvlText w:val="■"/>
      <w:lvlJc w:val="left"/>
      <w:pPr>
        <w:ind w:left="4320" w:hanging="360"/>
      </w:pPr>
    </w:lvl>
    <w:lvl w:ilvl="6" w:tplc="2FBED92E">
      <w:start w:val="1"/>
      <w:numFmt w:val="bullet"/>
      <w:lvlText w:val="●"/>
      <w:lvlJc w:val="left"/>
      <w:pPr>
        <w:ind w:left="5040" w:hanging="360"/>
      </w:pPr>
    </w:lvl>
    <w:lvl w:ilvl="7" w:tplc="33EC3AF0">
      <w:start w:val="1"/>
      <w:numFmt w:val="bullet"/>
      <w:lvlText w:val="●"/>
      <w:lvlJc w:val="left"/>
      <w:pPr>
        <w:ind w:left="5760" w:hanging="360"/>
      </w:pPr>
    </w:lvl>
    <w:lvl w:ilvl="8" w:tplc="8EF4B940">
      <w:start w:val="1"/>
      <w:numFmt w:val="bullet"/>
      <w:lvlText w:val="●"/>
      <w:lvlJc w:val="left"/>
      <w:pPr>
        <w:ind w:left="6480" w:hanging="360"/>
      </w:pPr>
    </w:lvl>
  </w:abstractNum>
  <w:abstractNum w:abstractNumId="3" w15:restartNumberingAfterBreak="0">
    <w:nsid w:val="37EB6369"/>
    <w:multiLevelType w:val="hybridMultilevel"/>
    <w:tmpl w:val="ECC86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477B17"/>
    <w:multiLevelType w:val="multilevel"/>
    <w:tmpl w:val="CB482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206A52"/>
    <w:multiLevelType w:val="hybridMultilevel"/>
    <w:tmpl w:val="526205CE"/>
    <w:lvl w:ilvl="0" w:tplc="FC8642FA">
      <w:start w:val="1"/>
      <w:numFmt w:val="bullet"/>
      <w:lvlText w:val="•"/>
      <w:lvlJc w:val="left"/>
      <w:pPr>
        <w:ind w:left="431" w:hanging="215"/>
      </w:pPr>
    </w:lvl>
    <w:lvl w:ilvl="1" w:tplc="C98EC500">
      <w:numFmt w:val="decimal"/>
      <w:lvlText w:val=""/>
      <w:lvlJc w:val="left"/>
    </w:lvl>
    <w:lvl w:ilvl="2" w:tplc="2998F754">
      <w:numFmt w:val="decimal"/>
      <w:lvlText w:val=""/>
      <w:lvlJc w:val="left"/>
    </w:lvl>
    <w:lvl w:ilvl="3" w:tplc="0F32396A">
      <w:numFmt w:val="decimal"/>
      <w:lvlText w:val=""/>
      <w:lvlJc w:val="left"/>
    </w:lvl>
    <w:lvl w:ilvl="4" w:tplc="E3409BB8">
      <w:numFmt w:val="decimal"/>
      <w:lvlText w:val=""/>
      <w:lvlJc w:val="left"/>
    </w:lvl>
    <w:lvl w:ilvl="5" w:tplc="52AAB25C">
      <w:numFmt w:val="decimal"/>
      <w:lvlText w:val=""/>
      <w:lvlJc w:val="left"/>
    </w:lvl>
    <w:lvl w:ilvl="6" w:tplc="1D70D322">
      <w:numFmt w:val="decimal"/>
      <w:lvlText w:val=""/>
      <w:lvlJc w:val="left"/>
    </w:lvl>
    <w:lvl w:ilvl="7" w:tplc="34C60486">
      <w:numFmt w:val="decimal"/>
      <w:lvlText w:val=""/>
      <w:lvlJc w:val="left"/>
    </w:lvl>
    <w:lvl w:ilvl="8" w:tplc="D31A4C2E">
      <w:numFmt w:val="decimal"/>
      <w:lvlText w:val=""/>
      <w:lvlJc w:val="left"/>
    </w:lvl>
  </w:abstractNum>
  <w:abstractNum w:abstractNumId="6" w15:restartNumberingAfterBreak="0">
    <w:nsid w:val="6A4B0E45"/>
    <w:multiLevelType w:val="hybridMultilevel"/>
    <w:tmpl w:val="2AE88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24751"/>
    <w:multiLevelType w:val="hybridMultilevel"/>
    <w:tmpl w:val="89342ED8"/>
    <w:lvl w:ilvl="0" w:tplc="506832E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F537B"/>
    <w:multiLevelType w:val="multilevel"/>
    <w:tmpl w:val="B71C3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587C07"/>
    <w:multiLevelType w:val="hybridMultilevel"/>
    <w:tmpl w:val="EAC63C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292DFE"/>
    <w:multiLevelType w:val="hybridMultilevel"/>
    <w:tmpl w:val="FF4A76D0"/>
    <w:lvl w:ilvl="0" w:tplc="972A90E4">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99602267">
    <w:abstractNumId w:val="2"/>
    <w:lvlOverride w:ilvl="0">
      <w:startOverride w:val="1"/>
    </w:lvlOverride>
  </w:num>
  <w:num w:numId="2" w16cid:durableId="960768801">
    <w:abstractNumId w:val="5"/>
    <w:lvlOverride w:ilvl="0">
      <w:startOverride w:val="1"/>
    </w:lvlOverride>
  </w:num>
  <w:num w:numId="3" w16cid:durableId="1586845416">
    <w:abstractNumId w:val="10"/>
  </w:num>
  <w:num w:numId="4" w16cid:durableId="127017443">
    <w:abstractNumId w:val="7"/>
  </w:num>
  <w:num w:numId="5" w16cid:durableId="1159273222">
    <w:abstractNumId w:val="0"/>
  </w:num>
  <w:num w:numId="6" w16cid:durableId="192501296">
    <w:abstractNumId w:val="3"/>
  </w:num>
  <w:num w:numId="7" w16cid:durableId="1030305679">
    <w:abstractNumId w:val="1"/>
  </w:num>
  <w:num w:numId="8" w16cid:durableId="2070032406">
    <w:abstractNumId w:val="4"/>
  </w:num>
  <w:num w:numId="9" w16cid:durableId="992443736">
    <w:abstractNumId w:val="9"/>
  </w:num>
  <w:num w:numId="10" w16cid:durableId="83192281">
    <w:abstractNumId w:val="8"/>
  </w:num>
  <w:num w:numId="11" w16cid:durableId="15423245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DF"/>
    <w:rsid w:val="000402D0"/>
    <w:rsid w:val="0004094E"/>
    <w:rsid w:val="0004652C"/>
    <w:rsid w:val="00061C6C"/>
    <w:rsid w:val="000B4B54"/>
    <w:rsid w:val="000C50AE"/>
    <w:rsid w:val="000F7FC5"/>
    <w:rsid w:val="00127AB2"/>
    <w:rsid w:val="00135677"/>
    <w:rsid w:val="00137DEE"/>
    <w:rsid w:val="00154391"/>
    <w:rsid w:val="001A56DF"/>
    <w:rsid w:val="001C10B7"/>
    <w:rsid w:val="001E3CDF"/>
    <w:rsid w:val="001F414F"/>
    <w:rsid w:val="001F46B7"/>
    <w:rsid w:val="00213735"/>
    <w:rsid w:val="002362A2"/>
    <w:rsid w:val="00255258"/>
    <w:rsid w:val="002A121E"/>
    <w:rsid w:val="002A3551"/>
    <w:rsid w:val="002C55CA"/>
    <w:rsid w:val="002D3D3B"/>
    <w:rsid w:val="00351410"/>
    <w:rsid w:val="00370C40"/>
    <w:rsid w:val="003A5192"/>
    <w:rsid w:val="003B0219"/>
    <w:rsid w:val="003B455F"/>
    <w:rsid w:val="003C0026"/>
    <w:rsid w:val="003E4F63"/>
    <w:rsid w:val="003E55E1"/>
    <w:rsid w:val="00401283"/>
    <w:rsid w:val="004024CB"/>
    <w:rsid w:val="0041106B"/>
    <w:rsid w:val="004418FF"/>
    <w:rsid w:val="004804E2"/>
    <w:rsid w:val="00485D3C"/>
    <w:rsid w:val="004C3870"/>
    <w:rsid w:val="0051064E"/>
    <w:rsid w:val="00576888"/>
    <w:rsid w:val="005D5C6B"/>
    <w:rsid w:val="00616CEF"/>
    <w:rsid w:val="00637D25"/>
    <w:rsid w:val="00687A06"/>
    <w:rsid w:val="006D4C6D"/>
    <w:rsid w:val="006D4FFA"/>
    <w:rsid w:val="006F687C"/>
    <w:rsid w:val="00702461"/>
    <w:rsid w:val="00726BDC"/>
    <w:rsid w:val="00741D66"/>
    <w:rsid w:val="00766B35"/>
    <w:rsid w:val="007A4196"/>
    <w:rsid w:val="0082646C"/>
    <w:rsid w:val="008470F2"/>
    <w:rsid w:val="008F1E8A"/>
    <w:rsid w:val="00901EDC"/>
    <w:rsid w:val="00915E6F"/>
    <w:rsid w:val="00923871"/>
    <w:rsid w:val="0096280E"/>
    <w:rsid w:val="0097273F"/>
    <w:rsid w:val="009A6414"/>
    <w:rsid w:val="009D391C"/>
    <w:rsid w:val="00A43334"/>
    <w:rsid w:val="00A45906"/>
    <w:rsid w:val="00A466DF"/>
    <w:rsid w:val="00A52079"/>
    <w:rsid w:val="00A53D86"/>
    <w:rsid w:val="00A8072D"/>
    <w:rsid w:val="00A81922"/>
    <w:rsid w:val="00A92704"/>
    <w:rsid w:val="00B249B8"/>
    <w:rsid w:val="00B33B91"/>
    <w:rsid w:val="00B53F32"/>
    <w:rsid w:val="00BB124D"/>
    <w:rsid w:val="00BB4917"/>
    <w:rsid w:val="00C1693F"/>
    <w:rsid w:val="00C35A09"/>
    <w:rsid w:val="00C74C5A"/>
    <w:rsid w:val="00C976F2"/>
    <w:rsid w:val="00CA0A78"/>
    <w:rsid w:val="00CB65C6"/>
    <w:rsid w:val="00CF24D5"/>
    <w:rsid w:val="00CF3A9F"/>
    <w:rsid w:val="00D24A4D"/>
    <w:rsid w:val="00D57D87"/>
    <w:rsid w:val="00D644C7"/>
    <w:rsid w:val="00D83FCF"/>
    <w:rsid w:val="00D85DFD"/>
    <w:rsid w:val="00DC1B89"/>
    <w:rsid w:val="00E162CE"/>
    <w:rsid w:val="00E215A0"/>
    <w:rsid w:val="00E5623E"/>
    <w:rsid w:val="00E74AAB"/>
    <w:rsid w:val="00E9014E"/>
    <w:rsid w:val="00E92FC0"/>
    <w:rsid w:val="00E94B41"/>
    <w:rsid w:val="00E969A6"/>
    <w:rsid w:val="00EB22AA"/>
    <w:rsid w:val="00EE04ED"/>
    <w:rsid w:val="00EE40C2"/>
    <w:rsid w:val="00F46640"/>
    <w:rsid w:val="00F942D7"/>
    <w:rsid w:val="00FA538C"/>
    <w:rsid w:val="00FC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30C63"/>
  <w15:docId w15:val="{031327AA-0A5B-4BD9-BC80-69B60031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1C10B7"/>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1C10B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10B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BookTitle">
    <w:name w:val="Book Title"/>
    <w:basedOn w:val="DefaultParagraphFont"/>
    <w:uiPriority w:val="33"/>
    <w:qFormat/>
    <w:rsid w:val="001C10B7"/>
    <w:rPr>
      <w:b/>
      <w:bCs/>
      <w:i/>
      <w:iCs/>
      <w:spacing w:val="5"/>
    </w:rPr>
  </w:style>
  <w:style w:type="paragraph" w:styleId="Caption">
    <w:name w:val="caption"/>
    <w:basedOn w:val="Normal"/>
    <w:next w:val="Normal"/>
    <w:uiPriority w:val="35"/>
    <w:semiHidden/>
    <w:unhideWhenUsed/>
    <w:qFormat/>
    <w:rsid w:val="001C10B7"/>
    <w:pPr>
      <w:spacing w:after="200"/>
    </w:pPr>
    <w:rPr>
      <w:i/>
      <w:iCs/>
      <w:color w:val="0E2841" w:themeColor="text2"/>
      <w:sz w:val="18"/>
      <w:szCs w:val="18"/>
    </w:rPr>
  </w:style>
  <w:style w:type="character" w:styleId="Emphasis">
    <w:name w:val="Emphasis"/>
    <w:basedOn w:val="DefaultParagraphFont"/>
    <w:uiPriority w:val="20"/>
    <w:qFormat/>
    <w:rsid w:val="001C10B7"/>
    <w:rPr>
      <w:i/>
      <w:iCs/>
    </w:rPr>
  </w:style>
  <w:style w:type="character" w:customStyle="1" w:styleId="Heading7Char">
    <w:name w:val="Heading 7 Char"/>
    <w:basedOn w:val="DefaultParagraphFont"/>
    <w:link w:val="Heading7"/>
    <w:uiPriority w:val="9"/>
    <w:semiHidden/>
    <w:rsid w:val="001C10B7"/>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1C10B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10B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C10B7"/>
    <w:rPr>
      <w:i/>
      <w:iCs/>
      <w:color w:val="156082" w:themeColor="accent1"/>
    </w:rPr>
  </w:style>
  <w:style w:type="paragraph" w:styleId="IntenseQuote">
    <w:name w:val="Intense Quote"/>
    <w:basedOn w:val="Normal"/>
    <w:next w:val="Normal"/>
    <w:link w:val="IntenseQuoteChar"/>
    <w:uiPriority w:val="30"/>
    <w:qFormat/>
    <w:rsid w:val="001C10B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1C10B7"/>
    <w:rPr>
      <w:i/>
      <w:iCs/>
      <w:color w:val="156082" w:themeColor="accent1"/>
    </w:rPr>
  </w:style>
  <w:style w:type="character" w:styleId="IntenseReference">
    <w:name w:val="Intense Reference"/>
    <w:basedOn w:val="DefaultParagraphFont"/>
    <w:uiPriority w:val="32"/>
    <w:qFormat/>
    <w:rsid w:val="001C10B7"/>
    <w:rPr>
      <w:b/>
      <w:bCs/>
      <w:smallCaps/>
      <w:color w:val="156082" w:themeColor="accent1"/>
      <w:spacing w:val="5"/>
    </w:rPr>
  </w:style>
  <w:style w:type="paragraph" w:styleId="NoSpacing">
    <w:name w:val="No Spacing"/>
    <w:uiPriority w:val="1"/>
    <w:qFormat/>
    <w:rsid w:val="001C10B7"/>
  </w:style>
  <w:style w:type="paragraph" w:styleId="Quote">
    <w:name w:val="Quote"/>
    <w:basedOn w:val="Normal"/>
    <w:next w:val="Normal"/>
    <w:link w:val="QuoteChar"/>
    <w:uiPriority w:val="29"/>
    <w:qFormat/>
    <w:rsid w:val="001C10B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C10B7"/>
    <w:rPr>
      <w:i/>
      <w:iCs/>
      <w:color w:val="404040" w:themeColor="text1" w:themeTint="BF"/>
    </w:rPr>
  </w:style>
  <w:style w:type="character" w:styleId="Strong">
    <w:name w:val="Strong"/>
    <w:basedOn w:val="DefaultParagraphFont"/>
    <w:uiPriority w:val="22"/>
    <w:qFormat/>
    <w:rsid w:val="001C10B7"/>
    <w:rPr>
      <w:b/>
      <w:bCs/>
    </w:rPr>
  </w:style>
  <w:style w:type="paragraph" w:styleId="Subtitle">
    <w:name w:val="Subtitle"/>
    <w:basedOn w:val="Normal"/>
    <w:next w:val="Normal"/>
    <w:link w:val="SubtitleChar"/>
    <w:uiPriority w:val="11"/>
    <w:qFormat/>
    <w:rsid w:val="001C10B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C10B7"/>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C10B7"/>
    <w:rPr>
      <w:i/>
      <w:iCs/>
      <w:color w:val="404040" w:themeColor="text1" w:themeTint="BF"/>
    </w:rPr>
  </w:style>
  <w:style w:type="character" w:styleId="SubtleReference">
    <w:name w:val="Subtle Reference"/>
    <w:basedOn w:val="DefaultParagraphFont"/>
    <w:uiPriority w:val="31"/>
    <w:qFormat/>
    <w:rsid w:val="001C10B7"/>
    <w:rPr>
      <w:smallCaps/>
      <w:color w:val="5A5A5A" w:themeColor="text1" w:themeTint="A5"/>
    </w:rPr>
  </w:style>
  <w:style w:type="paragraph" w:styleId="TOCHeading">
    <w:name w:val="TOC Heading"/>
    <w:basedOn w:val="Heading1"/>
    <w:next w:val="Normal"/>
    <w:uiPriority w:val="39"/>
    <w:unhideWhenUsed/>
    <w:qFormat/>
    <w:rsid w:val="001C10B7"/>
    <w:pPr>
      <w:keepNext/>
      <w:keepLines/>
      <w:spacing w:before="240"/>
      <w:outlineLvl w:val="9"/>
    </w:pPr>
    <w:rPr>
      <w:rFonts w:asciiTheme="majorHAnsi" w:eastAsiaTheme="majorEastAsia" w:hAnsiTheme="majorHAnsi" w:cstheme="majorBidi"/>
      <w:color w:val="0F4761" w:themeColor="accent1" w:themeShade="BF"/>
    </w:rPr>
  </w:style>
  <w:style w:type="character" w:styleId="UnresolvedMention">
    <w:name w:val="Unresolved Mention"/>
    <w:basedOn w:val="DefaultParagraphFont"/>
    <w:uiPriority w:val="99"/>
    <w:semiHidden/>
    <w:unhideWhenUsed/>
    <w:rsid w:val="006F687C"/>
    <w:rPr>
      <w:color w:val="605E5C"/>
      <w:shd w:val="clear" w:color="auto" w:fill="E1DFDD"/>
    </w:rPr>
  </w:style>
  <w:style w:type="paragraph" w:styleId="TOC1">
    <w:name w:val="toc 1"/>
    <w:basedOn w:val="Normal"/>
    <w:next w:val="Normal"/>
    <w:autoRedefine/>
    <w:uiPriority w:val="39"/>
    <w:unhideWhenUsed/>
    <w:rsid w:val="008470F2"/>
    <w:pPr>
      <w:spacing w:after="100"/>
    </w:pPr>
  </w:style>
  <w:style w:type="paragraph" w:styleId="Header">
    <w:name w:val="header"/>
    <w:basedOn w:val="Normal"/>
    <w:link w:val="HeaderChar"/>
    <w:uiPriority w:val="99"/>
    <w:unhideWhenUsed/>
    <w:rsid w:val="00370C40"/>
    <w:pPr>
      <w:tabs>
        <w:tab w:val="center" w:pos="4513"/>
        <w:tab w:val="right" w:pos="9026"/>
      </w:tabs>
    </w:pPr>
  </w:style>
  <w:style w:type="character" w:customStyle="1" w:styleId="HeaderChar">
    <w:name w:val="Header Char"/>
    <w:basedOn w:val="DefaultParagraphFont"/>
    <w:link w:val="Header"/>
    <w:uiPriority w:val="99"/>
    <w:rsid w:val="00370C40"/>
  </w:style>
  <w:style w:type="paragraph" w:styleId="Footer">
    <w:name w:val="footer"/>
    <w:basedOn w:val="Normal"/>
    <w:link w:val="FooterChar"/>
    <w:uiPriority w:val="99"/>
    <w:unhideWhenUsed/>
    <w:rsid w:val="00370C40"/>
    <w:pPr>
      <w:tabs>
        <w:tab w:val="center" w:pos="4513"/>
        <w:tab w:val="right" w:pos="9026"/>
      </w:tabs>
    </w:pPr>
  </w:style>
  <w:style w:type="character" w:customStyle="1" w:styleId="FooterChar">
    <w:name w:val="Footer Char"/>
    <w:basedOn w:val="DefaultParagraphFont"/>
    <w:link w:val="Footer"/>
    <w:uiPriority w:val="99"/>
    <w:rsid w:val="00370C40"/>
  </w:style>
  <w:style w:type="paragraph" w:styleId="NormalWeb">
    <w:name w:val="Normal (Web)"/>
    <w:basedOn w:val="Normal"/>
    <w:uiPriority w:val="99"/>
    <w:semiHidden/>
    <w:unhideWhenUsed/>
    <w:rsid w:val="008F1E8A"/>
    <w:pPr>
      <w:spacing w:before="100" w:beforeAutospacing="1" w:after="100" w:afterAutospacing="1"/>
    </w:pPr>
    <w:rPr>
      <w:sz w:val="24"/>
      <w:szCs w:val="24"/>
    </w:rPr>
  </w:style>
  <w:style w:type="paragraph" w:styleId="TOC2">
    <w:name w:val="toc 2"/>
    <w:basedOn w:val="Normal"/>
    <w:next w:val="Normal"/>
    <w:autoRedefine/>
    <w:uiPriority w:val="39"/>
    <w:unhideWhenUsed/>
    <w:rsid w:val="008F1E8A"/>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5/9/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killsforcare.org.uk/resources/documents/Developing-your-workforce/Care-Certificate/Care-Certificate-Standards/Care-Certificate-standards-March-202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contents/enacted" TargetMode="External"/><Relationship Id="rId5" Type="http://schemas.openxmlformats.org/officeDocument/2006/relationships/webSettings" Target="webSettings.xml"/><Relationship Id="rId15" Type="http://schemas.openxmlformats.org/officeDocument/2006/relationships/hyperlink" Target="https://www.nhs.uk/conditions/dementia/caring-for-someone-with-dementia/communicating/" TargetMode="External"/><Relationship Id="rId10" Type="http://schemas.openxmlformats.org/officeDocument/2006/relationships/hyperlink" Target="https://www.cqc.org.uk/guidance-providers/regulations/regulation-17-good-govern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14/23/contents/enacted" TargetMode="External"/><Relationship Id="rId14" Type="http://schemas.openxmlformats.org/officeDocument/2006/relationships/hyperlink" Target="https://assets.publishing.service.gov.uk/media/5ef22964d3bf7f7141cc991f/777_consultation_background_document_FINAL_FOR_WEBS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40A18-4B92-45FC-A246-F5698D848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1722</Words>
  <Characters>9821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Sadia Batool</dc:creator>
  <cp:lastModifiedBy>Sadia Batool (2512945)</cp:lastModifiedBy>
  <cp:revision>2</cp:revision>
  <cp:lastPrinted>2026-07-12T22:07:00Z</cp:lastPrinted>
  <dcterms:created xsi:type="dcterms:W3CDTF">2026-07-23T18:38:00Z</dcterms:created>
  <dcterms:modified xsi:type="dcterms:W3CDTF">2026-07-23T18:38:00Z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e6f11ae7-11c8-46ce-9ae7-b5d3de0c49d9</vt:lpwstr>
  </property>
</Properties>
</file>