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382270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sz w:val="32"/>
          <w:szCs w:val="32"/>
        </w:rPr>
      </w:pPr>
      <w:r w:rsidDel="00000000" w:rsidR="00000000" w:rsidRPr="00000000">
        <w:rPr>
          <w:rtl w:val="0"/>
        </w:rPr>
      </w:r>
    </w:p>
    <w:p w:rsidR="00000000" w:rsidDel="00000000" w:rsidP="00000000" w:rsidRDefault="00000000" w:rsidRPr="00000000" w14:paraId="00000003">
      <w:pPr>
        <w:rPr>
          <w:sz w:val="32"/>
          <w:szCs w:val="32"/>
        </w:rPr>
      </w:pPr>
      <w:r w:rsidDel="00000000" w:rsidR="00000000" w:rsidRPr="00000000">
        <w:rPr>
          <w:rtl w:val="0"/>
        </w:rPr>
      </w:r>
    </w:p>
    <w:p w:rsidR="00000000" w:rsidDel="00000000" w:rsidP="00000000" w:rsidRDefault="00000000" w:rsidRPr="00000000" w14:paraId="00000004">
      <w:pPr>
        <w:rPr>
          <w:sz w:val="32"/>
          <w:szCs w:val="32"/>
        </w:rPr>
      </w:pPr>
      <w:r w:rsidDel="00000000" w:rsidR="00000000" w:rsidRPr="00000000">
        <w:rPr>
          <w:rtl w:val="0"/>
        </w:rPr>
      </w:r>
    </w:p>
    <w:tbl>
      <w:tblPr>
        <w:tblStyle w:val="Table1"/>
        <w:tblW w:w="99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rPr>
          <w:cantSplit w:val="0"/>
          <w:tblHeader w:val="0"/>
        </w:trPr>
        <w:tc>
          <w:tcPr/>
          <w:p w:rsidR="00000000" w:rsidDel="00000000" w:rsidP="00000000" w:rsidRDefault="00000000" w:rsidRPr="00000000" w14:paraId="00000005">
            <w:pPr>
              <w:spacing w:after="120" w:before="120" w:lineRule="auto"/>
              <w:rPr>
                <w:b w:val="1"/>
                <w:bCs w:val="1"/>
              </w:rPr>
            </w:pPr>
            <w:r w:rsidDel="00000000" w:rsidR="00000000" w:rsidRPr="00000000">
              <w:rPr>
                <w:b w:val="1"/>
                <w:bCs w:val="1"/>
                <w:rtl w:val="0"/>
              </w:rPr>
              <w:t xml:space="preserve">Student name:</w:t>
            </w:r>
          </w:p>
        </w:tc>
        <w:tc>
          <w:tcPr/>
          <w:p w:rsidR="00000000" w:rsidDel="00000000" w:rsidP="00000000" w:rsidRDefault="00000000" w:rsidRPr="00000000" w14:paraId="00000006">
            <w:pPr>
              <w:spacing w:after="120" w:before="120" w:lineRule="auto"/>
              <w:rPr>
                <w:b w:val="1"/>
                <w:bCs w:val="1"/>
              </w:rPr>
            </w:pPr>
            <w:r w:rsidDel="00000000" w:rsidR="00000000" w:rsidRPr="00000000">
              <w:rPr>
                <w:b w:val="1"/>
                <w:bCs w:val="1"/>
                <w:rtl w:val="0"/>
              </w:rPr>
              <w:t xml:space="preserve">Nayem Mia</w:t>
            </w:r>
          </w:p>
        </w:tc>
        <w:tc>
          <w:tcPr/>
          <w:p w:rsidR="00000000" w:rsidDel="00000000" w:rsidP="00000000" w:rsidRDefault="00000000" w:rsidRPr="00000000" w14:paraId="00000007">
            <w:pPr>
              <w:spacing w:after="120" w:before="120" w:lineRule="auto"/>
              <w:rPr>
                <w:b w:val="1"/>
                <w:bCs w:val="1"/>
              </w:rPr>
            </w:pPr>
            <w:r w:rsidDel="00000000" w:rsidR="00000000" w:rsidRPr="00000000">
              <w:rPr>
                <w:b w:val="1"/>
                <w:bCs w:val="1"/>
                <w:rtl w:val="0"/>
              </w:rPr>
              <w:t xml:space="preserve">Student ID number:</w:t>
            </w:r>
          </w:p>
        </w:tc>
        <w:tc>
          <w:tcPr/>
          <w:p w:rsidR="00000000" w:rsidDel="00000000" w:rsidP="00000000" w:rsidRDefault="00000000" w:rsidRPr="00000000" w14:paraId="00000008">
            <w:pPr>
              <w:spacing w:after="120" w:before="120" w:lineRule="auto"/>
              <w:rPr>
                <w:b w:val="1"/>
                <w:bCs w:val="1"/>
              </w:rPr>
            </w:pPr>
            <w:r w:rsidDel="00000000" w:rsidR="00000000" w:rsidRPr="00000000">
              <w:rPr>
                <w:b w:val="1"/>
                <w:bCs w:val="1"/>
                <w:rtl w:val="0"/>
              </w:rPr>
              <w:t xml:space="preserve">2514695</w:t>
            </w:r>
          </w:p>
        </w:tc>
      </w:tr>
      <w:tr>
        <w:trPr>
          <w:cantSplit w:val="0"/>
          <w:tblHeader w:val="0"/>
        </w:trPr>
        <w:tc>
          <w:tcPr/>
          <w:p w:rsidR="00000000" w:rsidDel="00000000" w:rsidP="00000000" w:rsidRDefault="00000000" w:rsidRPr="00000000" w14:paraId="00000009">
            <w:pPr>
              <w:spacing w:after="120" w:before="120" w:lineRule="auto"/>
              <w:rPr>
                <w:b w:val="1"/>
                <w:bCs w:val="1"/>
              </w:rPr>
            </w:pPr>
            <w:r w:rsidDel="00000000" w:rsidR="00000000" w:rsidRPr="00000000">
              <w:rPr>
                <w:b w:val="1"/>
                <w:bCs w:val="1"/>
                <w:rtl w:val="0"/>
              </w:rPr>
              <w:t xml:space="preserve">Programme:</w:t>
            </w:r>
          </w:p>
        </w:tc>
        <w:tc>
          <w:tcPr>
            <w:gridSpan w:val="3"/>
          </w:tcPr>
          <w:p w:rsidR="00000000" w:rsidDel="00000000" w:rsidP="00000000" w:rsidRDefault="00000000" w:rsidRPr="00000000" w14:paraId="0000000A">
            <w:pPr>
              <w:spacing w:after="120" w:before="120" w:lineRule="auto"/>
              <w:rPr>
                <w:b w:val="1"/>
                <w:bCs w:val="1"/>
              </w:rPr>
            </w:pPr>
            <w:r w:rsidDel="00000000" w:rsidR="00000000" w:rsidRPr="00000000">
              <w:rPr>
                <w:rtl w:val="0"/>
              </w:rPr>
              <w:t xml:space="preserve">MBA</w:t>
            </w:r>
            <w:r w:rsidDel="00000000" w:rsidR="00000000" w:rsidRPr="00000000">
              <w:rPr>
                <w:rtl w:val="0"/>
              </w:rPr>
            </w:r>
          </w:p>
        </w:tc>
      </w:tr>
      <w:tr>
        <w:trPr>
          <w:cantSplit w:val="0"/>
          <w:tblHeader w:val="0"/>
        </w:trPr>
        <w:tc>
          <w:tcPr/>
          <w:p w:rsidR="00000000" w:rsidDel="00000000" w:rsidP="00000000" w:rsidRDefault="00000000" w:rsidRPr="00000000" w14:paraId="0000000D">
            <w:pPr>
              <w:spacing w:after="120" w:before="120" w:lineRule="auto"/>
              <w:rPr>
                <w:b w:val="1"/>
                <w:bCs w:val="1"/>
              </w:rPr>
            </w:pPr>
            <w:r w:rsidDel="00000000" w:rsidR="00000000" w:rsidRPr="00000000">
              <w:rPr>
                <w:b w:val="1"/>
                <w:bCs w:val="1"/>
                <w:rtl w:val="0"/>
              </w:rPr>
              <w:t xml:space="preserve">Module:</w:t>
            </w:r>
          </w:p>
        </w:tc>
        <w:tc>
          <w:tcPr>
            <w:gridSpan w:val="3"/>
          </w:tcPr>
          <w:p w:rsidR="00000000" w:rsidDel="00000000" w:rsidP="00000000" w:rsidRDefault="00000000" w:rsidRPr="00000000" w14:paraId="0000000E">
            <w:pPr>
              <w:spacing w:after="120" w:before="120" w:lineRule="auto"/>
              <w:rPr>
                <w:b w:val="1"/>
                <w:bCs w:val="1"/>
              </w:rPr>
            </w:pPr>
            <w:r w:rsidDel="00000000" w:rsidR="00000000" w:rsidRPr="00000000">
              <w:rPr>
                <w:rtl w:val="0"/>
              </w:rPr>
              <w:t xml:space="preserve">Finance for Business Managers</w:t>
            </w:r>
            <w:r w:rsidDel="00000000" w:rsidR="00000000" w:rsidRPr="00000000">
              <w:rPr>
                <w:rtl w:val="0"/>
              </w:rPr>
            </w:r>
          </w:p>
        </w:tc>
      </w:tr>
      <w:tr>
        <w:trPr>
          <w:cantSplit w:val="0"/>
          <w:tblHeader w:val="0"/>
        </w:trPr>
        <w:tc>
          <w:tcPr/>
          <w:p w:rsidR="00000000" w:rsidDel="00000000" w:rsidP="00000000" w:rsidRDefault="00000000" w:rsidRPr="00000000" w14:paraId="00000011">
            <w:pPr>
              <w:spacing w:after="120" w:before="120" w:lineRule="auto"/>
              <w:rPr>
                <w:b w:val="1"/>
                <w:bCs w:val="1"/>
              </w:rPr>
            </w:pPr>
            <w:r w:rsidDel="00000000" w:rsidR="00000000" w:rsidRPr="00000000">
              <w:rPr>
                <w:b w:val="1"/>
                <w:bCs w:val="1"/>
                <w:rtl w:val="0"/>
              </w:rPr>
              <w:t xml:space="preserve">Module code:</w:t>
            </w:r>
          </w:p>
        </w:tc>
        <w:tc>
          <w:tcPr/>
          <w:p w:rsidR="00000000" w:rsidDel="00000000" w:rsidP="00000000" w:rsidRDefault="00000000" w:rsidRPr="00000000" w14:paraId="00000012">
            <w:pPr>
              <w:spacing w:after="120" w:before="120" w:lineRule="auto"/>
              <w:rPr>
                <w:b w:val="1"/>
                <w:bCs w:val="1"/>
              </w:rPr>
            </w:pPr>
            <w:r w:rsidDel="00000000" w:rsidR="00000000" w:rsidRPr="00000000">
              <w:rPr>
                <w:rtl w:val="0"/>
              </w:rPr>
              <w:t xml:space="preserve">BMMB7005D</w:t>
            </w:r>
            <w:r w:rsidDel="00000000" w:rsidR="00000000" w:rsidRPr="00000000">
              <w:rPr>
                <w:rtl w:val="0"/>
              </w:rPr>
            </w:r>
          </w:p>
        </w:tc>
        <w:tc>
          <w:tcPr/>
          <w:p w:rsidR="00000000" w:rsidDel="00000000" w:rsidP="00000000" w:rsidRDefault="00000000" w:rsidRPr="00000000" w14:paraId="00000013">
            <w:pPr>
              <w:pStyle w:val="Heading2"/>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Contribution to Overall Module Assessment (%):</w:t>
            </w:r>
          </w:p>
        </w:tc>
        <w:tc>
          <w:tcPr/>
          <w:p w:rsidR="00000000" w:rsidDel="00000000" w:rsidP="00000000" w:rsidRDefault="00000000" w:rsidRPr="00000000" w14:paraId="00000014">
            <w:pPr>
              <w:spacing w:after="120" w:before="120" w:lineRule="auto"/>
              <w:rPr>
                <w:b w:val="1"/>
                <w:bCs w:val="1"/>
              </w:rPr>
            </w:pPr>
            <w:r w:rsidDel="00000000" w:rsidR="00000000" w:rsidRPr="00000000">
              <w:rPr>
                <w:rtl w:val="0"/>
              </w:rPr>
              <w:t xml:space="preserve">100%</w:t>
            </w:r>
            <w:r w:rsidDel="00000000" w:rsidR="00000000" w:rsidRPr="00000000">
              <w:rPr>
                <w:rtl w:val="0"/>
              </w:rPr>
            </w:r>
          </w:p>
        </w:tc>
      </w:tr>
      <w:tr>
        <w:trPr>
          <w:cantSplit w:val="0"/>
          <w:tblHeader w:val="0"/>
        </w:trPr>
        <w:tc>
          <w:tcPr/>
          <w:p w:rsidR="00000000" w:rsidDel="00000000" w:rsidP="00000000" w:rsidRDefault="00000000" w:rsidRPr="00000000" w14:paraId="00000015">
            <w:pPr>
              <w:spacing w:after="120" w:before="120" w:lineRule="auto"/>
              <w:rPr>
                <w:b w:val="1"/>
                <w:bCs w:val="1"/>
              </w:rPr>
            </w:pPr>
            <w:r w:rsidDel="00000000" w:rsidR="00000000" w:rsidRPr="00000000">
              <w:rPr>
                <w:b w:val="1"/>
                <w:bCs w:val="1"/>
                <w:rtl w:val="0"/>
              </w:rPr>
              <w:t xml:space="preserve">Lecturer:</w:t>
            </w:r>
          </w:p>
        </w:tc>
        <w:tc>
          <w:tcPr/>
          <w:p w:rsidR="00000000" w:rsidDel="00000000" w:rsidP="00000000" w:rsidRDefault="00000000" w:rsidRPr="00000000" w14:paraId="00000016">
            <w:pPr>
              <w:spacing w:after="120" w:before="120" w:lineRule="auto"/>
              <w:rPr>
                <w:b w:val="1"/>
                <w:bCs w:val="1"/>
              </w:rPr>
            </w:pPr>
            <w:r w:rsidDel="00000000" w:rsidR="00000000" w:rsidRPr="00000000">
              <w:rPr>
                <w:rtl w:val="0"/>
              </w:rPr>
              <w:t xml:space="preserve">Marie Pitson</w:t>
            </w:r>
            <w:r w:rsidDel="00000000" w:rsidR="00000000" w:rsidRPr="00000000">
              <w:rPr>
                <w:rtl w:val="0"/>
              </w:rPr>
            </w:r>
          </w:p>
        </w:tc>
        <w:tc>
          <w:tcPr/>
          <w:p w:rsidR="00000000" w:rsidDel="00000000" w:rsidP="00000000" w:rsidRDefault="00000000" w:rsidRPr="00000000" w14:paraId="00000017">
            <w:pPr>
              <w:spacing w:after="120" w:before="120" w:lineRule="auto"/>
              <w:rPr>
                <w:b w:val="1"/>
                <w:bCs w:val="1"/>
              </w:rPr>
            </w:pPr>
            <w:r w:rsidDel="00000000" w:rsidR="00000000" w:rsidRPr="00000000">
              <w:rPr>
                <w:b w:val="1"/>
                <w:bCs w:val="1"/>
                <w:rtl w:val="0"/>
              </w:rPr>
              <w:t xml:space="preserve">Internal Verifier:</w:t>
            </w:r>
          </w:p>
        </w:tc>
        <w:tc>
          <w:tcPr/>
          <w:p w:rsidR="00000000" w:rsidDel="00000000" w:rsidP="00000000" w:rsidRDefault="00000000" w:rsidRPr="00000000" w14:paraId="00000018">
            <w:pPr>
              <w:spacing w:after="120" w:before="120" w:lineRule="auto"/>
              <w:rPr>
                <w:b w:val="1"/>
                <w:bCs w:val="1"/>
              </w:rPr>
            </w:pPr>
            <w:r w:rsidDel="00000000" w:rsidR="00000000" w:rsidRPr="00000000">
              <w:rPr>
                <w:rtl w:val="0"/>
              </w:rPr>
              <w:t xml:space="preserve">Badir Miftah</w:t>
            </w:r>
            <w:r w:rsidDel="00000000" w:rsidR="00000000" w:rsidRPr="00000000">
              <w:rPr>
                <w:rtl w:val="0"/>
              </w:rPr>
            </w:r>
          </w:p>
        </w:tc>
      </w:tr>
      <w:tr>
        <w:trPr>
          <w:cantSplit w:val="0"/>
          <w:tblHeader w:val="0"/>
        </w:trPr>
        <w:tc>
          <w:tcPr/>
          <w:p w:rsidR="00000000" w:rsidDel="00000000" w:rsidP="00000000" w:rsidRDefault="00000000" w:rsidRPr="00000000" w14:paraId="00000019">
            <w:pPr>
              <w:spacing w:after="120" w:before="120" w:lineRule="auto"/>
              <w:rPr>
                <w:b w:val="1"/>
                <w:bCs w:val="1"/>
              </w:rPr>
            </w:pPr>
            <w:r w:rsidDel="00000000" w:rsidR="00000000" w:rsidRPr="00000000">
              <w:rPr>
                <w:b w:val="1"/>
                <w:bCs w:val="1"/>
                <w:rtl w:val="0"/>
              </w:rPr>
              <w:t xml:space="preserve">Assignment Title:</w:t>
            </w:r>
          </w:p>
        </w:tc>
        <w:tc>
          <w:tcPr/>
          <w:p w:rsidR="00000000" w:rsidDel="00000000" w:rsidP="00000000" w:rsidRDefault="00000000" w:rsidRPr="00000000" w14:paraId="0000001A">
            <w:pPr>
              <w:spacing w:after="120" w:before="120" w:lineRule="auto"/>
              <w:rPr/>
            </w:pPr>
            <w:r w:rsidDel="00000000" w:rsidR="00000000" w:rsidRPr="00000000">
              <w:rPr>
                <w:rtl w:val="0"/>
              </w:rPr>
              <w:t xml:space="preserve">Finance Report for Shell PLC &amp; Westward Plc </w:t>
            </w:r>
          </w:p>
        </w:tc>
        <w:tc>
          <w:tcPr/>
          <w:p w:rsidR="00000000" w:rsidDel="00000000" w:rsidP="00000000" w:rsidRDefault="00000000" w:rsidRPr="00000000" w14:paraId="0000001B">
            <w:pPr>
              <w:spacing w:after="120" w:before="120" w:lineRule="auto"/>
              <w:rPr>
                <w:b w:val="1"/>
                <w:bCs w:val="1"/>
              </w:rPr>
            </w:pPr>
            <w:r w:rsidDel="00000000" w:rsidR="00000000" w:rsidRPr="00000000">
              <w:rPr>
                <w:b w:val="1"/>
                <w:bCs w:val="1"/>
                <w:rtl w:val="0"/>
              </w:rPr>
              <w:t xml:space="preserve">Word count (or equivalent):</w:t>
            </w:r>
          </w:p>
        </w:tc>
        <w:tc>
          <w:tcPr/>
          <w:p w:rsidR="00000000" w:rsidDel="00000000" w:rsidP="00000000" w:rsidRDefault="00000000" w:rsidRPr="00000000" w14:paraId="0000001C">
            <w:pPr>
              <w:spacing w:after="120" w:before="120" w:lineRule="auto"/>
              <w:rPr>
                <w:b w:val="1"/>
                <w:bCs w:val="1"/>
              </w:rPr>
            </w:pPr>
            <w:r w:rsidDel="00000000" w:rsidR="00000000" w:rsidRPr="00000000">
              <w:rPr>
                <w:rtl w:val="0"/>
              </w:rPr>
              <w:t xml:space="preserve">5000 words</w:t>
            </w:r>
            <w:r w:rsidDel="00000000" w:rsidR="00000000" w:rsidRPr="00000000">
              <w:rPr>
                <w:rtl w:val="0"/>
              </w:rPr>
            </w:r>
          </w:p>
        </w:tc>
      </w:tr>
      <w:tr>
        <w:trPr>
          <w:cantSplit w:val="0"/>
          <w:tblHeader w:val="0"/>
        </w:trPr>
        <w:tc>
          <w:tcPr/>
          <w:p w:rsidR="00000000" w:rsidDel="00000000" w:rsidP="00000000" w:rsidRDefault="00000000" w:rsidRPr="00000000" w14:paraId="0000001D">
            <w:pPr>
              <w:spacing w:after="120" w:before="120" w:lineRule="auto"/>
              <w:rPr>
                <w:b w:val="1"/>
                <w:bCs w:val="1"/>
              </w:rPr>
            </w:pPr>
            <w:r w:rsidDel="00000000" w:rsidR="00000000" w:rsidRPr="00000000">
              <w:rPr>
                <w:b w:val="1"/>
                <w:bCs w:val="1"/>
                <w:rtl w:val="0"/>
              </w:rPr>
              <w:t xml:space="preserve">Submission deadline:</w:t>
            </w:r>
          </w:p>
        </w:tc>
        <w:tc>
          <w:tcPr/>
          <w:p w:rsidR="00000000" w:rsidDel="00000000" w:rsidP="00000000" w:rsidRDefault="00000000" w:rsidRPr="00000000" w14:paraId="0000001E">
            <w:pPr>
              <w:spacing w:after="120" w:before="120" w:lineRule="auto"/>
              <w:rPr/>
            </w:pPr>
            <w:r w:rsidDel="00000000" w:rsidR="00000000" w:rsidRPr="00000000">
              <w:rPr>
                <w:rtl w:val="0"/>
              </w:rPr>
              <w:t xml:space="preserve">12</w:t>
            </w:r>
            <w:r w:rsidDel="00000000" w:rsidR="00000000" w:rsidRPr="00000000">
              <w:rPr>
                <w:vertAlign w:val="superscript"/>
                <w:rtl w:val="0"/>
              </w:rPr>
              <w:t xml:space="preserve">th</w:t>
            </w:r>
            <w:r w:rsidDel="00000000" w:rsidR="00000000" w:rsidRPr="00000000">
              <w:rPr>
                <w:rtl w:val="0"/>
              </w:rPr>
              <w:t xml:space="preserve"> January 2026</w:t>
            </w:r>
          </w:p>
        </w:tc>
        <w:tc>
          <w:tcPr/>
          <w:p w:rsidR="00000000" w:rsidDel="00000000" w:rsidP="00000000" w:rsidRDefault="00000000" w:rsidRPr="00000000" w14:paraId="0000001F">
            <w:pPr>
              <w:spacing w:after="120" w:before="120" w:lineRule="auto"/>
              <w:rPr>
                <w:b w:val="1"/>
                <w:bCs w:val="1"/>
              </w:rPr>
            </w:pPr>
            <w:r w:rsidDel="00000000" w:rsidR="00000000" w:rsidRPr="00000000">
              <w:rPr>
                <w:rtl w:val="0"/>
              </w:rPr>
            </w:r>
          </w:p>
        </w:tc>
        <w:tc>
          <w:tcPr/>
          <w:p w:rsidR="00000000" w:rsidDel="00000000" w:rsidP="00000000" w:rsidRDefault="00000000" w:rsidRPr="00000000" w14:paraId="00000020">
            <w:pPr>
              <w:spacing w:after="120" w:before="120" w:lineRule="auto"/>
              <w:rPr/>
            </w:pPr>
            <w:r w:rsidDel="00000000" w:rsidR="00000000" w:rsidRPr="00000000">
              <w:rPr>
                <w:rtl w:val="0"/>
              </w:rPr>
            </w:r>
          </w:p>
        </w:tc>
      </w:tr>
    </w:tbl>
    <w:p w:rsidR="00000000" w:rsidDel="00000000" w:rsidP="00000000" w:rsidRDefault="00000000" w:rsidRPr="00000000" w14:paraId="00000021">
      <w:pPr>
        <w:rPr>
          <w:sz w:val="32"/>
          <w:szCs w:val="32"/>
        </w:rPr>
      </w:pPr>
      <w:r w:rsidDel="00000000" w:rsidR="00000000" w:rsidRPr="00000000">
        <w:rPr>
          <w:rtl w:val="0"/>
        </w:rPr>
      </w:r>
    </w:p>
    <w:p w:rsidR="00000000" w:rsidDel="00000000" w:rsidP="00000000" w:rsidRDefault="00000000" w:rsidRPr="00000000" w14:paraId="0000002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m1sr64hhqexn" w:id="0"/>
      <w:bookmarkEnd w:id="0"/>
      <w:r w:rsidDel="00000000" w:rsidR="00000000" w:rsidRPr="00000000">
        <w:rPr>
          <w:rtl w:val="0"/>
        </w:rPr>
        <w:t xml:space="preserve">Executive Summary</w:t>
      </w:r>
    </w:p>
    <w:p w:rsidR="00000000" w:rsidDel="00000000" w:rsidP="00000000" w:rsidRDefault="00000000" w:rsidRPr="00000000" w14:paraId="00000024">
      <w:pPr>
        <w:rPr/>
      </w:pPr>
      <w:r w:rsidDel="00000000" w:rsidR="00000000" w:rsidRPr="00000000">
        <w:rPr>
          <w:rtl w:val="0"/>
        </w:rPr>
        <w:t xml:space="preserve">The purpose of the report is to assess the financial performance of Shell plc and consider potential investments for Westward Plc to support decision-making. Shell plc is an FTSE 100-listed, international energy company, and its business operates in an environment that is both capital-intensive and subject to fluctuating energy prices. This report analyses Shell plc Ratio Analysis Shell (plc)’s financial performance over the last two financial years and evaluates its ratios in comparison with industry standards (Guo, 2024). The strong credit quality of Shell plc, with its predictable debt amortisation profile and adequate liquidity are reflected in the ratings; however, profitability and returns to shareholders have weakened slightly. Efficiency ratios also indicate that asset utilisation is under pressure (Kenton, 2024). The report notes that while ratio analysis can be helpful, it is constrained by the availability of historical data and exposure to market conditions outside its control. It is therefore recommended to optimise asset utilisation, enhance the efficient management of working capital, and achieve an appropriate balance between dividend policy and Long-term reinvestment. In the second section of this report, the writer analyses three different investment alternatives for Westward Plc, making use of Discounted Cash Flow methods. Net Present Value (NPV) calculations reveal that all the projects are economically acceptable, of which Project B (internet sales) provides the highest NPV and an Internal Rate of Return (IRR) higher than the cost of capital (Fernando, 2024). When capital is rationed, an optimal combination of investments is suggested that maximises the total NPV. The report ends with a proposal for mixed financing based on retained earnings and long-term debt to promote sustainable growth, taking into account the financial risk.</w:t>
      </w:r>
      <w:r w:rsidDel="00000000" w:rsidR="00000000" w:rsidRPr="00000000">
        <w:br w:type="page"/>
      </w: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Contents</w:t>
      </w:r>
    </w:p>
    <w:sdt>
      <w:sdtPr>
        <w:id w:val="-469940445"/>
        <w:docPartObj>
          <w:docPartGallery w:val="Table of Contents"/>
          <w:docPartUnique w:val="1"/>
        </w:docPartObj>
      </w:sdtPr>
      <w:sdtContent>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m1sr64hhqex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c8ye93kg9s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 01</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b0v5hh6hyy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tab/>
              <w:t xml:space="preserve">Introduction</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z2bd7opret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tab/>
              <w:t xml:space="preserve">Financial Ratio Analysis</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6srkvhq64i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tab/>
              <w:t xml:space="preserve">Limitations of Ratio Analysis</w:t>
              <w:tab/>
              <w:t xml:space="preserve">20</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up8vwv37t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tab/>
              <w:t xml:space="preserve">Recommendations to Improve Financial Management</w:t>
              <w:tab/>
              <w:t xml:space="preserve">20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bz7zf57p5w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 02</w:t>
              <w:tab/>
              <w:t xml:space="preserve">21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4iqqa1d6dy8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Executive Summary</w:t>
              <w:tab/>
              <w:t xml:space="preserve">21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bl1bqcbwrb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Introduction</w:t>
              <w:tab/>
              <w:t xml:space="preserve">21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41wbh0vr2w2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3.0 Financial Evaluation of Investment Options</w:t>
              <w:tab/>
              <w:t xml:space="preserve">21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auq5b9ah40d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Data and Assumptions</w:t>
              <w:tab/>
              <w:t xml:space="preserve">21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qrfrrzg2o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Project A NPV Calculation</w:t>
              <w:tab/>
              <w:t xml:space="preserve">22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qbar9z7c4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Project B NPV Calculation</w:t>
              <w:tab/>
              <w:t xml:space="preserve">23</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g7z703yyiz6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Project C NPV Calculation</w:t>
              <w:tab/>
              <w:t xml:space="preserve">24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tdcsbmvngxq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Approximate IRR for Project B</w:t>
              <w:tab/>
              <w:t xml:space="preserve">25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cikuilygq3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Management Interpretation</w:t>
              <w:tab/>
              <w:t xml:space="preserve">27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iw1s5a7azr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Conclusion and funding Recommendation.</w:t>
              <w:tab/>
              <w:t xml:space="preserve">29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j9g446ck3k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31</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lmiomkxs1s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Appendices</w:t>
              <w:tab/>
              <w:t xml:space="preserve">37</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qayrl81vevl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A: Income Statement</w:t>
              <w:tab/>
              <w:t xml:space="preserve">37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e9r8mj5r3x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B: Balance Sheet</w:t>
              <w:tab/>
              <w:t xml:space="preserve">38</w:t>
            </w:r>
          </w:hyperlink>
          <w:r w:rsidDel="00000000" w:rsidR="00000000" w:rsidRPr="00000000">
            <w:rPr>
              <w:rtl w:val="0"/>
            </w:rPr>
          </w:r>
        </w:p>
        <w:p w:rsidR="00000000" w:rsidDel="00000000" w:rsidP="00000000" w:rsidRDefault="00000000" w:rsidRPr="00000000" w14:paraId="0000003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spacing w:line="259" w:lineRule="auto"/>
        <w:jc w:val="left"/>
        <w:rPr>
          <w:b w:val="1"/>
          <w:bCs w:val="1"/>
          <w:color w:val="0f476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rFonts w:ascii="Times New Roman" w:cs="Times New Roman" w:eastAsia="Times New Roman" w:hAnsi="Times New Roman"/>
        </w:rPr>
      </w:pPr>
      <w:bookmarkStart w:colFirst="0" w:colLast="0" w:name="_6c8ye93kg9sj" w:id="1"/>
      <w:bookmarkEnd w:id="1"/>
      <w:r w:rsidDel="00000000" w:rsidR="00000000" w:rsidRPr="00000000">
        <w:rPr>
          <w:rFonts w:ascii="Times New Roman" w:cs="Times New Roman" w:eastAsia="Times New Roman" w:hAnsi="Times New Roman"/>
          <w:rtl w:val="0"/>
        </w:rPr>
        <w:t xml:space="preserve">Part 01</w:t>
      </w:r>
    </w:p>
    <w:p w:rsidR="00000000" w:rsidDel="00000000" w:rsidP="00000000" w:rsidRDefault="00000000" w:rsidRPr="00000000" w14:paraId="0000003E">
      <w:pPr>
        <w:pStyle w:val="Heading2"/>
        <w:numPr>
          <w:ilvl w:val="0"/>
          <w:numId w:val="10"/>
        </w:numPr>
        <w:ind w:left="720" w:hanging="360"/>
        <w:rPr>
          <w:rFonts w:ascii="Times New Roman" w:cs="Times New Roman" w:eastAsia="Times New Roman" w:hAnsi="Times New Roman"/>
        </w:rPr>
      </w:pPr>
      <w:bookmarkStart w:colFirst="0" w:colLast="0" w:name="_ob0v5hh6hyyo" w:id="2"/>
      <w:bookmarkEnd w:id="2"/>
      <w:r w:rsidDel="00000000" w:rsidR="00000000" w:rsidRPr="00000000">
        <w:rPr>
          <w:rFonts w:ascii="Times New Roman" w:cs="Times New Roman" w:eastAsia="Times New Roman" w:hAnsi="Times New Roman"/>
          <w:rtl w:val="0"/>
        </w:rPr>
        <w:t xml:space="preserve">Introduction </w:t>
      </w:r>
    </w:p>
    <w:p w:rsidR="00000000" w:rsidDel="00000000" w:rsidP="00000000" w:rsidRDefault="00000000" w:rsidRPr="00000000" w14:paraId="0000003F">
      <w:pPr>
        <w:rPr/>
      </w:pPr>
      <w:r w:rsidDel="00000000" w:rsidR="00000000" w:rsidRPr="00000000">
        <w:rPr>
          <w:rtl w:val="0"/>
        </w:rPr>
        <w:t xml:space="preserve">Shell plc is a multinational energy corporation that is listed on the London Stock Exchange and included in the FTSE 100 Index (Yahoo Finance, 2025). The company is involved in the international energy business, the scope of which includes the exploration and production of oil and gas, integrated gas, downstream business, and the development of renewable and low-carbon energy solutions (which continuously increase). The energy sector is very volatile and very capital-intensive, and the output of performance is determined by the dynamics of oil and gas prices, geopolitics, regulatory risks and the move towards cleaner energy globally. These contribute to the financial risk and uncertainty, and therefore financial analysis is very crucial in assessing performance, resiliency and long-term sustainability. The report was commissioned by the directors of Shell plc to assess the financial performance and position of the company in the recent past (Zhou, 2025). The aim of the analysis is to assist informed decision-making of managers and strategies by determining important financial strengths, weaknesses, and trends. Ratio analysis is the key tool that is used in the report. Ratios have been calculated and analysed in five major categories, including profitability, liquidity, efficiency, gearing, and investor ratios. This systematic method allows conducting a coherent evaluation of financial performance and comparison between periods. The analysis is conducted on the basis of the two consecutive financial years, and the data obtained is utilised on the basis of the published annual reports and consolidated financial statements of Shell plc that can be found in the public field. Financial ratios can be used to indicate trends, measure the effectiveness of the operations and also measure the financial stability through the standardisation of the accounting information (CFI Team, 2023). Nonetheless, they should be taken carefully and contextually. This report will continue with the ratio analysis, limitations of the ratio analysis and recommendations to better manage the financial management of Shell plc.</w:t>
      </w: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2"/>
        <w:numPr>
          <w:ilvl w:val="0"/>
          <w:numId w:val="10"/>
        </w:numPr>
        <w:ind w:left="720" w:hanging="360"/>
        <w:rPr>
          <w:rFonts w:ascii="Times New Roman" w:cs="Times New Roman" w:eastAsia="Times New Roman" w:hAnsi="Times New Roman"/>
        </w:rPr>
      </w:pPr>
      <w:bookmarkStart w:colFirst="0" w:colLast="0" w:name="_8z2bd7opretj" w:id="3"/>
      <w:bookmarkEnd w:id="3"/>
      <w:r w:rsidDel="00000000" w:rsidR="00000000" w:rsidRPr="00000000">
        <w:rPr>
          <w:rFonts w:ascii="Times New Roman" w:cs="Times New Roman" w:eastAsia="Times New Roman" w:hAnsi="Times New Roman"/>
          <w:rtl w:val="0"/>
        </w:rPr>
        <w:t xml:space="preserve">Financial Ratio Analysis </w:t>
      </w:r>
    </w:p>
    <w:p w:rsidR="00000000" w:rsidDel="00000000" w:rsidP="00000000" w:rsidRDefault="00000000" w:rsidRPr="00000000" w14:paraId="0000004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PROFITABILITY RATIOS</w:t>
      </w:r>
    </w:p>
    <w:p w:rsidR="00000000" w:rsidDel="00000000" w:rsidP="00000000" w:rsidRDefault="00000000" w:rsidRPr="00000000" w14:paraId="00000042">
      <w:pPr>
        <w:rPr/>
      </w:pPr>
      <w:r w:rsidDel="00000000" w:rsidR="00000000" w:rsidRPr="00000000">
        <w:rPr>
          <w:rtl w:val="0"/>
        </w:rPr>
        <w:t xml:space="preserve">Profitability ratios are used to determine the capacity of a firm to generate profit in comparison to its revenue, assets, and capital used and show how effectively the management transforms business activities into profit (Asiani and Rahayu, 2024).</w:t>
      </w:r>
    </w:p>
    <w:p w:rsidR="00000000" w:rsidDel="00000000" w:rsidP="00000000" w:rsidRDefault="00000000" w:rsidRPr="00000000" w14:paraId="00000043">
      <w:pPr>
        <w:rPr/>
      </w:pPr>
      <w:r w:rsidDel="00000000" w:rsidR="00000000" w:rsidRPr="00000000">
        <w:rPr>
          <w:b w:val="1"/>
          <w:bCs w:val="1"/>
          <w:rtl w:val="0"/>
        </w:rPr>
        <w:t xml:space="preserve">1. Gross Profit Margin</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45">
      <w:pPr>
        <w:jc w:val="center"/>
        <w:rPr>
          <w:rFonts w:ascii="Cambria Math" w:cs="Cambria Math" w:eastAsia="Cambria Math" w:hAnsi="Cambria Math"/>
        </w:rPr>
      </w:pPr>
      <m:oMath>
        <m:r>
          <w:rPr/>
          <m:t xml:space="preserve">Gross Profit Margin</m:t>
        </m:r>
        <m:r>
          <w:rPr>
            <w:rFonts w:ascii="Cambria Math" w:cs="Cambria Math" w:eastAsia="Cambria Math" w:hAnsi="Cambria Math"/>
          </w:rPr>
          <m:t xml:space="preserve">=</m:t>
        </m:r>
        <m:f>
          <m:fPr>
            <m:ctrlPr>
              <w:rPr/>
            </m:ctrlPr>
          </m:fPr>
          <m:num>
            <m:r>
              <w:rPr/>
              <m:t xml:space="preserve">Gross Profit</m:t>
            </m:r>
          </m:num>
          <m:den>
            <m:r>
              <w:rPr/>
              <m:t xml:space="preserve">Revenue</m:t>
            </m:r>
          </m:den>
        </m:f>
        <m:r>
          <w:rPr>
            <w:rFonts w:ascii="Cambria Math" w:cs="Cambria Math" w:eastAsia="Cambria Math" w:hAnsi="Cambria Math"/>
          </w:rPr>
          <m:t xml:space="preserve">×100</m:t>
        </m:r>
      </m:oMath>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47">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96,192</m:t>
            </m:r>
          </m:num>
          <m:den>
            <m:r>
              <w:rPr>
                <w:rFonts w:ascii="Cambria Math" w:cs="Cambria Math" w:eastAsia="Cambria Math" w:hAnsi="Cambria Math"/>
              </w:rPr>
              <m:t xml:space="preserve">284,312</m:t>
            </m:r>
          </m:den>
        </m:f>
        <m:r>
          <w:rPr>
            <w:rFonts w:ascii="Cambria Math" w:cs="Cambria Math" w:eastAsia="Cambria Math" w:hAnsi="Cambria Math"/>
          </w:rPr>
          <m:t xml:space="preserve">×100=33.83%</m:t>
        </m:r>
      </m:oMath>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49">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103,737</m:t>
            </m:r>
          </m:num>
          <m:den>
            <m:r>
              <w:rPr>
                <w:rFonts w:ascii="Cambria Math" w:cs="Cambria Math" w:eastAsia="Cambria Math" w:hAnsi="Cambria Math"/>
              </w:rPr>
              <m:t xml:space="preserve">316,620</m:t>
            </m:r>
          </m:den>
        </m:f>
        <m:r>
          <w:rPr>
            <w:rFonts w:ascii="Cambria Math" w:cs="Cambria Math" w:eastAsia="Cambria Math" w:hAnsi="Cambria Math"/>
          </w:rPr>
          <m:t xml:space="preserve">×100=32.76%</m:t>
        </m:r>
      </m:oMath>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 2024, gross profit margin has improved slightly, and it is now 33.83</w:t>
      </w:r>
      <w:r w:rsidDel="00000000" w:rsidR="00000000" w:rsidRPr="00000000">
        <w:rPr>
          <w:b w:val="0"/>
          <w:bCs w:val="0"/>
          <w:rtl w:val="0"/>
        </w:rPr>
        <w:t xml:space="preserve">% </w:t>
      </w:r>
      <w:r w:rsidDel="00000000" w:rsidR="00000000" w:rsidRPr="00000000">
        <w:rPr>
          <w:rtl w:val="0"/>
        </w:rPr>
        <w:t xml:space="preserve">compared to the prior 32.76</w:t>
      </w:r>
      <w:r w:rsidDel="00000000" w:rsidR="00000000" w:rsidRPr="00000000">
        <w:rPr>
          <w:b w:val="0"/>
          <w:bCs w:val="0"/>
          <w:rtl w:val="0"/>
        </w:rPr>
        <w:t xml:space="preserve">% </w:t>
      </w:r>
      <w:r w:rsidDel="00000000" w:rsidR="00000000" w:rsidRPr="00000000">
        <w:rPr>
          <w:rtl w:val="0"/>
        </w:rPr>
        <w:t xml:space="preserve">in 2023, which implies a slight improvement in Shell plc's direct control of direct production costs of the company as compared to its revenue. This could be an indication of better operational efficiency, control of costs, or positive energy prices and refining margins in the year. The growth is, however, not that high, and it might be, to a large extent, because of the external market situations and not solely because of internal performance. Also, the gross profit margin does not cover operating and financing expenses, making it only useful when used in isolation (Maverick, 2019). Hence, it must be viewed in conjunction with other profitability and efficiency ratios to have a balanced review.</w:t>
      </w:r>
    </w:p>
    <w:p w:rsidR="00000000" w:rsidDel="00000000" w:rsidP="00000000" w:rsidRDefault="00000000" w:rsidRPr="00000000" w14:paraId="0000004B">
      <w:pPr>
        <w:rPr>
          <w:sz w:val="27"/>
          <w:szCs w:val="27"/>
        </w:rPr>
      </w:pPr>
      <w:r w:rsidDel="00000000" w:rsidR="00000000" w:rsidRPr="00000000">
        <w:rPr>
          <w:b w:val="1"/>
          <w:bCs w:val="1"/>
          <w:rtl w:val="0"/>
        </w:rPr>
        <w:t xml:space="preserve">2. Operating Profit Margin</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4D">
      <w:pPr>
        <w:jc w:val="center"/>
        <w:rPr>
          <w:rFonts w:ascii="Cambria Math" w:cs="Cambria Math" w:eastAsia="Cambria Math" w:hAnsi="Cambria Math"/>
        </w:rPr>
      </w:pPr>
      <m:oMath>
        <m:r>
          <w:rPr/>
          <m:t xml:space="preserve">Operating Profit Margin</m:t>
        </m:r>
        <m:r>
          <w:rPr>
            <w:rFonts w:ascii="Cambria Math" w:cs="Cambria Math" w:eastAsia="Cambria Math" w:hAnsi="Cambria Math"/>
          </w:rPr>
          <m:t xml:space="preserve">=</m:t>
        </m:r>
        <m:f>
          <m:fPr>
            <m:ctrlPr>
              <w:rPr/>
            </m:ctrlPr>
          </m:fPr>
          <m:num>
            <m:r>
              <w:rPr/>
              <m:t xml:space="preserve">EBIT</m:t>
            </m:r>
          </m:num>
          <m:den>
            <m:r>
              <w:rPr/>
              <m:t xml:space="preserve">Revenue</m:t>
            </m:r>
          </m:den>
        </m:f>
        <m:r>
          <w:rPr>
            <w:rFonts w:ascii="Cambria Math" w:cs="Cambria Math" w:eastAsia="Cambria Math" w:hAnsi="Cambria Math"/>
          </w:rPr>
          <m:t xml:space="preserve">×100</m:t>
        </m:r>
      </m:oMath>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4F">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29,922</m:t>
            </m:r>
          </m:num>
          <m:den>
            <m:r>
              <w:rPr>
                <w:rFonts w:ascii="Cambria Math" w:cs="Cambria Math" w:eastAsia="Cambria Math" w:hAnsi="Cambria Math"/>
              </w:rPr>
              <m:t xml:space="preserve">284,312</m:t>
            </m:r>
          </m:den>
        </m:f>
        <m:r>
          <w:rPr>
            <w:rFonts w:ascii="Cambria Math" w:cs="Cambria Math" w:eastAsia="Cambria Math" w:hAnsi="Cambria Math"/>
          </w:rPr>
          <m:t xml:space="preserve">×100=10.52%</m:t>
        </m:r>
      </m:oMath>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51">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32,627</m:t>
            </m:r>
          </m:num>
          <m:den>
            <m:r>
              <w:rPr>
                <w:rFonts w:ascii="Cambria Math" w:cs="Cambria Math" w:eastAsia="Cambria Math" w:hAnsi="Cambria Math"/>
              </w:rPr>
              <m:t xml:space="preserve">316,620</m:t>
            </m:r>
          </m:den>
        </m:f>
        <m:r>
          <w:rPr>
            <w:rFonts w:ascii="Cambria Math" w:cs="Cambria Math" w:eastAsia="Cambria Math" w:hAnsi="Cambria Math"/>
          </w:rPr>
          <m:t xml:space="preserve">×100=10.30%</m:t>
        </m:r>
      </m:oMath>
      <w:r w:rsidDel="00000000" w:rsidR="00000000" w:rsidRPr="00000000">
        <w:rPr>
          <w:rtl w:val="0"/>
        </w:rPr>
      </w:r>
    </w:p>
    <w:p w:rsidR="00000000" w:rsidDel="00000000" w:rsidP="00000000" w:rsidRDefault="00000000" w:rsidRPr="00000000" w14:paraId="00000052">
      <w:pPr>
        <w:rPr>
          <w:b w:val="0"/>
          <w:bCs w:val="0"/>
        </w:rPr>
      </w:pPr>
      <w:r w:rsidDel="00000000" w:rsidR="00000000" w:rsidRPr="00000000">
        <w:rPr>
          <w:b w:val="0"/>
          <w:bCs w:val="0"/>
          <w:rtl w:val="0"/>
        </w:rPr>
        <w:t xml:space="preserve">Operating profit margin went up a little, as it was 10.30% operating profit margin in 2023 before it improved to 10.52% in 2024, indicating a slight improvement in the operational efficiency and cost control beyond direct production costs at Shell plc</w:t>
      </w:r>
      <w:r w:rsidDel="00000000" w:rsidR="00000000" w:rsidRPr="00000000">
        <w:rPr>
          <w:rtl w:val="0"/>
        </w:rPr>
        <w:t xml:space="preserve"> </w:t>
      </w:r>
      <w:r w:rsidDel="00000000" w:rsidR="00000000" w:rsidRPr="00000000">
        <w:rPr>
          <w:b w:val="0"/>
          <w:bCs w:val="0"/>
          <w:rtl w:val="0"/>
        </w:rPr>
        <w:t xml:space="preserve">(Shell PLC, 2025). This could be associated with the stricter control of operating costs and the performance in the business segments that had higher margins. The improvement is, however, not much and likely to be short-lived, considering the fluctuations in the energy markets as well as increasing operating expenses. Moreover, operating margin fails to capture the financing and taxation effects and thus limits its applicability to measure overall profitability.</w:t>
      </w:r>
    </w:p>
    <w:p w:rsidR="00000000" w:rsidDel="00000000" w:rsidP="00000000" w:rsidRDefault="00000000" w:rsidRPr="00000000" w14:paraId="00000053">
      <w:pPr>
        <w:rPr/>
      </w:pPr>
      <w:r w:rsidDel="00000000" w:rsidR="00000000" w:rsidRPr="00000000">
        <w:rPr>
          <w:b w:val="1"/>
          <w:bCs w:val="1"/>
          <w:rtl w:val="0"/>
        </w:rPr>
        <w:t xml:space="preserve">3. Net Profit Margin</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55">
      <w:pPr>
        <w:jc w:val="center"/>
        <w:rPr>
          <w:rFonts w:ascii="Cambria Math" w:cs="Cambria Math" w:eastAsia="Cambria Math" w:hAnsi="Cambria Math"/>
        </w:rPr>
      </w:pPr>
      <m:oMath>
        <m:r>
          <w:rPr/>
          <m:t xml:space="preserve">Net Profit Margin</m:t>
        </m:r>
        <m:r>
          <w:rPr>
            <w:rFonts w:ascii="Cambria Math" w:cs="Cambria Math" w:eastAsia="Cambria Math" w:hAnsi="Cambria Math"/>
          </w:rPr>
          <m:t xml:space="preserve">=</m:t>
        </m:r>
        <m:f>
          <m:fPr>
            <m:ctrlPr>
              <w:rPr/>
            </m:ctrlPr>
          </m:fPr>
          <m:num>
            <m:r>
              <w:rPr/>
              <m:t xml:space="preserve">Net Profit</m:t>
            </m:r>
          </m:num>
          <m:den>
            <m:r>
              <w:rPr/>
              <m:t xml:space="preserve">Revenue</m:t>
            </m:r>
          </m:den>
        </m:f>
        <m:r>
          <w:rPr>
            <w:rFonts w:ascii="Cambria Math" w:cs="Cambria Math" w:eastAsia="Cambria Math" w:hAnsi="Cambria Math"/>
          </w:rPr>
          <m:t xml:space="preserve">×100</m:t>
        </m:r>
      </m:oMath>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57">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16,521</m:t>
            </m:r>
          </m:num>
          <m:den>
            <m:r>
              <w:rPr>
                <w:rFonts w:ascii="Cambria Math" w:cs="Cambria Math" w:eastAsia="Cambria Math" w:hAnsi="Cambria Math"/>
              </w:rPr>
              <m:t xml:space="preserve">284,312</m:t>
            </m:r>
          </m:den>
        </m:f>
        <m:r>
          <w:rPr>
            <w:rFonts w:ascii="Cambria Math" w:cs="Cambria Math" w:eastAsia="Cambria Math" w:hAnsi="Cambria Math"/>
          </w:rPr>
          <m:t xml:space="preserve">×100=5.81%</m:t>
        </m:r>
      </m:oMath>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59">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19,636</m:t>
            </m:r>
          </m:num>
          <m:den>
            <m:r>
              <w:rPr>
                <w:rFonts w:ascii="Cambria Math" w:cs="Cambria Math" w:eastAsia="Cambria Math" w:hAnsi="Cambria Math"/>
              </w:rPr>
              <m:t xml:space="preserve">316,620</m:t>
            </m:r>
          </m:den>
        </m:f>
        <m:r>
          <w:rPr>
            <w:rFonts w:ascii="Cambria Math" w:cs="Cambria Math" w:eastAsia="Cambria Math" w:hAnsi="Cambria Math"/>
          </w:rPr>
          <m:t xml:space="preserve">×100=6.20%</m:t>
        </m:r>
      </m:oMath>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This was a drop in net profit margin, which was 6.20</w:t>
      </w:r>
      <w:r w:rsidDel="00000000" w:rsidR="00000000" w:rsidRPr="00000000">
        <w:rPr>
          <w:b w:val="0"/>
          <w:bCs w:val="0"/>
          <w:rtl w:val="0"/>
        </w:rPr>
        <w:t xml:space="preserve">% </w:t>
      </w:r>
      <w:r w:rsidDel="00000000" w:rsidR="00000000" w:rsidRPr="00000000">
        <w:rPr>
          <w:rtl w:val="0"/>
        </w:rPr>
        <w:t xml:space="preserve">in 2023 and 5.81% in 2024, showing that Shell plc's overall profitability has decreased even though operating performance is intact (AInvest, 2023). Such a reduction can be explained by increases in taxation, the cost of financing or even special expenses in the current year. It is also an indication of the impact of decreased net income in comparison with revenue. The net profit margin is vulnerable to non-operating elements and accounting modifications, thus undermining comparability. Thus, the alteration of this ratio must be evaluated together with the operating profitability and cost structure trends.</w:t>
      </w:r>
    </w:p>
    <w:p w:rsidR="00000000" w:rsidDel="00000000" w:rsidP="00000000" w:rsidRDefault="00000000" w:rsidRPr="00000000" w14:paraId="0000005B">
      <w:pPr>
        <w:rPr>
          <w:sz w:val="27"/>
          <w:szCs w:val="27"/>
        </w:rPr>
      </w:pPr>
      <w:r w:rsidDel="00000000" w:rsidR="00000000" w:rsidRPr="00000000">
        <w:rPr>
          <w:b w:val="1"/>
          <w:bCs w:val="1"/>
          <w:rtl w:val="0"/>
        </w:rPr>
        <w:t xml:space="preserve">4. Return on Assets (ROA)</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5D">
      <w:pPr>
        <w:jc w:val="center"/>
        <w:rPr>
          <w:rFonts w:ascii="Cambria Math" w:cs="Cambria Math" w:eastAsia="Cambria Math" w:hAnsi="Cambria Math"/>
        </w:rPr>
      </w:pPr>
      <m:oMath>
        <m:r>
          <w:rPr/>
          <m:t xml:space="preserve">ROA</m:t>
        </m:r>
        <m:r>
          <w:rPr>
            <w:rFonts w:ascii="Cambria Math" w:cs="Cambria Math" w:eastAsia="Cambria Math" w:hAnsi="Cambria Math"/>
          </w:rPr>
          <m:t xml:space="preserve">=</m:t>
        </m:r>
        <m:f>
          <m:fPr>
            <m:ctrlPr>
              <w:rPr/>
            </m:ctrlPr>
          </m:fPr>
          <m:num>
            <m:r>
              <w:rPr/>
              <m:t xml:space="preserve">Net Profit</m:t>
            </m:r>
          </m:num>
          <m:den>
            <m:r>
              <w:rPr/>
              <m:t xml:space="preserve">Total Assets</m:t>
            </m:r>
          </m:den>
        </m:f>
        <m:r>
          <w:rPr>
            <w:rFonts w:ascii="Cambria Math" w:cs="Cambria Math" w:eastAsia="Cambria Math" w:hAnsi="Cambria Math"/>
          </w:rPr>
          <m:t xml:space="preserve">×100</m:t>
        </m:r>
      </m:oMath>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5F">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16,521</m:t>
            </m:r>
          </m:num>
          <m:den>
            <m:r>
              <w:rPr>
                <w:rFonts w:ascii="Cambria Math" w:cs="Cambria Math" w:eastAsia="Cambria Math" w:hAnsi="Cambria Math"/>
              </w:rPr>
              <m:t xml:space="preserve">387,609</m:t>
            </m:r>
          </m:den>
        </m:f>
        <m:r>
          <w:rPr>
            <w:rFonts w:ascii="Cambria Math" w:cs="Cambria Math" w:eastAsia="Cambria Math" w:hAnsi="Cambria Math"/>
          </w:rPr>
          <m:t xml:space="preserve">×100=4.26%</m:t>
        </m:r>
      </m:oMath>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61">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19,636</m:t>
            </m:r>
          </m:num>
          <m:den>
            <m:r>
              <w:rPr>
                <w:rFonts w:ascii="Cambria Math" w:cs="Cambria Math" w:eastAsia="Cambria Math" w:hAnsi="Cambria Math"/>
              </w:rPr>
              <m:t xml:space="preserve">406,270</m:t>
            </m:r>
          </m:den>
        </m:f>
        <m:r>
          <w:rPr>
            <w:rFonts w:ascii="Cambria Math" w:cs="Cambria Math" w:eastAsia="Cambria Math" w:hAnsi="Cambria Math"/>
          </w:rPr>
          <m:t xml:space="preserve">×100=4.83%</m:t>
        </m:r>
      </m:oMath>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ROA decreased to 4.26</w:t>
      </w:r>
      <w:r w:rsidDel="00000000" w:rsidR="00000000" w:rsidRPr="00000000">
        <w:rPr>
          <w:b w:val="0"/>
          <w:bCs w:val="0"/>
          <w:rtl w:val="0"/>
        </w:rPr>
        <w:t xml:space="preserve">% </w:t>
      </w:r>
      <w:r w:rsidDel="00000000" w:rsidR="00000000" w:rsidRPr="00000000">
        <w:rPr>
          <w:rtl w:val="0"/>
        </w:rPr>
        <w:t xml:space="preserve">in 2024 as compared to 4.83</w:t>
      </w:r>
      <w:r w:rsidDel="00000000" w:rsidR="00000000" w:rsidRPr="00000000">
        <w:rPr>
          <w:b w:val="0"/>
          <w:bCs w:val="0"/>
          <w:rtl w:val="0"/>
        </w:rPr>
        <w:t xml:space="preserve">% </w:t>
      </w:r>
      <w:r w:rsidDel="00000000" w:rsidR="00000000" w:rsidRPr="00000000">
        <w:rPr>
          <w:rtl w:val="0"/>
        </w:rPr>
        <w:t xml:space="preserve">in 2023, which means that Shell plc realised less profit on the asset base in 2024 than in 2023 (CFI , 2022). This could be as a result of the low net income as compared to the relatively high total asset which represents the capital-intensive nature of the energy sector. The fall is an indication of inefficient usage of assets. Nevertheless, large non-current assets and accounting valuations may misrepresent ROA, and it is therefore not suitable for comparing performance across time periods in asset-intensive industries (Chidimma Umeaduma, 2020).</w:t>
      </w:r>
    </w:p>
    <w:p w:rsidR="00000000" w:rsidDel="00000000" w:rsidP="00000000" w:rsidRDefault="00000000" w:rsidRPr="00000000" w14:paraId="00000063">
      <w:pPr>
        <w:rPr>
          <w:sz w:val="27"/>
          <w:szCs w:val="27"/>
        </w:rPr>
      </w:pPr>
      <w:r w:rsidDel="00000000" w:rsidR="00000000" w:rsidRPr="00000000">
        <w:rPr>
          <w:b w:val="1"/>
          <w:bCs w:val="1"/>
          <w:rtl w:val="0"/>
        </w:rPr>
        <w:t xml:space="preserve">5. Return on Equity (ROE)</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65">
      <w:pPr>
        <w:jc w:val="center"/>
        <w:rPr>
          <w:rFonts w:ascii="Cambria Math" w:cs="Cambria Math" w:eastAsia="Cambria Math" w:hAnsi="Cambria Math"/>
        </w:rPr>
      </w:pPr>
      <m:oMath>
        <m:r>
          <w:rPr/>
          <m:t xml:space="preserve">ROE</m:t>
        </m:r>
        <m:r>
          <w:rPr>
            <w:rFonts w:ascii="Cambria Math" w:cs="Cambria Math" w:eastAsia="Cambria Math" w:hAnsi="Cambria Math"/>
          </w:rPr>
          <m:t xml:space="preserve">=</m:t>
        </m:r>
        <m:f>
          <m:fPr>
            <m:ctrlPr>
              <w:rPr/>
            </m:ctrlPr>
          </m:fPr>
          <m:num>
            <m:r>
              <w:rPr/>
              <m:t xml:space="preserve">Profit attributable to shareholders</m:t>
            </m:r>
          </m:num>
          <m:den>
            <m:r>
              <w:rPr/>
              <m:t xml:space="preserve">Equity attributable to shareholders</m:t>
            </m:r>
          </m:den>
        </m:f>
        <m:r>
          <w:rPr>
            <w:rFonts w:ascii="Cambria Math" w:cs="Cambria Math" w:eastAsia="Cambria Math" w:hAnsi="Cambria Math"/>
          </w:rPr>
          <m:t xml:space="preserve">×100</m:t>
        </m:r>
      </m:oMath>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67">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16,094</m:t>
            </m:r>
          </m:num>
          <m:den>
            <m:r>
              <w:rPr>
                <w:rFonts w:ascii="Cambria Math" w:cs="Cambria Math" w:eastAsia="Cambria Math" w:hAnsi="Cambria Math"/>
              </w:rPr>
              <m:t xml:space="preserve">178,307</m:t>
            </m:r>
          </m:den>
        </m:f>
        <m:r>
          <w:rPr>
            <w:rFonts w:ascii="Cambria Math" w:cs="Cambria Math" w:eastAsia="Cambria Math" w:hAnsi="Cambria Math"/>
          </w:rPr>
          <m:t xml:space="preserve">×100=9.03%</m:t>
        </m:r>
      </m:oMath>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69">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19,359</m:t>
            </m:r>
          </m:num>
          <m:den>
            <m:r>
              <w:rPr>
                <w:rFonts w:ascii="Cambria Math" w:cs="Cambria Math" w:eastAsia="Cambria Math" w:hAnsi="Cambria Math"/>
              </w:rPr>
              <m:t xml:space="preserve">186,607</m:t>
            </m:r>
          </m:den>
        </m:f>
        <m:r>
          <w:rPr>
            <w:rFonts w:ascii="Cambria Math" w:cs="Cambria Math" w:eastAsia="Cambria Math" w:hAnsi="Cambria Math"/>
          </w:rPr>
          <m:t xml:space="preserve">×100=10.37%</m:t>
        </m:r>
      </m:oMath>
      <w:r w:rsidDel="00000000" w:rsidR="00000000" w:rsidRPr="00000000">
        <w:rPr>
          <w:rtl w:val="0"/>
        </w:rPr>
      </w:r>
    </w:p>
    <w:p w:rsidR="00000000" w:rsidDel="00000000" w:rsidP="00000000" w:rsidRDefault="00000000" w:rsidRPr="00000000" w14:paraId="0000006A">
      <w:pPr>
        <w:rPr>
          <w:b w:val="1"/>
          <w:bCs w:val="1"/>
        </w:rPr>
      </w:pPr>
      <w:r w:rsidDel="00000000" w:rsidR="00000000" w:rsidRPr="00000000">
        <w:rPr>
          <w:rtl w:val="0"/>
        </w:rPr>
        <w:t xml:space="preserve">Compared to 2023, which had 10.37% Return on Equity, 2024 yielded 9.03%, showing that there was a decrease in yields to shareholders. The decline is mainly caused by decreased profit that can be attributed to the shareholders in the year 2024, even though the equity base is relatively stable (Fernando, 2021). The decline implies low shareholder value generation at the time. Changes in capital structure and share buybacks, however, can affect ROE and can distort underlying performance. Hence, ROE is supposed to be seen in association with profitability and gearing ratios to be able to evaluate it.</w:t>
      </w:r>
      <w:r w:rsidDel="00000000" w:rsidR="00000000" w:rsidRPr="00000000">
        <w:rPr>
          <w:rtl w:val="0"/>
        </w:rPr>
      </w:r>
    </w:p>
    <w:p w:rsidR="00000000" w:rsidDel="00000000" w:rsidP="00000000" w:rsidRDefault="00000000" w:rsidRPr="00000000" w14:paraId="0000006B">
      <w:pPr>
        <w:rPr>
          <w:sz w:val="27"/>
          <w:szCs w:val="27"/>
        </w:rPr>
      </w:pPr>
      <w:r w:rsidDel="00000000" w:rsidR="00000000" w:rsidRPr="00000000">
        <w:rPr>
          <w:b w:val="1"/>
          <w:bCs w:val="1"/>
          <w:rtl w:val="0"/>
        </w:rPr>
        <w:t xml:space="preserve">6. Return on Capital Employed (ROCE)</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6D">
      <w:pPr>
        <w:jc w:val="center"/>
        <w:rPr/>
      </w:pPr>
      <m:oMath>
        <m:r>
          <w:rPr/>
          <m:t xml:space="preserve">ROCE</m:t>
        </m:r>
        <m:r>
          <w:rPr>
            <w:rFonts w:ascii="Cambria Math" w:cs="Cambria Math" w:eastAsia="Cambria Math" w:hAnsi="Cambria Math"/>
          </w:rPr>
          <m:t xml:space="preserve">=</m:t>
        </m:r>
        <m:f>
          <m:fPr>
            <m:ctrlPr>
              <w:rPr/>
            </m:ctrlPr>
          </m:fPr>
          <m:num>
            <m:r>
              <w:rPr/>
              <m:t xml:space="preserve">EBIT</m:t>
            </m:r>
          </m:num>
          <m:den>
            <m:r>
              <w:rPr/>
              <m:t xml:space="preserve">Capital Employed</m:t>
            </m:r>
          </m:den>
        </m:f>
        <m:r>
          <w:rPr>
            <w:rFonts w:ascii="Cambria Math" w:cs="Cambria Math" w:eastAsia="Cambria Math" w:hAnsi="Cambria Math"/>
          </w:rPr>
          <m:t xml:space="preserve">×100</m:t>
        </m:r>
        <m:r>
          <w:rPr/>
          <m:t xml:space="preserve">Capital Employed</m:t>
        </m:r>
        <m:r>
          <w:rPr>
            <w:rFonts w:ascii="Cambria Math" w:cs="Cambria Math" w:eastAsia="Cambria Math" w:hAnsi="Cambria Math"/>
          </w:rPr>
          <m:t xml:space="preserve">=</m:t>
        </m:r>
        <m:r>
          <w:rPr/>
          <m:t xml:space="preserve">Total Assets</m:t>
        </m:r>
        <m:r>
          <w:rPr>
            <w:rFonts w:ascii="Cambria Math" w:cs="Cambria Math" w:eastAsia="Cambria Math" w:hAnsi="Cambria Math"/>
          </w:rPr>
          <m:t xml:space="preserve">-</m:t>
        </m:r>
        <m:r>
          <w:rPr/>
          <m:t xml:space="preserve">Current Liabilities</m:t>
        </m:r>
      </m:oMath>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6F">
      <w:pPr>
        <w:jc w:val="center"/>
        <w:rPr>
          <w:rFonts w:ascii="Cambria Math" w:cs="Cambria Math" w:eastAsia="Cambria Math" w:hAnsi="Cambria Math"/>
        </w:rPr>
      </w:pPr>
      <m:oMath>
        <m:r>
          <w:rPr/>
          <m:t xml:space="preserve">Capital Employed</m:t>
        </m:r>
        <m:r>
          <w:rPr>
            <w:rFonts w:ascii="Cambria Math" w:cs="Cambria Math" w:eastAsia="Cambria Math" w:hAnsi="Cambria Math"/>
          </w:rPr>
          <m:t xml:space="preserve">=387,609-88,831=298,778</m:t>
        </m:r>
        <m:r>
          <w:rPr/>
          <m:t xml:space="preserve">ROCE</m:t>
        </m:r>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29,922</m:t>
            </m:r>
          </m:num>
          <m:den>
            <m:r>
              <w:rPr>
                <w:rFonts w:ascii="Cambria Math" w:cs="Cambria Math" w:eastAsia="Cambria Math" w:hAnsi="Cambria Math"/>
              </w:rPr>
              <m:t xml:space="preserve">298,778</m:t>
            </m:r>
          </m:den>
        </m:f>
        <m:r>
          <w:rPr>
            <w:rFonts w:ascii="Cambria Math" w:cs="Cambria Math" w:eastAsia="Cambria Math" w:hAnsi="Cambria Math"/>
          </w:rPr>
          <m:t xml:space="preserve">×100=10.01%</m:t>
        </m:r>
      </m:oMath>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71">
      <w:pPr>
        <w:jc w:val="center"/>
        <w:rPr>
          <w:rFonts w:ascii="Cambria Math" w:cs="Cambria Math" w:eastAsia="Cambria Math" w:hAnsi="Cambria Math"/>
        </w:rPr>
      </w:pPr>
      <m:oMath>
        <m:r>
          <w:rPr/>
          <m:t xml:space="preserve">Capital Employed</m:t>
        </m:r>
        <m:r>
          <w:rPr>
            <w:rFonts w:ascii="Cambria Math" w:cs="Cambria Math" w:eastAsia="Cambria Math" w:hAnsi="Cambria Math"/>
          </w:rPr>
          <m:t xml:space="preserve">=406,270-95,160=311,110</m:t>
        </m:r>
        <m:r>
          <w:rPr/>
          <m:t xml:space="preserve">ROCE</m:t>
        </m:r>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32,627</m:t>
            </m:r>
          </m:num>
          <m:den>
            <m:r>
              <w:rPr>
                <w:rFonts w:ascii="Cambria Math" w:cs="Cambria Math" w:eastAsia="Cambria Math" w:hAnsi="Cambria Math"/>
              </w:rPr>
              <m:t xml:space="preserve">311,110</m:t>
            </m:r>
          </m:den>
        </m:f>
        <m:r>
          <w:rPr>
            <w:rFonts w:ascii="Cambria Math" w:cs="Cambria Math" w:eastAsia="Cambria Math" w:hAnsi="Cambria Math"/>
          </w:rPr>
          <m:t xml:space="preserve">×100=10.49%</m:t>
        </m:r>
      </m:oMath>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The ROC Employed 10.49% in 2023, decreased slightly in 2024 to 10.01%, indicating a slight decrease in the efficiency of Shell plc in generating operational profit out of capital employed (Hayes, 2022). This can indicate reduced operating profit as well as a quite stable capital base. The fall is minimal, but it indicates strain on returns in an environment that is capital-intensive. Though ROCE is also vulnerable to asset valuations and change of capital structure, which could restrict comparability over time, especially when fixed asset investments are high in the industry.</w:t>
      </w:r>
      <w:r w:rsidDel="00000000" w:rsidR="00000000" w:rsidRPr="00000000">
        <w:rPr>
          <w:b w:val="1"/>
          <w:bCs w:val="1"/>
          <w:rtl w:val="0"/>
        </w:rPr>
        <w:br w:type="textWrapping"/>
        <w:t xml:space="preserve">2. LIQUIDITY RATIOS</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Liquidity ratios determine the capacity of a business entity to fulfil its short-term liabilities as they become due, and as such, they show the sufficiency of current assets to settle current liabilities (CFI, 2020).</w:t>
      </w:r>
    </w:p>
    <w:p w:rsidR="00000000" w:rsidDel="00000000" w:rsidP="00000000" w:rsidRDefault="00000000" w:rsidRPr="00000000" w14:paraId="00000074">
      <w:pPr>
        <w:rPr>
          <w:sz w:val="27"/>
          <w:szCs w:val="27"/>
        </w:rPr>
      </w:pPr>
      <w:r w:rsidDel="00000000" w:rsidR="00000000" w:rsidRPr="00000000">
        <w:rPr>
          <w:b w:val="1"/>
          <w:bCs w:val="1"/>
          <w:rtl w:val="0"/>
        </w:rPr>
        <w:t xml:space="preserve">7. Current Ratio</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76">
      <w:pPr>
        <w:jc w:val="center"/>
        <w:rPr/>
      </w:pPr>
      <m:oMath>
        <m:r>
          <w:rPr/>
          <m:t xml:space="preserve">Current Ratio</m:t>
        </m:r>
        <m:r>
          <w:rPr>
            <w:rFonts w:ascii="Cambria Math" w:cs="Cambria Math" w:eastAsia="Cambria Math" w:hAnsi="Cambria Math"/>
          </w:rPr>
          <m:t xml:space="preserve">=</m:t>
        </m:r>
        <m:f>
          <m:fPr>
            <m:ctrlPr>
              <w:rPr/>
            </m:ctrlPr>
          </m:fPr>
          <m:num>
            <m:r>
              <w:rPr/>
              <m:t xml:space="preserve">Current Assets</m:t>
            </m:r>
          </m:num>
          <m:den>
            <m:r>
              <w:rPr/>
              <m:t xml:space="preserve">Current Liabilities</m:t>
            </m:r>
          </m:den>
        </m:f>
      </m:oMath>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78">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118,069</m:t>
            </m:r>
          </m:num>
          <m:den>
            <m:r>
              <w:rPr>
                <w:rFonts w:ascii="Cambria Math" w:cs="Cambria Math" w:eastAsia="Cambria Math" w:hAnsi="Cambria Math"/>
              </w:rPr>
              <m:t xml:space="preserve">88,831</m:t>
            </m:r>
          </m:den>
        </m:f>
        <m:r>
          <w:rPr>
            <w:rFonts w:ascii="Cambria Math" w:cs="Cambria Math" w:eastAsia="Cambria Math" w:hAnsi="Cambria Math"/>
          </w:rPr>
          <m:t xml:space="preserve">=1.33</m:t>
        </m:r>
      </m:oMath>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7A">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133,164</m:t>
            </m:r>
          </m:num>
          <m:den>
            <m:r>
              <w:rPr>
                <w:rFonts w:ascii="Cambria Math" w:cs="Cambria Math" w:eastAsia="Cambria Math" w:hAnsi="Cambria Math"/>
              </w:rPr>
              <m:t xml:space="preserve">95,160</m:t>
            </m:r>
          </m:den>
        </m:f>
        <m:r>
          <w:rPr>
            <w:rFonts w:ascii="Cambria Math" w:cs="Cambria Math" w:eastAsia="Cambria Math" w:hAnsi="Cambria Math"/>
          </w:rPr>
          <m:t xml:space="preserve">=1.40</m:t>
        </m:r>
      </m:oMath>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Current ratio has dropped to 1.33 in 2024 as compared to 1.40 in 2023, which portrays a very slight diminishing of the short-term liquidity stance of Shell plc (Finbox, 2025). This indicates that the company is slightly lacking in the current assets that it can use to settle its current liabilities. The depreciation can either be a result of lower cash balances or increased short-term obligations. But the ratio is high above 1, meaning that liquidity is sufficient. However, the current ratio does not evaluate the quality or liquidity of individual assets, which makes it a weak measure on its own.</w:t>
      </w:r>
    </w:p>
    <w:p w:rsidR="00000000" w:rsidDel="00000000" w:rsidP="00000000" w:rsidRDefault="00000000" w:rsidRPr="00000000" w14:paraId="0000007C">
      <w:pPr>
        <w:rPr>
          <w:sz w:val="27"/>
          <w:szCs w:val="27"/>
        </w:rPr>
      </w:pPr>
      <w:r w:rsidDel="00000000" w:rsidR="00000000" w:rsidRPr="00000000">
        <w:rPr>
          <w:b w:val="1"/>
          <w:bCs w:val="1"/>
          <w:rtl w:val="0"/>
        </w:rPr>
        <w:t xml:space="preserve">8. Quick Ratio</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7E">
      <w:pPr>
        <w:jc w:val="center"/>
        <w:rPr/>
      </w:pPr>
      <m:oMath>
        <m:r>
          <w:rPr/>
          <m:t xml:space="preserve">Quick Ratio</m:t>
        </m:r>
        <m:r>
          <w:rPr>
            <w:rFonts w:ascii="Cambria Math" w:cs="Cambria Math" w:eastAsia="Cambria Math" w:hAnsi="Cambria Math"/>
          </w:rPr>
          <m:t xml:space="preserve">=</m:t>
        </m:r>
        <m:f>
          <m:fPr>
            <m:ctrlPr>
              <w:rPr/>
            </m:ctrlPr>
          </m:fPr>
          <m:num>
            <m:r>
              <w:rPr/>
              <m:t xml:space="preserve">Current Assets</m:t>
            </m:r>
            <m:r>
              <w:rPr>
                <w:rFonts w:ascii="Cambria Math" w:cs="Cambria Math" w:eastAsia="Cambria Math" w:hAnsi="Cambria Math"/>
              </w:rPr>
              <m:t xml:space="preserve">-</m:t>
            </m:r>
            <m:r>
              <w:rPr/>
              <m:t xml:space="preserve">Inventories</m:t>
            </m:r>
          </m:num>
          <m:den>
            <m:r>
              <w:rPr/>
              <m:t xml:space="preserve">Current Liabilities</m:t>
            </m:r>
          </m:den>
        </m:f>
      </m:oMath>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80">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118,069-23,426</m:t>
            </m:r>
          </m:num>
          <m:den>
            <m:r>
              <w:rPr>
                <w:rFonts w:ascii="Cambria Math" w:cs="Cambria Math" w:eastAsia="Cambria Math" w:hAnsi="Cambria Math"/>
              </w:rPr>
              <m:t xml:space="preserve">88,831</m:t>
            </m:r>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94,643</m:t>
            </m:r>
          </m:num>
          <m:den>
            <m:r>
              <w:rPr>
                <w:rFonts w:ascii="Cambria Math" w:cs="Cambria Math" w:eastAsia="Cambria Math" w:hAnsi="Cambria Math"/>
              </w:rPr>
              <m:t xml:space="preserve">88,831</m:t>
            </m:r>
          </m:den>
        </m:f>
        <m:r>
          <w:rPr>
            <w:rFonts w:ascii="Cambria Math" w:cs="Cambria Math" w:eastAsia="Cambria Math" w:hAnsi="Cambria Math"/>
          </w:rPr>
          <m:t xml:space="preserve">=1.07</m:t>
        </m:r>
      </m:oMath>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82">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133,164-26,019</m:t>
            </m:r>
          </m:num>
          <m:den>
            <m:r>
              <w:rPr>
                <w:rFonts w:ascii="Cambria Math" w:cs="Cambria Math" w:eastAsia="Cambria Math" w:hAnsi="Cambria Math"/>
              </w:rPr>
              <m:t xml:space="preserve">95,160</m:t>
            </m:r>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107,145</m:t>
            </m:r>
          </m:num>
          <m:den>
            <m:r>
              <w:rPr>
                <w:rFonts w:ascii="Cambria Math" w:cs="Cambria Math" w:eastAsia="Cambria Math" w:hAnsi="Cambria Math"/>
              </w:rPr>
              <m:t xml:space="preserve">95,160</m:t>
            </m:r>
          </m:den>
        </m:f>
        <m:r>
          <w:rPr>
            <w:rFonts w:ascii="Cambria Math" w:cs="Cambria Math" w:eastAsia="Cambria Math" w:hAnsi="Cambria Math"/>
          </w:rPr>
          <m:t xml:space="preserve">=1.13</m:t>
        </m:r>
      </m:oMath>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 quick ratio has decreased a bit in 2023 to 1.13 and in 2024 to 1.07, showing that Shell plc has slightly less capacity to cover its short-term liabilities without selling its inventory (CFI Team, 2015). This implies more strain on liquid resources like cash and debtors. Nevertheless, the ratio is still over 1, which indicates a relatively healthy liquidity position. Since Shell has this type of operation, inventories could not be realisable in the short term, and therefore, the quick ratio is more applicable compared to the current ratio, despite the fact that it still does not take into account the timing of cash flows.</w:t>
      </w:r>
    </w:p>
    <w:p w:rsidR="00000000" w:rsidDel="00000000" w:rsidP="00000000" w:rsidRDefault="00000000" w:rsidRPr="00000000" w14:paraId="00000084">
      <w:pPr>
        <w:rPr>
          <w:sz w:val="27"/>
          <w:szCs w:val="27"/>
        </w:rPr>
      </w:pPr>
      <w:r w:rsidDel="00000000" w:rsidR="00000000" w:rsidRPr="00000000">
        <w:rPr>
          <w:b w:val="1"/>
          <w:bCs w:val="1"/>
          <w:rtl w:val="0"/>
        </w:rPr>
        <w:t xml:space="preserve">9. Net Working Capital</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86">
      <w:pPr>
        <w:jc w:val="center"/>
        <w:rPr/>
      </w:pPr>
      <m:oMath>
        <m:r>
          <w:rPr/>
          <m:t xml:space="preserve">NWC</m:t>
        </m:r>
        <m:r>
          <w:rPr>
            <w:rFonts w:ascii="Cambria Math" w:cs="Cambria Math" w:eastAsia="Cambria Math" w:hAnsi="Cambria Math"/>
          </w:rPr>
          <m:t xml:space="preserve">=</m:t>
        </m:r>
        <m:r>
          <w:rPr/>
          <m:t xml:space="preserve">Current Assets</m:t>
        </m:r>
        <m:r>
          <w:rPr>
            <w:rFonts w:ascii="Cambria Math" w:cs="Cambria Math" w:eastAsia="Cambria Math" w:hAnsi="Cambria Math"/>
          </w:rPr>
          <m:t xml:space="preserve">-</m:t>
        </m:r>
        <m:r>
          <w:rPr/>
          <m:t xml:space="preserve">Current Liabilities</m:t>
        </m:r>
      </m:oMath>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88">
      <w:pPr>
        <w:jc w:val="center"/>
        <w:rPr>
          <w:rFonts w:ascii="Cambria Math" w:cs="Cambria Math" w:eastAsia="Cambria Math" w:hAnsi="Cambria Math"/>
        </w:rPr>
      </w:pPr>
      <m:oMath>
        <m:r>
          <w:rPr>
            <w:rFonts w:ascii="Cambria Math" w:cs="Cambria Math" w:eastAsia="Cambria Math" w:hAnsi="Cambria Math"/>
          </w:rPr>
          <m:t xml:space="preserve">=118,069-88,831=29,238</m:t>
        </m:r>
      </m:oMath>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8A">
      <w:pPr>
        <w:jc w:val="center"/>
        <w:rPr>
          <w:rFonts w:ascii="Cambria Math" w:cs="Cambria Math" w:eastAsia="Cambria Math" w:hAnsi="Cambria Math"/>
        </w:rPr>
      </w:pPr>
      <m:oMath>
        <m:r>
          <w:rPr>
            <w:rFonts w:ascii="Cambria Math" w:cs="Cambria Math" w:eastAsia="Cambria Math" w:hAnsi="Cambria Math"/>
          </w:rPr>
          <m:t xml:space="preserve">=133,164-95,160=38,004</m:t>
        </m:r>
      </m:oMath>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In 2023, the net working capital was reduced to $38,004 million and in 2024, it was reduced to $29,238 million, which means that the company is less financially flexible in a short-term perspective (Fernando, 2025). It is possible that this reduction is an increase in the current liabilities or a decrease in current assets, which would raise the liquidity risk. Nonetheless, the positive balance indicates that Shell plc is still capable of addressing the short-term requirements. The net working capital is not relevant to the efficiency of the cash flow or the timing of the cash flow; thus, it cannot be of much help in the absence of the liquidity and efficiency ratios.</w:t>
      </w:r>
    </w:p>
    <w:p w:rsidR="00000000" w:rsidDel="00000000" w:rsidP="00000000" w:rsidRDefault="00000000" w:rsidRPr="00000000" w14:paraId="0000008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GEARING / SOLVENCY RATIOS</w:t>
      </w:r>
    </w:p>
    <w:p w:rsidR="00000000" w:rsidDel="00000000" w:rsidP="00000000" w:rsidRDefault="00000000" w:rsidRPr="00000000" w14:paraId="0000008D">
      <w:pPr>
        <w:rPr/>
      </w:pPr>
      <w:r w:rsidDel="00000000" w:rsidR="00000000" w:rsidRPr="00000000">
        <w:rPr>
          <w:rtl w:val="0"/>
        </w:rPr>
        <w:t xml:space="preserve">Gearing ratios are used to assess how a company is being funded by debt as opposed to equity, the amount of financial risk and the ability to remain solvent in the long term (Corporate Finance Institute, 2022).</w:t>
      </w:r>
    </w:p>
    <w:p w:rsidR="00000000" w:rsidDel="00000000" w:rsidP="00000000" w:rsidRDefault="00000000" w:rsidRPr="00000000" w14:paraId="0000008E">
      <w:pPr>
        <w:rPr>
          <w:sz w:val="27"/>
          <w:szCs w:val="27"/>
        </w:rPr>
      </w:pPr>
      <w:r w:rsidDel="00000000" w:rsidR="00000000" w:rsidRPr="00000000">
        <w:rPr>
          <w:b w:val="1"/>
          <w:bCs w:val="1"/>
          <w:rtl w:val="0"/>
        </w:rPr>
        <w:t xml:space="preserve">10. Debt to Equity Ratio</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90">
      <w:pPr>
        <w:jc w:val="center"/>
        <w:rPr/>
      </w:pPr>
      <m:oMath>
        <m:r>
          <w:rPr/>
          <m:t xml:space="preserve">Debt to Equity</m:t>
        </m:r>
        <m:r>
          <w:rPr>
            <w:rFonts w:ascii="Cambria Math" w:cs="Cambria Math" w:eastAsia="Cambria Math" w:hAnsi="Cambria Math"/>
          </w:rPr>
          <m:t xml:space="preserve">=</m:t>
        </m:r>
        <m:f>
          <m:fPr>
            <m:ctrlPr>
              <w:rPr/>
            </m:ctrlPr>
          </m:fPr>
          <m:num>
            <m:r>
              <w:rPr/>
              <m:t xml:space="preserve">Total Debt</m:t>
            </m:r>
          </m:num>
          <m:den>
            <m:r>
              <w:rPr/>
              <m:t xml:space="preserve">Total Equity</m:t>
            </m:r>
          </m:den>
        </m:f>
      </m:oMath>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92">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77,078</m:t>
            </m:r>
          </m:num>
          <m:den>
            <m:r>
              <w:rPr>
                <w:rFonts w:ascii="Cambria Math" w:cs="Cambria Math" w:eastAsia="Cambria Math" w:hAnsi="Cambria Math"/>
              </w:rPr>
              <m:t xml:space="preserve">180,168</m:t>
            </m:r>
          </m:den>
        </m:f>
        <m:r>
          <w:rPr>
            <w:rFonts w:ascii="Cambria Math" w:cs="Cambria Math" w:eastAsia="Cambria Math" w:hAnsi="Cambria Math"/>
          </w:rPr>
          <m:t xml:space="preserve">=0.43</m:t>
        </m:r>
      </m:oMath>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94">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81,541</m:t>
            </m:r>
          </m:num>
          <m:den>
            <m:r>
              <w:rPr>
                <w:rFonts w:ascii="Cambria Math" w:cs="Cambria Math" w:eastAsia="Cambria Math" w:hAnsi="Cambria Math"/>
              </w:rPr>
              <m:t xml:space="preserve">188,362</m:t>
            </m:r>
          </m:den>
        </m:f>
        <m:r>
          <w:rPr>
            <w:rFonts w:ascii="Cambria Math" w:cs="Cambria Math" w:eastAsia="Cambria Math" w:hAnsi="Cambria Math"/>
          </w:rPr>
          <m:t xml:space="preserve">=0.43</m:t>
        </m:r>
      </m:oMath>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The debt-to-equity ratio has been stable at 0.43 in 2023 and 2024, meaning that Shell plc had a stable capital structure during the time (Schoenmaker and Schramade, 2023). The stability indicates equal financing between debt and equity minimizing the risk of capital. The ratio, however, does not indicate the cost of debt or the ability to repay, which narrows its application when measured against one another.</w:t>
      </w:r>
    </w:p>
    <w:p w:rsidR="00000000" w:rsidDel="00000000" w:rsidP="00000000" w:rsidRDefault="00000000" w:rsidRPr="00000000" w14:paraId="00000096">
      <w:pPr>
        <w:rPr/>
      </w:pPr>
      <w:r w:rsidDel="00000000" w:rsidR="00000000" w:rsidRPr="00000000">
        <w:rPr>
          <w:b w:val="1"/>
          <w:bCs w:val="1"/>
          <w:rtl w:val="0"/>
        </w:rPr>
        <w:t xml:space="preserve">11. Interest Coverage Ratio</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98">
      <w:pPr>
        <w:jc w:val="center"/>
        <w:rPr/>
      </w:pPr>
      <m:oMath>
        <m:r>
          <w:rPr/>
          <m:t xml:space="preserve">Interest Coverage</m:t>
        </m:r>
        <m:r>
          <w:rPr>
            <w:rFonts w:ascii="Cambria Math" w:cs="Cambria Math" w:eastAsia="Cambria Math" w:hAnsi="Cambria Math"/>
          </w:rPr>
          <m:t xml:space="preserve">=</m:t>
        </m:r>
        <m:f>
          <m:fPr>
            <m:ctrlPr>
              <w:rPr/>
            </m:ctrlPr>
          </m:fPr>
          <m:num>
            <m:r>
              <w:rPr/>
              <m:t xml:space="preserve">EBIT</m:t>
            </m:r>
          </m:num>
          <m:den>
            <m:r>
              <w:rPr/>
              <m:t xml:space="preserve">Interest Expense</m:t>
            </m:r>
          </m:den>
        </m:f>
      </m:oMath>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9A">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29,922</m:t>
            </m:r>
          </m:num>
          <m:den>
            <m:r>
              <w:rPr>
                <w:rFonts w:ascii="Cambria Math" w:cs="Cambria Math" w:eastAsia="Cambria Math" w:hAnsi="Cambria Math"/>
              </w:rPr>
              <m:t xml:space="preserve">4,787</m:t>
            </m:r>
          </m:den>
        </m:f>
        <m:r>
          <w:rPr>
            <w:rFonts w:ascii="Cambria Math" w:cs="Cambria Math" w:eastAsia="Cambria Math" w:hAnsi="Cambria Math"/>
          </w:rPr>
          <m:t xml:space="preserve">=6.25</m:t>
        </m:r>
      </m:oMath>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9C">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32,627</m:t>
            </m:r>
          </m:num>
          <m:den>
            <m:r>
              <w:rPr>
                <w:rFonts w:ascii="Cambria Math" w:cs="Cambria Math" w:eastAsia="Cambria Math" w:hAnsi="Cambria Math"/>
              </w:rPr>
              <m:t xml:space="preserve">4,673</m:t>
            </m:r>
          </m:den>
        </m:f>
        <m:r>
          <w:rPr>
            <w:rFonts w:ascii="Cambria Math" w:cs="Cambria Math" w:eastAsia="Cambria Math" w:hAnsi="Cambria Math"/>
          </w:rPr>
          <m:t xml:space="preserve">=6.98</m:t>
        </m:r>
      </m:oMath>
      <w:r w:rsidDel="00000000" w:rsidR="00000000" w:rsidRPr="00000000">
        <w:rPr>
          <w:rtl w:val="0"/>
        </w:rPr>
      </w:r>
    </w:p>
    <w:p w:rsidR="00000000" w:rsidDel="00000000" w:rsidP="00000000" w:rsidRDefault="00000000" w:rsidRPr="00000000" w14:paraId="0000009D">
      <w:pPr>
        <w:rPr>
          <w:b w:val="1"/>
          <w:bCs w:val="1"/>
        </w:rPr>
      </w:pPr>
      <w:r w:rsidDel="00000000" w:rsidR="00000000" w:rsidRPr="00000000">
        <w:rPr>
          <w:rtl w:val="0"/>
        </w:rPr>
        <w:t xml:space="preserve">The coverage of interest decreased from 6.98 times in 2023 to 6.25 times in 2024, indicating that the company is less likely to meet its interest payments using operating profit (Hayes, 2020). This can be attributed to the reduction of EBIT or an increase in interest costs. Even though the coverage is high, the declining trend demonstrates the heightened exposure to earnings volatility, especially in the swirling energy markets.</w:t>
      </w:r>
      <w:r w:rsidDel="00000000" w:rsidR="00000000" w:rsidRPr="00000000">
        <w:rPr>
          <w:rtl w:val="0"/>
        </w:rPr>
      </w:r>
    </w:p>
    <w:p w:rsidR="00000000" w:rsidDel="00000000" w:rsidP="00000000" w:rsidRDefault="00000000" w:rsidRPr="00000000" w14:paraId="0000009E">
      <w:pPr>
        <w:spacing w:line="259" w:lineRule="auto"/>
        <w:jc w:val="left"/>
        <w:rPr>
          <w:b w:val="1"/>
          <w:bCs w:val="1"/>
        </w:rPr>
      </w:pPr>
      <w:r w:rsidDel="00000000" w:rsidR="00000000" w:rsidRPr="00000000">
        <w:rPr>
          <w:b w:val="1"/>
          <w:bCs w:val="1"/>
          <w:rtl w:val="0"/>
        </w:rPr>
        <w:t xml:space="preserve">12. Debt Ratio</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A0">
      <w:pPr>
        <w:jc w:val="center"/>
        <w:rPr>
          <w:rFonts w:ascii="Cambria Math" w:cs="Cambria Math" w:eastAsia="Cambria Math" w:hAnsi="Cambria Math"/>
        </w:rPr>
      </w:pPr>
      <m:oMath>
        <m:r>
          <w:rPr/>
          <m:t xml:space="preserve">Debt Ratio</m:t>
        </m:r>
        <m:r>
          <w:rPr>
            <w:rFonts w:ascii="Cambria Math" w:cs="Cambria Math" w:eastAsia="Cambria Math" w:hAnsi="Cambria Math"/>
          </w:rPr>
          <m:t xml:space="preserve">=</m:t>
        </m:r>
        <m:f>
          <m:fPr>
            <m:ctrlPr>
              <w:rPr/>
            </m:ctrlPr>
          </m:fPr>
          <m:num>
            <m:r>
              <w:rPr/>
              <m:t xml:space="preserve">Total Liabilities</m:t>
            </m:r>
          </m:num>
          <m:den>
            <m:r>
              <w:rPr/>
              <m:t xml:space="preserve">Total Assets</m:t>
            </m:r>
          </m:den>
        </m:f>
        <m:r>
          <w:rPr>
            <w:rFonts w:ascii="Cambria Math" w:cs="Cambria Math" w:eastAsia="Cambria Math" w:hAnsi="Cambria Math"/>
          </w:rPr>
          <m:t xml:space="preserve">×100</m:t>
        </m:r>
      </m:oMath>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A2">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207,441</m:t>
            </m:r>
          </m:num>
          <m:den>
            <m:r>
              <w:rPr>
                <w:rFonts w:ascii="Cambria Math" w:cs="Cambria Math" w:eastAsia="Cambria Math" w:hAnsi="Cambria Math"/>
              </w:rPr>
              <m:t xml:space="preserve">387,609</m:t>
            </m:r>
          </m:den>
        </m:f>
        <m:r>
          <w:rPr>
            <w:rFonts w:ascii="Cambria Math" w:cs="Cambria Math" w:eastAsia="Cambria Math" w:hAnsi="Cambria Math"/>
          </w:rPr>
          <m:t xml:space="preserve">×100=53.52%</m:t>
        </m:r>
      </m:oMath>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A4">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217,908</m:t>
            </m:r>
          </m:num>
          <m:den>
            <m:r>
              <w:rPr>
                <w:rFonts w:ascii="Cambria Math" w:cs="Cambria Math" w:eastAsia="Cambria Math" w:hAnsi="Cambria Math"/>
              </w:rPr>
              <m:t xml:space="preserve">406,270</m:t>
            </m:r>
          </m:den>
        </m:f>
        <m:r>
          <w:rPr>
            <w:rFonts w:ascii="Cambria Math" w:cs="Cambria Math" w:eastAsia="Cambria Math" w:hAnsi="Cambria Math"/>
          </w:rPr>
          <m:t xml:space="preserve">×100=53.64%</m:t>
        </m:r>
      </m:oMath>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The debt ratio was generally steady with a slight upward change of 53.64 in 2023 to 53.52 in 2024, and this has shown that more than half of the assets of Shell plc are financed by liabilities (Hayes, 2024). Although this is the normal level in capital-intensive industries, it exposes the company to more financial risk when there is a downturn. The debt maturity and debt repayment structure are also not considered in the ratio.</w:t>
      </w:r>
    </w:p>
    <w:p w:rsidR="00000000" w:rsidDel="00000000" w:rsidP="00000000" w:rsidRDefault="00000000" w:rsidRPr="00000000" w14:paraId="000000A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EFFICIENCY RATIOS</w:t>
      </w:r>
    </w:p>
    <w:p w:rsidR="00000000" w:rsidDel="00000000" w:rsidP="00000000" w:rsidRDefault="00000000" w:rsidRPr="00000000" w14:paraId="000000A7">
      <w:pPr>
        <w:rPr/>
      </w:pPr>
      <w:r w:rsidDel="00000000" w:rsidR="00000000" w:rsidRPr="00000000">
        <w:rPr>
          <w:rtl w:val="0"/>
        </w:rPr>
        <w:t xml:space="preserve">Efficiency ratios analyse the proportionate use of assets by a company as well as working capital to produce revenue and the management of operating resources (Rashid, 2021).</w:t>
      </w:r>
    </w:p>
    <w:p w:rsidR="00000000" w:rsidDel="00000000" w:rsidP="00000000" w:rsidRDefault="00000000" w:rsidRPr="00000000" w14:paraId="000000A8">
      <w:pPr>
        <w:rPr>
          <w:sz w:val="27"/>
          <w:szCs w:val="27"/>
        </w:rPr>
      </w:pPr>
      <w:r w:rsidDel="00000000" w:rsidR="00000000" w:rsidRPr="00000000">
        <w:rPr>
          <w:b w:val="1"/>
          <w:bCs w:val="1"/>
          <w:rtl w:val="0"/>
        </w:rPr>
        <w:t xml:space="preserve">13. Inventory Turnover (Days)</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AA">
      <w:pPr>
        <w:jc w:val="center"/>
        <w:rPr>
          <w:rFonts w:ascii="Cambria Math" w:cs="Cambria Math" w:eastAsia="Cambria Math" w:hAnsi="Cambria Math"/>
        </w:rPr>
      </w:pPr>
      <m:oMath>
        <m:r>
          <w:rPr>
            <w:rFonts w:ascii="Cambria Math" w:cs="Cambria Math" w:eastAsia="Cambria Math" w:hAnsi="Cambria Math"/>
          </w:rPr>
          <m:t xml:space="preserve">=</m:t>
        </m:r>
        <m:f>
          <m:fPr>
            <m:ctrlPr>
              <w:rPr/>
            </m:ctrlPr>
          </m:fPr>
          <m:num>
            <m:r>
              <w:rPr/>
              <m:t xml:space="preserve">Inventory</m:t>
            </m:r>
          </m:num>
          <m:den>
            <m:r>
              <w:rPr/>
              <m:t xml:space="preserve">Cost of Sales</m:t>
            </m:r>
          </m:den>
        </m:f>
        <m:r>
          <w:rPr>
            <w:rFonts w:ascii="Cambria Math" w:cs="Cambria Math" w:eastAsia="Cambria Math" w:hAnsi="Cambria Math"/>
          </w:rPr>
          <m:t xml:space="preserve">×365</m:t>
        </m:r>
      </m:oMath>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AC">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23,426</m:t>
            </m:r>
          </m:num>
          <m:den>
            <m:r>
              <w:rPr>
                <w:rFonts w:ascii="Cambria Math" w:cs="Cambria Math" w:eastAsia="Cambria Math" w:hAnsi="Cambria Math"/>
              </w:rPr>
              <m:t xml:space="preserve">188,120</m:t>
            </m:r>
          </m:den>
        </m:f>
        <m:r>
          <w:rPr>
            <w:rFonts w:ascii="Cambria Math" w:cs="Cambria Math" w:eastAsia="Cambria Math" w:hAnsi="Cambria Math"/>
          </w:rPr>
          <m:t xml:space="preserve">×365=45.45</m:t>
        </m:r>
        <m:r>
          <w:rPr/>
          <m:t xml:space="preserve"> </m:t>
        </m:r>
        <m:r>
          <w:rPr>
            <w:rFonts w:ascii="Cambria Math" w:cs="Cambria Math" w:eastAsia="Cambria Math" w:hAnsi="Cambria Math"/>
          </w:rPr>
          <m:t xml:space="preserve">days</m:t>
        </m:r>
      </m:oMath>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AE">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26,019</m:t>
            </m:r>
          </m:num>
          <m:den>
            <m:r>
              <w:rPr>
                <w:rFonts w:ascii="Cambria Math" w:cs="Cambria Math" w:eastAsia="Cambria Math" w:hAnsi="Cambria Math"/>
              </w:rPr>
              <m:t xml:space="preserve">212,883</m:t>
            </m:r>
          </m:den>
        </m:f>
        <m:r>
          <w:rPr>
            <w:rFonts w:ascii="Cambria Math" w:cs="Cambria Math" w:eastAsia="Cambria Math" w:hAnsi="Cambria Math"/>
          </w:rPr>
          <m:t xml:space="preserve">×365=44.61</m:t>
        </m:r>
        <m:r>
          <w:rPr/>
          <m:t xml:space="preserve"> </m:t>
        </m:r>
        <m:r>
          <w:rPr>
            <w:rFonts w:ascii="Cambria Math" w:cs="Cambria Math" w:eastAsia="Cambria Math" w:hAnsi="Cambria Math"/>
          </w:rPr>
          <m:t xml:space="preserve">days</m:t>
        </m:r>
      </m:oMath>
      <w:r w:rsidDel="00000000" w:rsidR="00000000" w:rsidRPr="00000000">
        <w:rPr>
          <w:rtl w:val="0"/>
        </w:rPr>
      </w:r>
    </w:p>
    <w:p w:rsidR="00000000" w:rsidDel="00000000" w:rsidP="00000000" w:rsidRDefault="00000000" w:rsidRPr="00000000" w14:paraId="000000AF">
      <w:pPr>
        <w:rPr>
          <w:b w:val="1"/>
          <w:bCs w:val="1"/>
        </w:rPr>
      </w:pPr>
      <w:r w:rsidDel="00000000" w:rsidR="00000000" w:rsidRPr="00000000">
        <w:rPr>
          <w:rtl w:val="0"/>
        </w:rPr>
        <w:t xml:space="preserve">The inventory turnover days went up by a small margin of 44.61 days in 2023 to 45.45 days in 2024, which reflects slightly slower inventory movement (Fernando, 2019). This could be due to a lower demand, an increase in stock holding as a result of supply chain planning, or fluctuation in the energy product prices. The reduction in change is minimal, but due to the long-term storage of inventory, the risk of storage and obsolescence can be taken up. Nevertheless, the levels of inventory in the energy industry are usually affected by the strategic and operational aspects.</w:t>
      </w:r>
      <w:r w:rsidDel="00000000" w:rsidR="00000000" w:rsidRPr="00000000">
        <w:br w:type="page"/>
      </w:r>
      <w:r w:rsidDel="00000000" w:rsidR="00000000" w:rsidRPr="00000000">
        <w:rPr>
          <w:rtl w:val="0"/>
        </w:rPr>
      </w:r>
    </w:p>
    <w:p w:rsidR="00000000" w:rsidDel="00000000" w:rsidP="00000000" w:rsidRDefault="00000000" w:rsidRPr="00000000" w14:paraId="000000B0">
      <w:pPr>
        <w:rPr>
          <w:sz w:val="27"/>
          <w:szCs w:val="27"/>
        </w:rPr>
      </w:pPr>
      <w:r w:rsidDel="00000000" w:rsidR="00000000" w:rsidRPr="00000000">
        <w:rPr>
          <w:b w:val="1"/>
          <w:bCs w:val="1"/>
          <w:rtl w:val="0"/>
        </w:rPr>
        <w:t xml:space="preserve">14. Receivables Turnover (Days)</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B2">
      <w:pPr>
        <w:jc w:val="center"/>
        <w:rPr>
          <w:rFonts w:ascii="Cambria Math" w:cs="Cambria Math" w:eastAsia="Cambria Math" w:hAnsi="Cambria Math"/>
        </w:rPr>
      </w:pPr>
      <m:oMath>
        <m:r>
          <w:rPr>
            <w:rFonts w:ascii="Cambria Math" w:cs="Cambria Math" w:eastAsia="Cambria Math" w:hAnsi="Cambria Math"/>
          </w:rPr>
          <m:t xml:space="preserve">=</m:t>
        </m:r>
        <m:f>
          <m:fPr>
            <m:ctrlPr>
              <w:rPr/>
            </m:ctrlPr>
          </m:fPr>
          <m:num>
            <m:r>
              <w:rPr/>
              <m:t xml:space="preserve">Trade Receivables</m:t>
            </m:r>
          </m:num>
          <m:den>
            <m:r>
              <w:rPr/>
              <m:t xml:space="preserve">Revenue</m:t>
            </m:r>
          </m:den>
        </m:f>
        <m:r>
          <w:rPr>
            <w:rFonts w:ascii="Cambria Math" w:cs="Cambria Math" w:eastAsia="Cambria Math" w:hAnsi="Cambria Math"/>
          </w:rPr>
          <m:t xml:space="preserve">×365</m:t>
        </m:r>
      </m:oMath>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B4">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45,860</m:t>
            </m:r>
          </m:num>
          <m:den>
            <m:r>
              <w:rPr>
                <w:rFonts w:ascii="Cambria Math" w:cs="Cambria Math" w:eastAsia="Cambria Math" w:hAnsi="Cambria Math"/>
              </w:rPr>
              <m:t xml:space="preserve">284,312</m:t>
            </m:r>
          </m:den>
        </m:f>
        <m:r>
          <w:rPr>
            <w:rFonts w:ascii="Cambria Math" w:cs="Cambria Math" w:eastAsia="Cambria Math" w:hAnsi="Cambria Math"/>
          </w:rPr>
          <m:t xml:space="preserve">×365=58.88</m:t>
        </m:r>
        <m:r>
          <w:rPr/>
          <m:t xml:space="preserve"> </m:t>
        </m:r>
        <m:r>
          <w:rPr>
            <w:rFonts w:ascii="Cambria Math" w:cs="Cambria Math" w:eastAsia="Cambria Math" w:hAnsi="Cambria Math"/>
          </w:rPr>
          <m:t xml:space="preserve">days</m:t>
        </m:r>
      </m:oMath>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B6">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53,273</m:t>
            </m:r>
          </m:num>
          <m:den>
            <m:r>
              <w:rPr>
                <w:rFonts w:ascii="Cambria Math" w:cs="Cambria Math" w:eastAsia="Cambria Math" w:hAnsi="Cambria Math"/>
              </w:rPr>
              <m:t xml:space="preserve">316,620</m:t>
            </m:r>
          </m:den>
        </m:f>
        <m:r>
          <w:rPr>
            <w:rFonts w:ascii="Cambria Math" w:cs="Cambria Math" w:eastAsia="Cambria Math" w:hAnsi="Cambria Math"/>
          </w:rPr>
          <m:t xml:space="preserve">×365=61.41</m:t>
        </m:r>
        <m:r>
          <w:rPr/>
          <m:t xml:space="preserve"> </m:t>
        </m:r>
        <m:r>
          <w:rPr>
            <w:rFonts w:ascii="Cambria Math" w:cs="Cambria Math" w:eastAsia="Cambria Math" w:hAnsi="Cambria Math"/>
          </w:rPr>
          <m:t xml:space="preserve">days</m:t>
        </m:r>
      </m:oMath>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The days outstanding received increased to 61.41 days in 2023, whereas in 2024, it rose to 58.88 days, indicating better management control and increased speed in collecting from the customer. This enhancement can be attributed to the tightening of credit policy or a better policy of customer payments. Rapid collections increase cash flow and liquidity (Wallace, 2024). Nonetheless, receivables turnover does not take into account the credit quality of customers or bad debts, which can restrict its performance as an independent metric.</w:t>
      </w:r>
    </w:p>
    <w:p w:rsidR="00000000" w:rsidDel="00000000" w:rsidP="00000000" w:rsidRDefault="00000000" w:rsidRPr="00000000" w14:paraId="000000B8">
      <w:pPr>
        <w:rPr>
          <w:sz w:val="27"/>
          <w:szCs w:val="27"/>
        </w:rPr>
      </w:pPr>
      <w:r w:rsidDel="00000000" w:rsidR="00000000" w:rsidRPr="00000000">
        <w:rPr>
          <w:b w:val="1"/>
          <w:bCs w:val="1"/>
          <w:rtl w:val="0"/>
        </w:rPr>
        <w:t xml:space="preserve">15. Payables Turnover (Days)</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BA">
      <w:pPr>
        <w:jc w:val="center"/>
        <w:rPr>
          <w:rFonts w:ascii="Cambria Math" w:cs="Cambria Math" w:eastAsia="Cambria Math" w:hAnsi="Cambria Math"/>
        </w:rPr>
      </w:pPr>
      <m:oMath>
        <m:r>
          <w:rPr>
            <w:rFonts w:ascii="Cambria Math" w:cs="Cambria Math" w:eastAsia="Cambria Math" w:hAnsi="Cambria Math"/>
          </w:rPr>
          <m:t xml:space="preserve">=</m:t>
        </m:r>
        <m:f>
          <m:fPr>
            <m:ctrlPr>
              <w:rPr/>
            </m:ctrlPr>
          </m:fPr>
          <m:num>
            <m:r>
              <w:rPr/>
              <m:t xml:space="preserve">Trade Payables</m:t>
            </m:r>
          </m:num>
          <m:den>
            <m:r>
              <w:rPr/>
              <m:t xml:space="preserve">Cost of Sales</m:t>
            </m:r>
          </m:den>
        </m:f>
        <m:r>
          <w:rPr>
            <w:rFonts w:ascii="Cambria Math" w:cs="Cambria Math" w:eastAsia="Cambria Math" w:hAnsi="Cambria Math"/>
          </w:rPr>
          <m:t xml:space="preserve">×365</m:t>
        </m:r>
      </m:oMath>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BC">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60,693</m:t>
            </m:r>
          </m:num>
          <m:den>
            <m:r>
              <w:rPr>
                <w:rFonts w:ascii="Cambria Math" w:cs="Cambria Math" w:eastAsia="Cambria Math" w:hAnsi="Cambria Math"/>
              </w:rPr>
              <m:t xml:space="preserve">188,120</m:t>
            </m:r>
          </m:den>
        </m:f>
        <m:r>
          <w:rPr>
            <w:rFonts w:ascii="Cambria Math" w:cs="Cambria Math" w:eastAsia="Cambria Math" w:hAnsi="Cambria Math"/>
          </w:rPr>
          <m:t xml:space="preserve">×365=117.76</m:t>
        </m:r>
        <m:r>
          <w:rPr/>
          <m:t xml:space="preserve"> </m:t>
        </m:r>
        <m:r>
          <w:rPr>
            <w:rFonts w:ascii="Cambria Math" w:cs="Cambria Math" w:eastAsia="Cambria Math" w:hAnsi="Cambria Math"/>
          </w:rPr>
          <m:t xml:space="preserve">days</m:t>
        </m:r>
      </m:oMath>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BE">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68,237</m:t>
            </m:r>
          </m:num>
          <m:den>
            <m:r>
              <w:rPr>
                <w:rFonts w:ascii="Cambria Math" w:cs="Cambria Math" w:eastAsia="Cambria Math" w:hAnsi="Cambria Math"/>
              </w:rPr>
              <m:t xml:space="preserve">212,883</m:t>
            </m:r>
          </m:den>
        </m:f>
        <m:r>
          <w:rPr>
            <w:rFonts w:ascii="Cambria Math" w:cs="Cambria Math" w:eastAsia="Cambria Math" w:hAnsi="Cambria Math"/>
          </w:rPr>
          <m:t xml:space="preserve">×365=117.00</m:t>
        </m:r>
        <m:r>
          <w:rPr/>
          <m:t xml:space="preserve"> </m:t>
        </m:r>
        <m:r>
          <w:rPr>
            <w:rFonts w:ascii="Cambria Math" w:cs="Cambria Math" w:eastAsia="Cambria Math" w:hAnsi="Cambria Math"/>
          </w:rPr>
          <m:t xml:space="preserve">days</m:t>
        </m:r>
      </m:oMath>
      <w:r w:rsidDel="00000000" w:rsidR="00000000" w:rsidRPr="00000000">
        <w:rPr>
          <w:rtl w:val="0"/>
        </w:rPr>
      </w:r>
    </w:p>
    <w:p w:rsidR="00000000" w:rsidDel="00000000" w:rsidP="00000000" w:rsidRDefault="00000000" w:rsidRPr="00000000" w14:paraId="000000BF">
      <w:pPr>
        <w:rPr>
          <w:b w:val="0"/>
          <w:bCs w:val="0"/>
        </w:rPr>
      </w:pPr>
      <w:r w:rsidDel="00000000" w:rsidR="00000000" w:rsidRPr="00000000">
        <w:rPr>
          <w:b w:val="0"/>
          <w:bCs w:val="0"/>
          <w:rtl w:val="0"/>
        </w:rPr>
        <w:t xml:space="preserve">Payables days also went slightly higher in 2023 by 117.00 days, to 117.76 days in 2024, which means that Shell plc was slightly slow in paying suppliers</w:t>
      </w:r>
      <w:r w:rsidDel="00000000" w:rsidR="00000000" w:rsidRPr="00000000">
        <w:rPr>
          <w:rtl w:val="0"/>
        </w:rPr>
        <w:t xml:space="preserve"> </w:t>
      </w:r>
      <w:r w:rsidDel="00000000" w:rsidR="00000000" w:rsidRPr="00000000">
        <w:rPr>
          <w:b w:val="0"/>
          <w:bCs w:val="0"/>
          <w:rtl w:val="0"/>
        </w:rPr>
        <w:t xml:space="preserve">(Hayes, 2021). This could indicate a better working capital management through the source of financing, supplier credit. Although this helps to maintain liquidity, delays that are so high will create a strained relationship between suppliers. The ratio also fails to indicate negotiated payment terms, which reduces its interpretation.</w:t>
      </w:r>
    </w:p>
    <w:p w:rsidR="00000000" w:rsidDel="00000000" w:rsidP="00000000" w:rsidRDefault="00000000" w:rsidRPr="00000000" w14:paraId="000000C0">
      <w:pPr>
        <w:rPr/>
      </w:pPr>
      <w:r w:rsidDel="00000000" w:rsidR="00000000" w:rsidRPr="00000000">
        <w:rPr>
          <w:b w:val="1"/>
          <w:bCs w:val="1"/>
          <w:rtl w:val="0"/>
        </w:rPr>
        <w:t xml:space="preserve">16. Asset Turnover</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C2">
      <w:pPr>
        <w:jc w:val="center"/>
        <w:rPr/>
      </w:pPr>
      <m:oMath>
        <m:r>
          <w:rPr/>
          <m:t xml:space="preserve">Asset Turnover</m:t>
        </m:r>
        <m:r>
          <w:rPr>
            <w:rFonts w:ascii="Cambria Math" w:cs="Cambria Math" w:eastAsia="Cambria Math" w:hAnsi="Cambria Math"/>
          </w:rPr>
          <m:t xml:space="preserve">=</m:t>
        </m:r>
        <m:f>
          <m:fPr>
            <m:ctrlPr>
              <w:rPr/>
            </m:ctrlPr>
          </m:fPr>
          <m:num>
            <m:r>
              <w:rPr/>
              <m:t xml:space="preserve">Revenue</m:t>
            </m:r>
          </m:num>
          <m:den>
            <m:r>
              <w:rPr/>
              <m:t xml:space="preserve">Total Assets</m:t>
            </m:r>
          </m:den>
        </m:f>
      </m:oMath>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C4">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284,312</m:t>
            </m:r>
          </m:num>
          <m:den>
            <m:r>
              <w:rPr>
                <w:rFonts w:ascii="Cambria Math" w:cs="Cambria Math" w:eastAsia="Cambria Math" w:hAnsi="Cambria Math"/>
              </w:rPr>
              <m:t xml:space="preserve">387,609</m:t>
            </m:r>
          </m:den>
        </m:f>
        <m:r>
          <w:rPr>
            <w:rFonts w:ascii="Cambria Math" w:cs="Cambria Math" w:eastAsia="Cambria Math" w:hAnsi="Cambria Math"/>
          </w:rPr>
          <m:t xml:space="preserve">=0.73</m:t>
        </m:r>
      </m:oMath>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C6">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316,620</m:t>
            </m:r>
          </m:num>
          <m:den>
            <m:r>
              <w:rPr>
                <w:rFonts w:ascii="Cambria Math" w:cs="Cambria Math" w:eastAsia="Cambria Math" w:hAnsi="Cambria Math"/>
              </w:rPr>
              <m:t xml:space="preserve">406,270</m:t>
            </m:r>
          </m:den>
        </m:f>
        <m:r>
          <w:rPr>
            <w:rFonts w:ascii="Cambria Math" w:cs="Cambria Math" w:eastAsia="Cambria Math" w:hAnsi="Cambria Math"/>
          </w:rPr>
          <m:t xml:space="preserve">=0.78</m:t>
        </m:r>
      </m:oMath>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The asset turnover decreased by 0.78 in 2023 to 0.73 in 2024, and this shows that it is less efficient in utilising total assets to provide revenue. This could be attributed to the low revenue and high asset base, which is a characteristic of the energy industry, which is capital-intensive. Reduced asset turnover implies that assets are not utilised. Nonetheless, long-term investments, as opposed to short-term ones, do not produce immediate revenues, which limits the short-term comparability (Schmidt, 2025).</w:t>
      </w:r>
    </w:p>
    <w:p w:rsidR="00000000" w:rsidDel="00000000" w:rsidP="00000000" w:rsidRDefault="00000000" w:rsidRPr="00000000" w14:paraId="000000C8">
      <w:pPr>
        <w:rPr>
          <w:sz w:val="27"/>
          <w:szCs w:val="27"/>
        </w:rPr>
      </w:pPr>
      <w:r w:rsidDel="00000000" w:rsidR="00000000" w:rsidRPr="00000000">
        <w:rPr>
          <w:b w:val="1"/>
          <w:bCs w:val="1"/>
          <w:rtl w:val="0"/>
        </w:rPr>
        <w:t xml:space="preserve">17. Fixed Asset Turnover</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CA">
      <w:pPr>
        <w:jc w:val="center"/>
        <w:rPr/>
      </w:pPr>
      <m:oMath>
        <m:r>
          <w:rPr>
            <w:rFonts w:ascii="Cambria Math" w:cs="Cambria Math" w:eastAsia="Cambria Math" w:hAnsi="Cambria Math"/>
          </w:rPr>
          <m:t xml:space="preserve">=</m:t>
        </m:r>
        <m:f>
          <m:fPr>
            <m:ctrlPr>
              <w:rPr/>
            </m:ctrlPr>
          </m:fPr>
          <m:num>
            <m:r>
              <w:rPr/>
              <m:t xml:space="preserve">Revenue</m:t>
            </m:r>
          </m:num>
          <m:den>
            <m:r>
              <w:rPr/>
              <m:t xml:space="preserve">PPE</m:t>
            </m:r>
          </m:den>
        </m:f>
      </m:oMath>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2024:</w:t>
      </w:r>
      <w:r w:rsidDel="00000000" w:rsidR="00000000" w:rsidRPr="00000000">
        <w:rPr>
          <w:rtl w:val="0"/>
        </w:rPr>
      </w:r>
    </w:p>
    <w:p w:rsidR="00000000" w:rsidDel="00000000" w:rsidP="00000000" w:rsidRDefault="00000000" w:rsidRPr="00000000" w14:paraId="000000CC">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284,312</m:t>
            </m:r>
          </m:num>
          <m:den>
            <m:r>
              <w:rPr>
                <w:rFonts w:ascii="Cambria Math" w:cs="Cambria Math" w:eastAsia="Cambria Math" w:hAnsi="Cambria Math"/>
              </w:rPr>
              <m:t xml:space="preserve">185,219</m:t>
            </m:r>
          </m:den>
        </m:f>
        <m:r>
          <w:rPr>
            <w:rFonts w:ascii="Cambria Math" w:cs="Cambria Math" w:eastAsia="Cambria Math" w:hAnsi="Cambria Math"/>
          </w:rPr>
          <m:t xml:space="preserve">=1.54</m:t>
        </m:r>
      </m:oMath>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CE">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316,620</m:t>
            </m:r>
          </m:num>
          <m:den>
            <m:r>
              <w:rPr>
                <w:rFonts w:ascii="Cambria Math" w:cs="Cambria Math" w:eastAsia="Cambria Math" w:hAnsi="Cambria Math"/>
              </w:rPr>
              <m:t xml:space="preserve">194,835</m:t>
            </m:r>
          </m:den>
        </m:f>
        <m:r>
          <w:rPr>
            <w:rFonts w:ascii="Cambria Math" w:cs="Cambria Math" w:eastAsia="Cambria Math" w:hAnsi="Cambria Math"/>
          </w:rPr>
          <m:t xml:space="preserve">=1.63</m:t>
        </m:r>
      </m:oMath>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The turnover of fixed assets dropped to 1.54 in 2024 as compared to 1.63 in 2023, which means that Shell plc earned less money on every dollar spent on property, plant, and equipment (Kenton, 2023). This can be due to low sales or new assets that are yet to work to their full capacity. Although decline reflects reduced efficiency, fixed asset turnover is affected by the age and method of valuing the assets, which may create a comparison of the year-on-year results.</w:t>
      </w:r>
    </w:p>
    <w:p w:rsidR="00000000" w:rsidDel="00000000" w:rsidP="00000000" w:rsidRDefault="00000000" w:rsidRPr="00000000" w14:paraId="000000D0">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INVESTOR RATIOS</w:t>
      </w:r>
    </w:p>
    <w:p w:rsidR="00000000" w:rsidDel="00000000" w:rsidP="00000000" w:rsidRDefault="00000000" w:rsidRPr="00000000" w14:paraId="000000D2">
      <w:pPr>
        <w:rPr/>
      </w:pPr>
      <w:r w:rsidDel="00000000" w:rsidR="00000000" w:rsidRPr="00000000">
        <w:rPr>
          <w:rtl w:val="0"/>
        </w:rPr>
        <w:t xml:space="preserve">Investor ratios indicate returns to the shareholders and market confidence since they correlate the performance of the company with the share price, earnings, and dividend payments (Sant, 2013).</w:t>
      </w:r>
    </w:p>
    <w:p w:rsidR="00000000" w:rsidDel="00000000" w:rsidP="00000000" w:rsidRDefault="00000000" w:rsidRPr="00000000" w14:paraId="000000D3">
      <w:pPr>
        <w:rPr>
          <w:b w:val="1"/>
          <w:bCs w:val="1"/>
          <w:sz w:val="36"/>
          <w:szCs w:val="36"/>
        </w:rPr>
      </w:pPr>
      <w:r w:rsidDel="00000000" w:rsidR="00000000" w:rsidRPr="00000000">
        <w:rPr>
          <w:b w:val="1"/>
          <w:bCs w:val="1"/>
          <w:rtl w:val="0"/>
        </w:rPr>
        <w:t xml:space="preserve">18. Earnings Per Share (EPS)</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EPS – Basic</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D6">
      <w:pPr>
        <w:jc w:val="center"/>
        <w:rPr/>
      </w:pPr>
      <m:oMath>
        <m:r>
          <w:rPr/>
          <m:t xml:space="preserve">EPS (Basic)</m:t>
        </m:r>
        <m:r>
          <w:rPr>
            <w:rFonts w:ascii="Cambria Math" w:cs="Cambria Math" w:eastAsia="Cambria Math" w:hAnsi="Cambria Math"/>
          </w:rPr>
          <m:t xml:space="preserve">=</m:t>
        </m:r>
        <m:f>
          <m:fPr>
            <m:ctrlPr>
              <w:rPr/>
            </m:ctrlPr>
          </m:fPr>
          <m:num>
            <m:r>
              <w:rPr/>
              <m:t xml:space="preserve">Profit attributable to shareholders</m:t>
            </m:r>
          </m:num>
          <m:den>
            <m:r>
              <w:rPr/>
              <m:t xml:space="preserve">Weighted average shares</m:t>
            </m:r>
          </m:den>
        </m:f>
      </m:oMath>
      <w:r w:rsidDel="00000000" w:rsidR="00000000" w:rsidRPr="00000000">
        <w:rPr>
          <w:rtl w:val="0"/>
        </w:rPr>
      </w:r>
    </w:p>
    <w:p w:rsidR="00000000" w:rsidDel="00000000" w:rsidP="00000000" w:rsidRDefault="00000000" w:rsidRPr="00000000" w14:paraId="000000D7">
      <w:pPr>
        <w:jc w:val="center"/>
        <w:rPr/>
      </w:pPr>
      <w:r w:rsidDel="00000000" w:rsidR="00000000" w:rsidRPr="00000000">
        <w:rPr>
          <w:rtl w:val="0"/>
        </w:rPr>
        <w:t xml:space="preserve">2024 = 2.55</w:t>
      </w:r>
    </w:p>
    <w:p w:rsidR="00000000" w:rsidDel="00000000" w:rsidP="00000000" w:rsidRDefault="00000000" w:rsidRPr="00000000" w14:paraId="000000D8">
      <w:pPr>
        <w:jc w:val="center"/>
        <w:rPr/>
      </w:pPr>
      <w:r w:rsidDel="00000000" w:rsidR="00000000" w:rsidRPr="00000000">
        <w:rPr>
          <w:rtl w:val="0"/>
        </w:rPr>
        <w:t xml:space="preserve">2023 = 2.88</w:t>
      </w:r>
    </w:p>
    <w:p w:rsidR="00000000" w:rsidDel="00000000" w:rsidP="00000000" w:rsidRDefault="00000000" w:rsidRPr="00000000" w14:paraId="000000D9">
      <w:pPr>
        <w:rPr>
          <w:b w:val="1"/>
          <w:bCs w:val="1"/>
        </w:rPr>
      </w:pPr>
      <w:r w:rsidDel="00000000" w:rsidR="00000000" w:rsidRPr="00000000">
        <w:rPr>
          <w:b w:val="1"/>
          <w:bCs w:val="1"/>
          <w:rtl w:val="0"/>
        </w:rPr>
        <w:t xml:space="preserve">EPS – Diluted</w:t>
      </w:r>
    </w:p>
    <w:p w:rsidR="00000000" w:rsidDel="00000000" w:rsidP="00000000" w:rsidRDefault="00000000" w:rsidRPr="00000000" w14:paraId="000000DA">
      <w:pPr>
        <w:rPr/>
      </w:pPr>
      <w:r w:rsidDel="00000000" w:rsidR="00000000" w:rsidRPr="00000000">
        <w:rPr>
          <w:b w:val="1"/>
          <w:bCs w:val="1"/>
          <w:rtl w:val="0"/>
        </w:rPr>
        <w:t xml:space="preserve">Formula:</w:t>
      </w:r>
      <w:r w:rsidDel="00000000" w:rsidR="00000000" w:rsidRPr="00000000">
        <w:rPr>
          <w:rtl w:val="0"/>
        </w:rPr>
      </w:r>
    </w:p>
    <w:p w:rsidR="00000000" w:rsidDel="00000000" w:rsidP="00000000" w:rsidRDefault="00000000" w:rsidRPr="00000000" w14:paraId="000000DB">
      <w:pPr>
        <w:jc w:val="center"/>
        <w:rPr/>
      </w:pPr>
      <m:oMath>
        <m:r>
          <w:rPr/>
          <m:t xml:space="preserve">EPS (Diluted)</m:t>
        </m:r>
        <m:r>
          <w:rPr>
            <w:rFonts w:ascii="Cambria Math" w:cs="Cambria Math" w:eastAsia="Cambria Math" w:hAnsi="Cambria Math"/>
          </w:rPr>
          <m:t xml:space="preserve">=</m:t>
        </m:r>
        <m:f>
          <m:fPr>
            <m:ctrlPr>
              <w:rPr/>
            </m:ctrlPr>
          </m:fPr>
          <m:num>
            <m:r>
              <w:rPr/>
              <m:t xml:space="preserve">Diluted profit</m:t>
            </m:r>
          </m:num>
          <m:den>
            <m:r>
              <w:rPr/>
              <m:t xml:space="preserve">Diluted shares</m:t>
            </m:r>
          </m:den>
        </m:f>
      </m:oMath>
      <w:r w:rsidDel="00000000" w:rsidR="00000000" w:rsidRPr="00000000">
        <w:rPr>
          <w:rtl w:val="0"/>
        </w:rPr>
      </w:r>
    </w:p>
    <w:p w:rsidR="00000000" w:rsidDel="00000000" w:rsidP="00000000" w:rsidRDefault="00000000" w:rsidRPr="00000000" w14:paraId="000000DC">
      <w:pPr>
        <w:jc w:val="center"/>
        <w:rPr/>
      </w:pPr>
      <w:r w:rsidDel="00000000" w:rsidR="00000000" w:rsidRPr="00000000">
        <w:rPr>
          <w:rtl w:val="0"/>
        </w:rPr>
        <w:t xml:space="preserve">2024 = 2.53</w:t>
      </w:r>
    </w:p>
    <w:p w:rsidR="00000000" w:rsidDel="00000000" w:rsidP="00000000" w:rsidRDefault="00000000" w:rsidRPr="00000000" w14:paraId="000000DD">
      <w:pPr>
        <w:jc w:val="center"/>
        <w:rPr/>
      </w:pPr>
      <w:r w:rsidDel="00000000" w:rsidR="00000000" w:rsidRPr="00000000">
        <w:rPr>
          <w:rtl w:val="0"/>
        </w:rPr>
        <w:t xml:space="preserve">2023 = 2.85</w:t>
      </w:r>
    </w:p>
    <w:p w:rsidR="00000000" w:rsidDel="00000000" w:rsidP="00000000" w:rsidRDefault="00000000" w:rsidRPr="00000000" w14:paraId="000000DE">
      <w:pPr>
        <w:rPr/>
      </w:pPr>
      <w:r w:rsidDel="00000000" w:rsidR="00000000" w:rsidRPr="00000000">
        <w:rPr>
          <w:rtl w:val="0"/>
        </w:rPr>
        <w:t xml:space="preserve">The profitability of the company in terms of shareholders has decreased as earnings per share went down to 2.55 in 2024 compared to 2.88 in 2023. This decline is due to the decreased net income in the period, although the revenue generation had remained the same (Beers, 2021). Decreased investor trust can be caused by a declining EPS. Nevertheless, share buybacks and accounting accruals can potentially affect EPS as a solitary measure of shareholder value.</w:t>
      </w:r>
    </w:p>
    <w:p w:rsidR="00000000" w:rsidDel="00000000" w:rsidP="00000000" w:rsidRDefault="00000000" w:rsidRPr="00000000" w14:paraId="000000DF">
      <w:pPr>
        <w:rPr>
          <w:b w:val="1"/>
          <w:bCs w:val="1"/>
          <w:sz w:val="36"/>
          <w:szCs w:val="36"/>
        </w:rPr>
      </w:pPr>
      <w:r w:rsidDel="00000000" w:rsidR="00000000" w:rsidRPr="00000000">
        <w:rPr>
          <w:b w:val="1"/>
          <w:bCs w:val="1"/>
          <w:rtl w:val="0"/>
        </w:rPr>
        <w:t xml:space="preserve">19. Price–Earnings Ratio (P/E)</w:t>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Formula:</w:t>
      </w:r>
      <w:r w:rsidDel="00000000" w:rsidR="00000000" w:rsidRPr="00000000">
        <w:rPr>
          <w:rtl w:val="0"/>
        </w:rPr>
      </w:r>
    </w:p>
    <w:p w:rsidR="00000000" w:rsidDel="00000000" w:rsidP="00000000" w:rsidRDefault="00000000" w:rsidRPr="00000000" w14:paraId="000000E1">
      <w:pPr>
        <w:jc w:val="center"/>
        <w:rPr/>
      </w:pPr>
      <m:oMath>
        <m:r>
          <w:rPr/>
          <m:t xml:space="preserve">P/E Ratio</m:t>
        </m:r>
        <m:r>
          <w:rPr>
            <w:rFonts w:ascii="Cambria Math" w:cs="Cambria Math" w:eastAsia="Cambria Math" w:hAnsi="Cambria Math"/>
          </w:rPr>
          <m:t xml:space="preserve">=</m:t>
        </m:r>
        <m:f>
          <m:fPr>
            <m:ctrlPr>
              <w:rPr/>
            </m:ctrlPr>
          </m:fPr>
          <m:num>
            <m:r>
              <w:rPr/>
              <m:t xml:space="preserve">Market Price per Share</m:t>
            </m:r>
          </m:num>
          <m:den>
            <m:r>
              <w:rPr/>
              <m:t xml:space="preserve">EPS (Basic)</m:t>
            </m:r>
          </m:den>
        </m:f>
      </m:oMath>
      <w:r w:rsidDel="00000000" w:rsidR="00000000" w:rsidRPr="00000000">
        <w:rPr>
          <w:rtl w:val="0"/>
        </w:rPr>
      </w:r>
    </w:p>
    <w:p w:rsidR="00000000" w:rsidDel="00000000" w:rsidP="00000000" w:rsidRDefault="00000000" w:rsidRPr="00000000" w14:paraId="000000E2">
      <w:pPr>
        <w:rPr/>
      </w:pPr>
      <w:r w:rsidDel="00000000" w:rsidR="00000000" w:rsidRPr="00000000">
        <w:rPr>
          <w:b w:val="1"/>
          <w:bCs w:val="1"/>
          <w:rtl w:val="0"/>
        </w:rPr>
        <w:t xml:space="preserve">2024:</w:t>
      </w:r>
      <w:r w:rsidDel="00000000" w:rsidR="00000000" w:rsidRPr="00000000">
        <w:rPr>
          <w:rtl w:val="0"/>
        </w:rPr>
      </w:r>
    </w:p>
    <w:p w:rsidR="00000000" w:rsidDel="00000000" w:rsidP="00000000" w:rsidRDefault="00000000" w:rsidRPr="00000000" w14:paraId="000000E3">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62.65</m:t>
            </m:r>
          </m:num>
          <m:den>
            <m:r>
              <w:rPr>
                <w:rFonts w:ascii="Cambria Math" w:cs="Cambria Math" w:eastAsia="Cambria Math" w:hAnsi="Cambria Math"/>
              </w:rPr>
              <m:t xml:space="preserve">2.55</m:t>
            </m:r>
          </m:den>
        </m:f>
        <m:r>
          <w:rPr>
            <w:rFonts w:ascii="Cambria Math" w:cs="Cambria Math" w:eastAsia="Cambria Math" w:hAnsi="Cambria Math"/>
          </w:rPr>
          <m:t xml:space="preserve">=24.57</m:t>
        </m:r>
      </m:oMath>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2023:</w:t>
      </w:r>
      <w:r w:rsidDel="00000000" w:rsidR="00000000" w:rsidRPr="00000000">
        <w:rPr>
          <w:rtl w:val="0"/>
        </w:rPr>
      </w:r>
    </w:p>
    <w:p w:rsidR="00000000" w:rsidDel="00000000" w:rsidP="00000000" w:rsidRDefault="00000000" w:rsidRPr="00000000" w14:paraId="000000E5">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65.80</m:t>
            </m:r>
          </m:num>
          <m:den>
            <m:r>
              <w:rPr>
                <w:rFonts w:ascii="Cambria Math" w:cs="Cambria Math" w:eastAsia="Cambria Math" w:hAnsi="Cambria Math"/>
              </w:rPr>
              <m:t xml:space="preserve">2.88</m:t>
            </m:r>
          </m:den>
        </m:f>
        <m:r>
          <w:rPr>
            <w:rFonts w:ascii="Cambria Math" w:cs="Cambria Math" w:eastAsia="Cambria Math" w:hAnsi="Cambria Math"/>
          </w:rPr>
          <m:t xml:space="preserve">=22.85</m:t>
        </m:r>
      </m:oMath>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The P/E ratio improved in 2023 to 22.85, and in 2024 it reached 24.57, which implies that investors were ready to pay a higher price per dollar of earnings even when there is lower profitability (Abdelhalim et al., 2024). This can be a sign of optimism in the future, high confidence in the market, or recovery in earnings. But the increased P/E may be a sign of overvaluation, especially when the earnings growth fails.</w:t>
      </w:r>
    </w:p>
    <w:p w:rsidR="00000000" w:rsidDel="00000000" w:rsidP="00000000" w:rsidRDefault="00000000" w:rsidRPr="00000000" w14:paraId="000000E7">
      <w:pPr>
        <w:rPr>
          <w:b w:val="1"/>
          <w:bCs w:val="1"/>
        </w:rPr>
      </w:pPr>
      <w:r w:rsidDel="00000000" w:rsidR="00000000" w:rsidRPr="00000000">
        <w:rPr>
          <w:b w:val="1"/>
          <w:bCs w:val="1"/>
          <w:rtl w:val="0"/>
        </w:rPr>
        <w:t xml:space="preserve">20. Dividend Yield</w:t>
      </w:r>
    </w:p>
    <w:p w:rsidR="00000000" w:rsidDel="00000000" w:rsidP="00000000" w:rsidRDefault="00000000" w:rsidRPr="00000000" w14:paraId="000000E8">
      <w:pPr>
        <w:rPr>
          <w:b w:val="1"/>
          <w:bCs w:val="1"/>
        </w:rPr>
      </w:pPr>
      <w:r w:rsidDel="00000000" w:rsidR="00000000" w:rsidRPr="00000000">
        <w:rPr>
          <w:b w:val="1"/>
          <w:bCs w:val="1"/>
          <w:rtl w:val="0"/>
        </w:rPr>
        <w:t xml:space="preserve">Formula:</w:t>
      </w:r>
    </w:p>
    <w:p w:rsidR="00000000" w:rsidDel="00000000" w:rsidP="00000000" w:rsidRDefault="00000000" w:rsidRPr="00000000" w14:paraId="000000E9">
      <w:pPr>
        <w:jc w:val="center"/>
        <w:rPr>
          <w:b w:val="1"/>
          <w:bCs w:val="1"/>
        </w:rPr>
      </w:pPr>
      <m:oMath>
        <m:r>
          <w:rPr>
            <w:b w:val="1"/>
            <w:bCs w:val="1"/>
          </w:rPr>
          <m:t xml:space="preserve">Dividend Yield</m:t>
        </m:r>
        <m:r>
          <w:rPr>
            <w:rFonts w:ascii="Cambria Math" w:cs="Cambria Math" w:eastAsia="Cambria Math" w:hAnsi="Cambria Math"/>
          </w:rPr>
          <m:t xml:space="preserve">=</m:t>
        </m:r>
        <m:f>
          <m:fPr>
            <m:ctrlPr>
              <w:rPr>
                <w:b w:val="1"/>
                <w:bCs w:val="1"/>
              </w:rPr>
            </m:ctrlPr>
          </m:fPr>
          <m:num>
            <m:r>
              <w:rPr>
                <w:b w:val="1"/>
                <w:bCs w:val="1"/>
              </w:rPr>
              <m:t xml:space="preserve">Dividend per Share</m:t>
            </m:r>
          </m:num>
          <m:den>
            <m:r>
              <w:rPr>
                <w:b w:val="1"/>
                <w:bCs w:val="1"/>
              </w:rPr>
              <m:t xml:space="preserve">Market Price per Share</m:t>
            </m:r>
          </m:den>
        </m:f>
      </m:oMath>
      <w:r w:rsidDel="00000000" w:rsidR="00000000" w:rsidRPr="00000000">
        <w:rPr>
          <w:rtl w:val="0"/>
        </w:rPr>
      </w:r>
    </w:p>
    <w:p w:rsidR="00000000" w:rsidDel="00000000" w:rsidP="00000000" w:rsidRDefault="00000000" w:rsidRPr="00000000" w14:paraId="000000EA">
      <w:pPr>
        <w:rPr>
          <w:b w:val="1"/>
          <w:bCs w:val="1"/>
        </w:rPr>
      </w:pPr>
      <w:r w:rsidDel="00000000" w:rsidR="00000000" w:rsidRPr="00000000">
        <w:rPr>
          <w:b w:val="1"/>
          <w:bCs w:val="1"/>
          <w:rtl w:val="0"/>
        </w:rPr>
        <w:t xml:space="preserve">2024:</w:t>
      </w:r>
    </w:p>
    <w:p w:rsidR="00000000" w:rsidDel="00000000" w:rsidP="00000000" w:rsidRDefault="00000000" w:rsidRPr="00000000" w14:paraId="000000EB">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1.39</m:t>
            </m:r>
          </m:num>
          <m:den>
            <m:r>
              <w:rPr>
                <w:rFonts w:ascii="Cambria Math" w:cs="Cambria Math" w:eastAsia="Cambria Math" w:hAnsi="Cambria Math"/>
              </w:rPr>
              <m:t xml:space="preserve">62.65</m:t>
            </m:r>
          </m:den>
        </m:f>
        <m:r>
          <w:rPr>
            <w:rFonts w:ascii="Cambria Math" w:cs="Cambria Math" w:eastAsia="Cambria Math" w:hAnsi="Cambria Math"/>
          </w:rPr>
          <m:t xml:space="preserve">=0.0222≈0.02</m:t>
        </m:r>
        <m:r>
          <w:rPr>
            <w:b w:val="1"/>
            <w:bCs w:val="1"/>
          </w:rPr>
          <m:t xml:space="preserve"> </m:t>
        </m:r>
        <m:r>
          <w:rPr>
            <w:rFonts w:ascii="Cambria Math" w:cs="Cambria Math" w:eastAsia="Cambria Math" w:hAnsi="Cambria Math"/>
          </w:rPr>
          <m:t xml:space="preserve">(2%)</m:t>
        </m:r>
      </m:oMath>
      <w:r w:rsidDel="00000000" w:rsidR="00000000" w:rsidRPr="00000000">
        <w:rPr>
          <w:rtl w:val="0"/>
        </w:rPr>
      </w:r>
    </w:p>
    <w:p w:rsidR="00000000" w:rsidDel="00000000" w:rsidP="00000000" w:rsidRDefault="00000000" w:rsidRPr="00000000" w14:paraId="000000EC">
      <w:pPr>
        <w:rPr>
          <w:b w:val="1"/>
          <w:bCs w:val="1"/>
        </w:rPr>
      </w:pPr>
      <w:r w:rsidDel="00000000" w:rsidR="00000000" w:rsidRPr="00000000">
        <w:rPr>
          <w:b w:val="1"/>
          <w:bCs w:val="1"/>
          <w:rtl w:val="0"/>
        </w:rPr>
        <w:t xml:space="preserve">2023:</w:t>
      </w:r>
    </w:p>
    <w:p w:rsidR="00000000" w:rsidDel="00000000" w:rsidP="00000000" w:rsidRDefault="00000000" w:rsidRPr="00000000" w14:paraId="000000ED">
      <w:pPr>
        <w:jc w:val="center"/>
        <w:rPr>
          <w:rFonts w:ascii="Cambria Math" w:cs="Cambria Math" w:eastAsia="Cambria Math" w:hAnsi="Cambria Math"/>
        </w:rPr>
      </w:pPr>
      <m:oMath>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1.29</m:t>
            </m:r>
          </m:num>
          <m:den>
            <m:r>
              <w:rPr>
                <w:rFonts w:ascii="Cambria Math" w:cs="Cambria Math" w:eastAsia="Cambria Math" w:hAnsi="Cambria Math"/>
              </w:rPr>
              <m:t xml:space="preserve">65.80</m:t>
            </m:r>
          </m:den>
        </m:f>
        <m:r>
          <w:rPr>
            <w:rFonts w:ascii="Cambria Math" w:cs="Cambria Math" w:eastAsia="Cambria Math" w:hAnsi="Cambria Math"/>
          </w:rPr>
          <m:t xml:space="preserve">=0.0196≈0.02</m:t>
        </m:r>
        <m:r>
          <w:rPr>
            <w:b w:val="1"/>
            <w:bCs w:val="1"/>
          </w:rPr>
          <m:t xml:space="preserve"> </m:t>
        </m:r>
        <m:r>
          <w:rPr>
            <w:rFonts w:ascii="Cambria Math" w:cs="Cambria Math" w:eastAsia="Cambria Math" w:hAnsi="Cambria Math"/>
          </w:rPr>
          <m:t xml:space="preserve">(2%)</m:t>
        </m:r>
      </m:oMath>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Dividend yield was maintained at about 2% in the two years, which shows stable shareholder returns despite declining earnings (Gwilym, Morgan and Thomas, 2000). This steadiness indicates a good dividend policy and management focus on shareholder value. Maintaining dividends through declining profitability, however, can be straining on future cash flows, as it places financial constraints on financial flexibility in the event of further deteriorating earnings.</w:t>
      </w:r>
    </w:p>
    <w:p w:rsidR="00000000" w:rsidDel="00000000" w:rsidP="00000000" w:rsidRDefault="00000000" w:rsidRPr="00000000" w14:paraId="000000E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F0">
      <w:pPr>
        <w:pStyle w:val="Heading2"/>
        <w:numPr>
          <w:ilvl w:val="0"/>
          <w:numId w:val="12"/>
        </w:numPr>
        <w:ind w:left="720" w:hanging="360"/>
        <w:rPr>
          <w:rFonts w:ascii="Times New Roman" w:cs="Times New Roman" w:eastAsia="Times New Roman" w:hAnsi="Times New Roman"/>
        </w:rPr>
      </w:pPr>
      <w:bookmarkStart w:colFirst="0" w:colLast="0" w:name="_n6srkvhq64i3" w:id="4"/>
      <w:bookmarkEnd w:id="4"/>
      <w:r w:rsidDel="00000000" w:rsidR="00000000" w:rsidRPr="00000000">
        <w:rPr>
          <w:rFonts w:ascii="Times New Roman" w:cs="Times New Roman" w:eastAsia="Times New Roman" w:hAnsi="Times New Roman"/>
          <w:rtl w:val="0"/>
        </w:rPr>
        <w:t xml:space="preserve"> Limitations of Ratio Analysis</w:t>
      </w:r>
    </w:p>
    <w:p w:rsidR="00000000" w:rsidDel="00000000" w:rsidP="00000000" w:rsidRDefault="00000000" w:rsidRPr="00000000" w14:paraId="000000F1">
      <w:pPr>
        <w:rPr/>
      </w:pPr>
      <w:r w:rsidDel="00000000" w:rsidR="00000000" w:rsidRPr="00000000">
        <w:rPr>
          <w:rtl w:val="0"/>
        </w:rPr>
        <w:t xml:space="preserve">Ratio analysis is an effective tool for analysing financial performance, but it has a number of limitations. Ratios are computed on past financial information, and thus, they might not depict the present or future business situations (CFI Team, 2025). Accounting policies and estimates also affect them and may decrease cross-period and cross-firm comparability. Besides that, ratios do not take into account non-financial aspects of the market, the quality of management, or operational risks. Ratio results can also be further distorted by elements outside the company such as inflation and industry volatility. In addition, ratio analysis does not take into consideration the timing of cash flows and performance qualifications. This means that ratios are to be regarded with caution and used together with other financial and strategic analyses.</w:t>
      </w:r>
    </w:p>
    <w:p w:rsidR="00000000" w:rsidDel="00000000" w:rsidP="00000000" w:rsidRDefault="00000000" w:rsidRPr="00000000" w14:paraId="000000F2">
      <w:pPr>
        <w:pStyle w:val="Heading2"/>
        <w:numPr>
          <w:ilvl w:val="0"/>
          <w:numId w:val="12"/>
        </w:numPr>
        <w:ind w:left="720" w:hanging="360"/>
        <w:rPr>
          <w:rFonts w:ascii="Times New Roman" w:cs="Times New Roman" w:eastAsia="Times New Roman" w:hAnsi="Times New Roman"/>
        </w:rPr>
      </w:pPr>
      <w:bookmarkStart w:colFirst="0" w:colLast="0" w:name="_mup8vwv37tj" w:id="5"/>
      <w:bookmarkEnd w:id="5"/>
      <w:r w:rsidDel="00000000" w:rsidR="00000000" w:rsidRPr="00000000">
        <w:rPr>
          <w:rFonts w:ascii="Times New Roman" w:cs="Times New Roman" w:eastAsia="Times New Roman" w:hAnsi="Times New Roman"/>
          <w:rtl w:val="0"/>
        </w:rPr>
        <w:t xml:space="preserve">Recommendations to Improve Financial Management</w:t>
      </w:r>
    </w:p>
    <w:p w:rsidR="00000000" w:rsidDel="00000000" w:rsidP="00000000" w:rsidRDefault="00000000" w:rsidRPr="00000000" w14:paraId="000000F3">
      <w:pPr>
        <w:rPr/>
      </w:pPr>
      <w:r w:rsidDel="00000000" w:rsidR="00000000" w:rsidRPr="00000000">
        <w:rPr>
          <w:rtl w:val="0"/>
        </w:rPr>
        <w:t xml:space="preserve">Based on the ratio analysis, Shell plc should prioritise improving asset utilisation with a view to improving Shell Plc’s overall profitability.</w:t>
      </w:r>
    </w:p>
    <w:p w:rsidR="00000000" w:rsidDel="00000000" w:rsidP="00000000" w:rsidRDefault="00000000" w:rsidRPr="00000000" w14:paraId="000000F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Enhance the use of assets to optimise the revenue obtained on the available property, plant and equipment in order to increase profitability and profit of capital invested (Tiara Setra Linuhung and Elis Mediawati, 2023).</w:t>
      </w:r>
    </w:p>
    <w:p w:rsidR="00000000" w:rsidDel="00000000" w:rsidP="00000000" w:rsidRDefault="00000000" w:rsidRPr="00000000" w14:paraId="000000F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Boost working capital management, especially by improving inventory management and accelerating receivables to enhance liquidity and cash flow.</w:t>
      </w:r>
    </w:p>
    <w:p w:rsidR="00000000" w:rsidDel="00000000" w:rsidP="00000000" w:rsidRDefault="00000000" w:rsidRPr="00000000" w14:paraId="000000F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Keep a wise debt management by keeping track of borrowing patterns and interest coverages to lessen the financial risk during times of earnings uncertainty.</w:t>
      </w:r>
    </w:p>
    <w:p w:rsidR="00000000" w:rsidDel="00000000" w:rsidP="00000000" w:rsidRDefault="00000000" w:rsidRPr="00000000" w14:paraId="000000F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Strikes the right balance between dividend disbursement and reinvestment in such a manner that the company will remain financially sustainable in the long term and maintain the confidence of the shareholders in it (Seth and Mahenthiran, 2022).</w:t>
      </w:r>
    </w:p>
    <w:p w:rsidR="00000000" w:rsidDel="00000000" w:rsidP="00000000" w:rsidRDefault="00000000" w:rsidRPr="00000000" w14:paraId="000000F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Improve financial decisions- supplement ratio analysis with cash flow analysis and non-financial performance indicators in order to have a better picture of the performance.</w:t>
      </w:r>
    </w:p>
    <w:p w:rsidR="00000000" w:rsidDel="00000000" w:rsidP="00000000" w:rsidRDefault="00000000" w:rsidRPr="00000000" w14:paraId="000000F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FA">
      <w:pPr>
        <w:pStyle w:val="Heading1"/>
        <w:rPr>
          <w:rFonts w:ascii="Times New Roman" w:cs="Times New Roman" w:eastAsia="Times New Roman" w:hAnsi="Times New Roman"/>
        </w:rPr>
      </w:pPr>
      <w:bookmarkStart w:colFirst="0" w:colLast="0" w:name="_ubz7zf57p5wt" w:id="6"/>
      <w:bookmarkEnd w:id="6"/>
      <w:r w:rsidDel="00000000" w:rsidR="00000000" w:rsidRPr="00000000">
        <w:rPr>
          <w:rFonts w:ascii="Times New Roman" w:cs="Times New Roman" w:eastAsia="Times New Roman" w:hAnsi="Times New Roman"/>
          <w:rtl w:val="0"/>
        </w:rPr>
        <w:t xml:space="preserve">Part 02</w:t>
      </w:r>
    </w:p>
    <w:p w:rsidR="00000000" w:rsidDel="00000000" w:rsidP="00000000" w:rsidRDefault="00000000" w:rsidRPr="00000000" w14:paraId="000000FB">
      <w:pPr>
        <w:rPr/>
      </w:pPr>
      <w:r w:rsidDel="00000000" w:rsidR="00000000" w:rsidRPr="00000000">
        <w:rPr>
          <w:b w:val="1"/>
          <w:bCs w:val="1"/>
          <w:rtl w:val="0"/>
        </w:rPr>
        <w:t xml:space="preserve">To:</w:t>
      </w:r>
      <w:r w:rsidDel="00000000" w:rsidR="00000000" w:rsidRPr="00000000">
        <w:rPr>
          <w:rtl w:val="0"/>
        </w:rPr>
        <w:t xml:space="preserve"> The Board of Directors, Westward Plc</w:t>
      </w:r>
    </w:p>
    <w:p w:rsidR="00000000" w:rsidDel="00000000" w:rsidP="00000000" w:rsidRDefault="00000000" w:rsidRPr="00000000" w14:paraId="000000FC">
      <w:pPr>
        <w:rPr/>
      </w:pPr>
      <w:r w:rsidDel="00000000" w:rsidR="00000000" w:rsidRPr="00000000">
        <w:rPr>
          <w:b w:val="1"/>
          <w:bCs w:val="1"/>
          <w:rtl w:val="0"/>
        </w:rPr>
        <w:t xml:space="preserve">From:</w:t>
      </w:r>
      <w:r w:rsidDel="00000000" w:rsidR="00000000" w:rsidRPr="00000000">
        <w:rPr>
          <w:rtl w:val="0"/>
        </w:rPr>
        <w:t xml:space="preserve"> Finance &amp; Strategy Advisory Team</w:t>
      </w:r>
    </w:p>
    <w:p w:rsidR="00000000" w:rsidDel="00000000" w:rsidP="00000000" w:rsidRDefault="00000000" w:rsidRPr="00000000" w14:paraId="000000FD">
      <w:pPr>
        <w:rPr/>
      </w:pPr>
      <w:r w:rsidDel="00000000" w:rsidR="00000000" w:rsidRPr="00000000">
        <w:rPr>
          <w:b w:val="1"/>
          <w:bCs w:val="1"/>
          <w:rtl w:val="0"/>
        </w:rPr>
        <w:t xml:space="preserve">Subject:</w:t>
      </w:r>
      <w:r w:rsidDel="00000000" w:rsidR="00000000" w:rsidRPr="00000000">
        <w:rPr>
          <w:rtl w:val="0"/>
        </w:rPr>
        <w:t xml:space="preserve"> Evaluation of Investment Options for Business Expansion</w:t>
      </w:r>
    </w:p>
    <w:p w:rsidR="00000000" w:rsidDel="00000000" w:rsidP="00000000" w:rsidRDefault="00000000" w:rsidRPr="00000000" w14:paraId="000000FE">
      <w:pPr>
        <w:pStyle w:val="Heading2"/>
        <w:rPr>
          <w:rFonts w:ascii="Times New Roman" w:cs="Times New Roman" w:eastAsia="Times New Roman" w:hAnsi="Times New Roman"/>
        </w:rPr>
      </w:pPr>
      <w:bookmarkStart w:colFirst="0" w:colLast="0" w:name="_4iqqa1d6dy8r" w:id="7"/>
      <w:bookmarkEnd w:id="7"/>
      <w:r w:rsidDel="00000000" w:rsidR="00000000" w:rsidRPr="00000000">
        <w:rPr>
          <w:rFonts w:ascii="Times New Roman" w:cs="Times New Roman" w:eastAsia="Times New Roman" w:hAnsi="Times New Roman"/>
          <w:rtl w:val="0"/>
        </w:rPr>
        <w:t xml:space="preserve">1.0 Executive Summary</w:t>
      </w:r>
    </w:p>
    <w:p w:rsidR="00000000" w:rsidDel="00000000" w:rsidP="00000000" w:rsidRDefault="00000000" w:rsidRPr="00000000" w14:paraId="000000FF">
      <w:pPr>
        <w:rPr/>
      </w:pPr>
      <w:r w:rsidDel="00000000" w:rsidR="00000000" w:rsidRPr="00000000">
        <w:rPr>
          <w:rtl w:val="0"/>
        </w:rPr>
        <w:t xml:space="preserve">This report considers three investment opportunities that were identified by the Board, namely: (A) extension of retail outlets, (B) development of internet sales and (C) manufacturing of wooden and Roman blinds by applying the net present value (NPV) analysis with the cost of capital at 6%. Project C is the best project because it has a high NPV of £749,100, whilst the other two projects have positive NPVs. It has an internal rate of return (IRR) of about 20, which is very high compared to the cost of capital. When there is a constraint of funds of £2.5 million, and projects can be split, then the best investment policy will be to undertake 100% of Project C, and 100% of Project A, with a total NPV of £1,319,100. The report also explains the theoretical superiority of NPV, future use of non-discounting methods, and other strategic considerations. Lastly, the financing sources are evaluated, and it is recommended that a combined solution should be the use of retained earnings and long-term debt.</w:t>
      </w:r>
    </w:p>
    <w:p w:rsidR="00000000" w:rsidDel="00000000" w:rsidP="00000000" w:rsidRDefault="00000000" w:rsidRPr="00000000" w14:paraId="00000100">
      <w:pPr>
        <w:pStyle w:val="Heading2"/>
        <w:rPr>
          <w:rFonts w:ascii="Times New Roman" w:cs="Times New Roman" w:eastAsia="Times New Roman" w:hAnsi="Times New Roman"/>
        </w:rPr>
      </w:pPr>
      <w:bookmarkStart w:colFirst="0" w:colLast="0" w:name="_6bl1bqcbwrbk" w:id="8"/>
      <w:bookmarkEnd w:id="8"/>
      <w:r w:rsidDel="00000000" w:rsidR="00000000" w:rsidRPr="00000000">
        <w:rPr>
          <w:rFonts w:ascii="Times New Roman" w:cs="Times New Roman" w:eastAsia="Times New Roman" w:hAnsi="Times New Roman"/>
          <w:rtl w:val="0"/>
        </w:rPr>
        <w:t xml:space="preserve">2.0 Introduction</w:t>
      </w:r>
    </w:p>
    <w:p w:rsidR="00000000" w:rsidDel="00000000" w:rsidP="00000000" w:rsidRDefault="00000000" w:rsidRPr="00000000" w14:paraId="00000101">
      <w:pPr>
        <w:rPr/>
      </w:pPr>
      <w:r w:rsidDel="00000000" w:rsidR="00000000" w:rsidRPr="00000000">
        <w:rPr>
          <w:rtl w:val="0"/>
        </w:rPr>
        <w:t xml:space="preserve">Westward Plc is looking at three options of expansion in a period of four years that would require an initial investment of various proportions and produce different cash flows. This report gives a financial analysis of the discounted cash flow methods, a suggestion and appeals to wider aspects of decision making.</w:t>
      </w:r>
    </w:p>
    <w:p w:rsidR="00000000" w:rsidDel="00000000" w:rsidP="00000000" w:rsidRDefault="00000000" w:rsidRPr="00000000" w14:paraId="00000102">
      <w:pPr>
        <w:pStyle w:val="Heading2"/>
        <w:rPr/>
      </w:pPr>
      <w:bookmarkStart w:colFirst="0" w:colLast="0" w:name="_41wbh0vr2w23" w:id="9"/>
      <w:bookmarkEnd w:id="9"/>
      <w:r w:rsidDel="00000000" w:rsidR="00000000" w:rsidRPr="00000000">
        <w:rPr>
          <w:rtl w:val="0"/>
        </w:rPr>
        <w:t xml:space="preserve">3.0 Financial Evaluation of Investment Options</w:t>
      </w:r>
    </w:p>
    <w:p w:rsidR="00000000" w:rsidDel="00000000" w:rsidP="00000000" w:rsidRDefault="00000000" w:rsidRPr="00000000" w14:paraId="00000103">
      <w:pPr>
        <w:pStyle w:val="Heading3"/>
        <w:rPr/>
      </w:pPr>
      <w:bookmarkStart w:colFirst="0" w:colLast="0" w:name="_auq5b9ah40dh" w:id="10"/>
      <w:bookmarkEnd w:id="10"/>
      <w:r w:rsidDel="00000000" w:rsidR="00000000" w:rsidRPr="00000000">
        <w:rPr>
          <w:rtl w:val="0"/>
        </w:rPr>
        <w:t xml:space="preserve">3.1 Data and Assumptions</w:t>
      </w:r>
    </w:p>
    <w:p w:rsidR="00000000" w:rsidDel="00000000" w:rsidP="00000000" w:rsidRDefault="00000000" w:rsidRPr="00000000" w14:paraId="00000104">
      <w:pPr>
        <w:numPr>
          <w:ilvl w:val="0"/>
          <w:numId w:val="14"/>
        </w:numPr>
        <w:ind w:left="720" w:hanging="360"/>
        <w:rPr/>
      </w:pPr>
      <w:r w:rsidDel="00000000" w:rsidR="00000000" w:rsidRPr="00000000">
        <w:rPr>
          <w:rtl w:val="0"/>
        </w:rPr>
        <w:t xml:space="preserve">Initial investments:</w:t>
      </w:r>
    </w:p>
    <w:p w:rsidR="00000000" w:rsidDel="00000000" w:rsidP="00000000" w:rsidRDefault="00000000" w:rsidRPr="00000000" w14:paraId="00000105">
      <w:pPr>
        <w:numPr>
          <w:ilvl w:val="1"/>
          <w:numId w:val="14"/>
        </w:numPr>
        <w:ind w:left="1440" w:hanging="360"/>
        <w:rPr/>
      </w:pPr>
      <w:r w:rsidDel="00000000" w:rsidR="00000000" w:rsidRPr="00000000">
        <w:rPr>
          <w:rtl w:val="0"/>
        </w:rPr>
        <w:t xml:space="preserve">A: £600,000</w:t>
      </w:r>
    </w:p>
    <w:p w:rsidR="00000000" w:rsidDel="00000000" w:rsidP="00000000" w:rsidRDefault="00000000" w:rsidRPr="00000000" w14:paraId="00000106">
      <w:pPr>
        <w:numPr>
          <w:ilvl w:val="1"/>
          <w:numId w:val="14"/>
        </w:numPr>
        <w:ind w:left="1440" w:hanging="360"/>
        <w:rPr/>
      </w:pPr>
      <w:r w:rsidDel="00000000" w:rsidR="00000000" w:rsidRPr="00000000">
        <w:rPr>
          <w:rtl w:val="0"/>
        </w:rPr>
        <w:t xml:space="preserve">B: £1,000,000</w:t>
      </w:r>
    </w:p>
    <w:p w:rsidR="00000000" w:rsidDel="00000000" w:rsidP="00000000" w:rsidRDefault="00000000" w:rsidRPr="00000000" w14:paraId="00000107">
      <w:pPr>
        <w:numPr>
          <w:ilvl w:val="1"/>
          <w:numId w:val="14"/>
        </w:numPr>
        <w:ind w:left="1440" w:hanging="360"/>
        <w:rPr/>
      </w:pPr>
      <w:r w:rsidDel="00000000" w:rsidR="00000000" w:rsidRPr="00000000">
        <w:rPr>
          <w:rtl w:val="0"/>
        </w:rPr>
        <w:t xml:space="preserve">C: £1,600,000</w:t>
      </w:r>
    </w:p>
    <w:p w:rsidR="00000000" w:rsidDel="00000000" w:rsidP="00000000" w:rsidRDefault="00000000" w:rsidRPr="00000000" w14:paraId="00000108">
      <w:pPr>
        <w:numPr>
          <w:ilvl w:val="0"/>
          <w:numId w:val="14"/>
        </w:numPr>
        <w:ind w:left="720" w:hanging="360"/>
        <w:rPr/>
      </w:pPr>
      <w:r w:rsidDel="00000000" w:rsidR="00000000" w:rsidRPr="00000000">
        <w:rPr>
          <w:rtl w:val="0"/>
        </w:rPr>
        <w:t xml:space="preserve">Pre-tax cash flows as provided.</w:t>
      </w:r>
    </w:p>
    <w:p w:rsidR="00000000" w:rsidDel="00000000" w:rsidP="00000000" w:rsidRDefault="00000000" w:rsidRPr="00000000" w14:paraId="00000109">
      <w:pPr>
        <w:numPr>
          <w:ilvl w:val="0"/>
          <w:numId w:val="14"/>
        </w:numPr>
        <w:ind w:left="720" w:hanging="360"/>
        <w:rPr/>
      </w:pPr>
      <w:r w:rsidDel="00000000" w:rsidR="00000000" w:rsidRPr="00000000">
        <w:rPr>
          <w:rtl w:val="0"/>
        </w:rPr>
        <w:t xml:space="preserve">Corporation tax: 25%</w:t>
      </w:r>
    </w:p>
    <w:p w:rsidR="00000000" w:rsidDel="00000000" w:rsidP="00000000" w:rsidRDefault="00000000" w:rsidRPr="00000000" w14:paraId="0000010A">
      <w:pPr>
        <w:numPr>
          <w:ilvl w:val="0"/>
          <w:numId w:val="14"/>
        </w:numPr>
        <w:ind w:left="720" w:hanging="360"/>
        <w:rPr/>
      </w:pPr>
      <w:r w:rsidDel="00000000" w:rsidR="00000000" w:rsidRPr="00000000">
        <w:rPr>
          <w:rtl w:val="0"/>
        </w:rPr>
        <w:t xml:space="preserve">Capital allowances: 20% straight line (i.e., written down over 5 years)</w:t>
      </w:r>
    </w:p>
    <w:p w:rsidR="00000000" w:rsidDel="00000000" w:rsidP="00000000" w:rsidRDefault="00000000" w:rsidRPr="00000000" w14:paraId="0000010B">
      <w:pPr>
        <w:numPr>
          <w:ilvl w:val="0"/>
          <w:numId w:val="14"/>
        </w:numPr>
        <w:ind w:left="720" w:hanging="360"/>
        <w:rPr/>
      </w:pPr>
      <w:r w:rsidDel="00000000" w:rsidR="00000000" w:rsidRPr="00000000">
        <w:rPr>
          <w:rtl w:val="0"/>
        </w:rPr>
        <w:t xml:space="preserve">Cost of capital: 6%</w:t>
      </w:r>
    </w:p>
    <w:p w:rsidR="00000000" w:rsidDel="00000000" w:rsidP="00000000" w:rsidRDefault="00000000" w:rsidRPr="00000000" w14:paraId="0000010C">
      <w:pPr>
        <w:numPr>
          <w:ilvl w:val="0"/>
          <w:numId w:val="14"/>
        </w:numPr>
        <w:ind w:left="720" w:hanging="360"/>
        <w:rPr/>
      </w:pPr>
      <w:r w:rsidDel="00000000" w:rsidR="00000000" w:rsidRPr="00000000">
        <w:rPr>
          <w:rtl w:val="0"/>
        </w:rPr>
        <w:t xml:space="preserve">All cash flows occur at year-end.</w:t>
      </w:r>
    </w:p>
    <w:p w:rsidR="00000000" w:rsidDel="00000000" w:rsidP="00000000" w:rsidRDefault="00000000" w:rsidRPr="00000000" w14:paraId="0000010D">
      <w:pPr>
        <w:numPr>
          <w:ilvl w:val="0"/>
          <w:numId w:val="14"/>
        </w:numPr>
        <w:ind w:left="720" w:hanging="360"/>
        <w:rPr/>
      </w:pPr>
      <w:r w:rsidDel="00000000" w:rsidR="00000000" w:rsidRPr="00000000">
        <w:rPr>
          <w:rtl w:val="0"/>
        </w:rPr>
        <w:t xml:space="preserve">Tax is paid in the year it arises.</w:t>
      </w:r>
    </w:p>
    <w:p w:rsidR="00000000" w:rsidDel="00000000" w:rsidP="00000000" w:rsidRDefault="00000000" w:rsidRPr="00000000" w14:paraId="0000010E">
      <w:pPr>
        <w:rPr/>
      </w:pPr>
      <w:r w:rsidDel="00000000" w:rsidR="00000000" w:rsidRPr="00000000">
        <w:rPr>
          <w:rtl w:val="0"/>
        </w:rPr>
        <w:t xml:space="preserve">Capital allowances calculation (per year for each project):</w:t>
      </w:r>
    </w:p>
    <w:p w:rsidR="00000000" w:rsidDel="00000000" w:rsidP="00000000" w:rsidRDefault="00000000" w:rsidRPr="00000000" w14:paraId="0000010F">
      <w:pPr>
        <w:numPr>
          <w:ilvl w:val="0"/>
          <w:numId w:val="15"/>
        </w:numPr>
        <w:ind w:left="720" w:hanging="360"/>
        <w:rPr/>
      </w:pPr>
      <w:r w:rsidDel="00000000" w:rsidR="00000000" w:rsidRPr="00000000">
        <w:rPr>
          <w:rtl w:val="0"/>
        </w:rPr>
        <w:t xml:space="preserve">Annual allowance = 20% × initial investment</w:t>
      </w:r>
    </w:p>
    <w:p w:rsidR="00000000" w:rsidDel="00000000" w:rsidP="00000000" w:rsidRDefault="00000000" w:rsidRPr="00000000" w14:paraId="00000110">
      <w:pPr>
        <w:numPr>
          <w:ilvl w:val="0"/>
          <w:numId w:val="15"/>
        </w:numPr>
        <w:ind w:left="720" w:hanging="360"/>
        <w:rPr/>
      </w:pPr>
      <w:r w:rsidDel="00000000" w:rsidR="00000000" w:rsidRPr="00000000">
        <w:rPr>
          <w:rtl w:val="0"/>
        </w:rPr>
        <w:t xml:space="preserve">Tax saving = 25% × annual allowance</w:t>
      </w:r>
    </w:p>
    <w:p w:rsidR="00000000" w:rsidDel="00000000" w:rsidP="00000000" w:rsidRDefault="00000000" w:rsidRPr="00000000" w14:paraId="00000111">
      <w:pPr>
        <w:rPr/>
      </w:pPr>
      <w:r w:rsidDel="00000000" w:rsidR="00000000" w:rsidRPr="00000000">
        <w:rPr>
          <w:rtl w:val="0"/>
        </w:rPr>
        <w:t xml:space="preserve">Calculation of Discount Factors:</w:t>
      </w:r>
    </w:p>
    <w:p w:rsidR="00000000" w:rsidDel="00000000" w:rsidP="00000000" w:rsidRDefault="00000000" w:rsidRPr="00000000" w14:paraId="00000112">
      <w:pPr>
        <w:rPr/>
      </w:pPr>
      <w:r w:rsidDel="00000000" w:rsidR="00000000" w:rsidRPr="00000000">
        <w:rPr>
          <w:rtl w:val="0"/>
        </w:rPr>
        <w:t xml:space="preserve">DF1 = 1/1.06 = 0.943396</w:t>
      </w:r>
    </w:p>
    <w:p w:rsidR="00000000" w:rsidDel="00000000" w:rsidP="00000000" w:rsidRDefault="00000000" w:rsidRPr="00000000" w14:paraId="00000113">
      <w:pPr>
        <w:rPr/>
      </w:pPr>
      <w:r w:rsidDel="00000000" w:rsidR="00000000" w:rsidRPr="00000000">
        <w:rPr>
          <w:rtl w:val="0"/>
        </w:rPr>
        <w:t xml:space="preserve">DF2 = 1/1.06² = 0.889996</w:t>
      </w:r>
    </w:p>
    <w:p w:rsidR="00000000" w:rsidDel="00000000" w:rsidP="00000000" w:rsidRDefault="00000000" w:rsidRPr="00000000" w14:paraId="00000114">
      <w:pPr>
        <w:rPr/>
      </w:pPr>
      <w:r w:rsidDel="00000000" w:rsidR="00000000" w:rsidRPr="00000000">
        <w:rPr>
          <w:rtl w:val="0"/>
        </w:rPr>
        <w:t xml:space="preserve">DF3 = 1/1.06³ = 0.839619</w:t>
      </w:r>
    </w:p>
    <w:p w:rsidR="00000000" w:rsidDel="00000000" w:rsidP="00000000" w:rsidRDefault="00000000" w:rsidRPr="00000000" w14:paraId="00000115">
      <w:pPr>
        <w:rPr/>
      </w:pPr>
      <w:r w:rsidDel="00000000" w:rsidR="00000000" w:rsidRPr="00000000">
        <w:rPr>
          <w:rtl w:val="0"/>
        </w:rPr>
        <w:t xml:space="preserve">DF4 = 1/1.06⁴ = 0.792094</w:t>
      </w:r>
    </w:p>
    <w:p w:rsidR="00000000" w:rsidDel="00000000" w:rsidP="00000000" w:rsidRDefault="00000000" w:rsidRPr="00000000" w14:paraId="00000116">
      <w:pPr>
        <w:pStyle w:val="Heading3"/>
        <w:rPr/>
      </w:pPr>
      <w:bookmarkStart w:colFirst="0" w:colLast="0" w:name="_yqrfrrzg2oa" w:id="11"/>
      <w:bookmarkEnd w:id="11"/>
      <w:r w:rsidDel="00000000" w:rsidR="00000000" w:rsidRPr="00000000">
        <w:rPr>
          <w:b w:val="1"/>
          <w:bCs w:val="1"/>
          <w:rtl w:val="0"/>
        </w:rPr>
        <w:t xml:space="preserve">3.2 Project A NPV Calculation</w:t>
      </w:r>
      <w:r w:rsidDel="00000000" w:rsidR="00000000" w:rsidRPr="00000000">
        <w:rPr>
          <w:rtl w:val="0"/>
        </w:rPr>
      </w:r>
    </w:p>
    <w:p w:rsidR="00000000" w:rsidDel="00000000" w:rsidP="00000000" w:rsidRDefault="00000000" w:rsidRPr="00000000" w14:paraId="00000117">
      <w:pPr>
        <w:rPr/>
      </w:pPr>
      <w:r w:rsidDel="00000000" w:rsidR="00000000" w:rsidRPr="00000000">
        <w:rPr>
          <w:b w:val="1"/>
          <w:bCs w:val="1"/>
          <w:rtl w:val="0"/>
        </w:rPr>
        <w:t xml:space="preserve">Initial investment:</w:t>
      </w:r>
      <w:r w:rsidDel="00000000" w:rsidR="00000000" w:rsidRPr="00000000">
        <w:rPr>
          <w:rtl w:val="0"/>
        </w:rPr>
        <w:t xml:space="preserve"> £600,000</w:t>
      </w:r>
    </w:p>
    <w:p w:rsidR="00000000" w:rsidDel="00000000" w:rsidP="00000000" w:rsidRDefault="00000000" w:rsidRPr="00000000" w14:paraId="00000118">
      <w:pPr>
        <w:rPr/>
      </w:pPr>
      <w:r w:rsidDel="00000000" w:rsidR="00000000" w:rsidRPr="00000000">
        <w:rPr>
          <w:b w:val="1"/>
          <w:bCs w:val="1"/>
          <w:rtl w:val="0"/>
        </w:rPr>
        <w:t xml:space="preserve">Capital allowance tax savings per year:</w:t>
      </w:r>
      <w:r w:rsidDel="00000000" w:rsidR="00000000" w:rsidRPr="00000000">
        <w:rPr>
          <w:rtl w:val="0"/>
        </w:rPr>
      </w:r>
    </w:p>
    <w:p w:rsidR="00000000" w:rsidDel="00000000" w:rsidP="00000000" w:rsidRDefault="00000000" w:rsidRPr="00000000" w14:paraId="00000119">
      <w:pPr>
        <w:jc w:val="center"/>
        <w:rPr/>
      </w:pPr>
      <m:oMath>
        <m:r>
          <w:rPr/>
          <m:t xml:space="preserve">Annual allowance</m:t>
        </m:r>
        <m:r>
          <w:rPr>
            <w:rFonts w:ascii="Cambria Math" w:cs="Cambria Math" w:eastAsia="Cambria Math" w:hAnsi="Cambria Math"/>
          </w:rPr>
          <m:t xml:space="preserve">=20%×600,000=£120,000</m:t>
        </m:r>
        <m:r>
          <w:rPr/>
          <m:t xml:space="preserve">Tax saving</m:t>
        </m:r>
        <m:r>
          <w:rPr>
            <w:rFonts w:ascii="Cambria Math" w:cs="Cambria Math" w:eastAsia="Cambria Math" w:hAnsi="Cambria Math"/>
          </w:rPr>
          <m:t xml:space="preserve">=25%×120,000=£30,000</m:t>
        </m:r>
        <m:r>
          <w:rPr/>
          <m:t xml:space="preserve"> per year for 5 years</m:t>
        </m:r>
      </m:oMath>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(Only years 1–4 are within project life; year 5’s tax effect is ignored for simplicity in this appraisal, as it falls beyond the 4-year horizon.)</w:t>
      </w:r>
    </w:p>
    <w:p w:rsidR="00000000" w:rsidDel="00000000" w:rsidP="00000000" w:rsidRDefault="00000000" w:rsidRPr="00000000" w14:paraId="0000011B">
      <w:pPr>
        <w:rPr/>
      </w:pPr>
      <w:r w:rsidDel="00000000" w:rsidR="00000000" w:rsidRPr="00000000">
        <w:rPr>
          <w:rtl w:val="0"/>
        </w:rPr>
        <w:t xml:space="preserve">Post-tax cash flows (£’000):</w:t>
      </w:r>
    </w:p>
    <w:tbl>
      <w:tblPr>
        <w:tblStyle w:val="Table2"/>
        <w:tblW w:w="7818.0" w:type="dxa"/>
        <w:jc w:val="center"/>
        <w:tblBorders>
          <w:top w:color="47d45a" w:space="0" w:sz="4" w:val="single"/>
          <w:left w:color="47d45a" w:space="0" w:sz="4" w:val="single"/>
          <w:bottom w:color="47d45a" w:space="0" w:sz="4" w:val="single"/>
          <w:right w:color="47d45a" w:space="0" w:sz="4" w:val="single"/>
          <w:insideH w:color="47d45a" w:space="0" w:sz="4" w:val="single"/>
          <w:insideV w:color="47d45a" w:space="0" w:sz="4" w:val="single"/>
        </w:tblBorders>
        <w:tblLayout w:type="fixed"/>
        <w:tblLook w:val="04A0"/>
      </w:tblPr>
      <w:tblGrid>
        <w:gridCol w:w="723"/>
        <w:gridCol w:w="1356"/>
        <w:gridCol w:w="2073"/>
        <w:gridCol w:w="1777"/>
        <w:gridCol w:w="1889"/>
        <w:tblGridChange w:id="0">
          <w:tblGrid>
            <w:gridCol w:w="723"/>
            <w:gridCol w:w="1356"/>
            <w:gridCol w:w="2073"/>
            <w:gridCol w:w="1777"/>
            <w:gridCol w:w="1889"/>
          </w:tblGrid>
        </w:tblGridChange>
      </w:tblGrid>
      <w:tr>
        <w:trPr>
          <w:cantSplit w:val="0"/>
          <w:tblHeader w:val="0"/>
        </w:trPr>
        <w:tc>
          <w:tcPr/>
          <w:p w:rsidR="00000000" w:rsidDel="00000000" w:rsidP="00000000" w:rsidRDefault="00000000" w:rsidRPr="00000000" w14:paraId="0000011C">
            <w:pPr>
              <w:rPr/>
            </w:pPr>
            <w:r w:rsidDel="00000000" w:rsidR="00000000" w:rsidRPr="00000000">
              <w:rPr>
                <w:rtl w:val="0"/>
              </w:rPr>
              <w:t xml:space="preserve">Year</w:t>
            </w:r>
          </w:p>
        </w:tc>
        <w:tc>
          <w:tcPr/>
          <w:p w:rsidR="00000000" w:rsidDel="00000000" w:rsidP="00000000" w:rsidRDefault="00000000" w:rsidRPr="00000000" w14:paraId="0000011D">
            <w:pPr>
              <w:rPr/>
            </w:pPr>
            <w:r w:rsidDel="00000000" w:rsidR="00000000" w:rsidRPr="00000000">
              <w:rPr>
                <w:rtl w:val="0"/>
              </w:rPr>
              <w:t xml:space="preserve">Pre-tax CF</w:t>
            </w:r>
          </w:p>
        </w:tc>
        <w:tc>
          <w:tcPr/>
          <w:p w:rsidR="00000000" w:rsidDel="00000000" w:rsidP="00000000" w:rsidRDefault="00000000" w:rsidRPr="00000000" w14:paraId="0000011E">
            <w:pPr>
              <w:rPr/>
            </w:pPr>
            <w:r w:rsidDel="00000000" w:rsidR="00000000" w:rsidRPr="00000000">
              <w:rPr>
                <w:rtl w:val="0"/>
              </w:rPr>
              <w:t xml:space="preserve">Tax on CF @25%</w:t>
            </w:r>
          </w:p>
        </w:tc>
        <w:tc>
          <w:tcPr/>
          <w:p w:rsidR="00000000" w:rsidDel="00000000" w:rsidP="00000000" w:rsidRDefault="00000000" w:rsidRPr="00000000" w14:paraId="0000011F">
            <w:pPr>
              <w:rPr/>
            </w:pPr>
            <w:r w:rsidDel="00000000" w:rsidR="00000000" w:rsidRPr="00000000">
              <w:rPr>
                <w:rtl w:val="0"/>
              </w:rPr>
              <w:t xml:space="preserve">CA Tax Saving</w:t>
            </w:r>
          </w:p>
        </w:tc>
        <w:tc>
          <w:tcPr/>
          <w:p w:rsidR="00000000" w:rsidDel="00000000" w:rsidP="00000000" w:rsidRDefault="00000000" w:rsidRPr="00000000" w14:paraId="00000120">
            <w:pPr>
              <w:rPr/>
            </w:pPr>
            <w:r w:rsidDel="00000000" w:rsidR="00000000" w:rsidRPr="00000000">
              <w:rPr>
                <w:rtl w:val="0"/>
              </w:rPr>
              <w:t xml:space="preserve">Net CF after tax</w:t>
            </w:r>
          </w:p>
        </w:tc>
      </w:tr>
      <w:tr>
        <w:trPr>
          <w:cantSplit w:val="0"/>
          <w:tblHeader w:val="0"/>
        </w:trPr>
        <w:tc>
          <w:tcPr/>
          <w:p w:rsidR="00000000" w:rsidDel="00000000" w:rsidP="00000000" w:rsidRDefault="00000000" w:rsidRPr="00000000" w14:paraId="00000121">
            <w:pPr>
              <w:rPr/>
            </w:pPr>
            <w:r w:rsidDel="00000000" w:rsidR="00000000" w:rsidRPr="00000000">
              <w:rPr>
                <w:rtl w:val="0"/>
              </w:rPr>
              <w:t xml:space="preserve">1</w:t>
            </w:r>
          </w:p>
        </w:tc>
        <w:tc>
          <w:tcPr/>
          <w:p w:rsidR="00000000" w:rsidDel="00000000" w:rsidP="00000000" w:rsidRDefault="00000000" w:rsidRPr="00000000" w14:paraId="00000122">
            <w:pPr>
              <w:rPr/>
            </w:pPr>
            <w:r w:rsidDel="00000000" w:rsidR="00000000" w:rsidRPr="00000000">
              <w:rPr>
                <w:rtl w:val="0"/>
              </w:rPr>
              <w:t xml:space="preserve">200</w:t>
            </w:r>
          </w:p>
        </w:tc>
        <w:tc>
          <w:tcPr/>
          <w:p w:rsidR="00000000" w:rsidDel="00000000" w:rsidP="00000000" w:rsidRDefault="00000000" w:rsidRPr="00000000" w14:paraId="00000123">
            <w:pPr>
              <w:rPr/>
            </w:pPr>
            <w:r w:rsidDel="00000000" w:rsidR="00000000" w:rsidRPr="00000000">
              <w:rPr>
                <w:rtl w:val="0"/>
              </w:rPr>
              <w:t xml:space="preserve">-50</w:t>
            </w:r>
          </w:p>
        </w:tc>
        <w:tc>
          <w:tcPr/>
          <w:p w:rsidR="00000000" w:rsidDel="00000000" w:rsidP="00000000" w:rsidRDefault="00000000" w:rsidRPr="00000000" w14:paraId="00000124">
            <w:pPr>
              <w:rPr/>
            </w:pPr>
            <w:r w:rsidDel="00000000" w:rsidR="00000000" w:rsidRPr="00000000">
              <w:rPr>
                <w:rtl w:val="0"/>
              </w:rPr>
              <w:t xml:space="preserve">+30</w:t>
            </w:r>
          </w:p>
        </w:tc>
        <w:tc>
          <w:tcPr/>
          <w:p w:rsidR="00000000" w:rsidDel="00000000" w:rsidP="00000000" w:rsidRDefault="00000000" w:rsidRPr="00000000" w14:paraId="00000125">
            <w:pPr>
              <w:rPr/>
            </w:pPr>
            <w:r w:rsidDel="00000000" w:rsidR="00000000" w:rsidRPr="00000000">
              <w:rPr>
                <w:rtl w:val="0"/>
              </w:rPr>
              <w:t xml:space="preserve">180</w:t>
            </w:r>
          </w:p>
        </w:tc>
      </w:tr>
      <w:tr>
        <w:trPr>
          <w:cantSplit w:val="0"/>
          <w:tblHeader w:val="0"/>
        </w:trPr>
        <w:tc>
          <w:tcPr/>
          <w:p w:rsidR="00000000" w:rsidDel="00000000" w:rsidP="00000000" w:rsidRDefault="00000000" w:rsidRPr="00000000" w14:paraId="00000126">
            <w:pPr>
              <w:rPr/>
            </w:pPr>
            <w:r w:rsidDel="00000000" w:rsidR="00000000" w:rsidRPr="00000000">
              <w:rPr>
                <w:rtl w:val="0"/>
              </w:rPr>
              <w:t xml:space="preserve">2</w:t>
            </w:r>
          </w:p>
        </w:tc>
        <w:tc>
          <w:tcPr/>
          <w:p w:rsidR="00000000" w:rsidDel="00000000" w:rsidP="00000000" w:rsidRDefault="00000000" w:rsidRPr="00000000" w14:paraId="00000127">
            <w:pPr>
              <w:rPr/>
            </w:pPr>
            <w:r w:rsidDel="00000000" w:rsidR="00000000" w:rsidRPr="00000000">
              <w:rPr>
                <w:rtl w:val="0"/>
              </w:rPr>
              <w:t xml:space="preserve">400</w:t>
            </w:r>
          </w:p>
        </w:tc>
        <w:tc>
          <w:tcPr/>
          <w:p w:rsidR="00000000" w:rsidDel="00000000" w:rsidP="00000000" w:rsidRDefault="00000000" w:rsidRPr="00000000" w14:paraId="00000128">
            <w:pPr>
              <w:rPr/>
            </w:pPr>
            <w:r w:rsidDel="00000000" w:rsidR="00000000" w:rsidRPr="00000000">
              <w:rPr>
                <w:rtl w:val="0"/>
              </w:rPr>
              <w:t xml:space="preserve">-100</w:t>
            </w:r>
          </w:p>
        </w:tc>
        <w:tc>
          <w:tcPr/>
          <w:p w:rsidR="00000000" w:rsidDel="00000000" w:rsidP="00000000" w:rsidRDefault="00000000" w:rsidRPr="00000000" w14:paraId="00000129">
            <w:pPr>
              <w:rPr/>
            </w:pPr>
            <w:r w:rsidDel="00000000" w:rsidR="00000000" w:rsidRPr="00000000">
              <w:rPr>
                <w:rtl w:val="0"/>
              </w:rPr>
              <w:t xml:space="preserve">+30</w:t>
            </w:r>
          </w:p>
        </w:tc>
        <w:tc>
          <w:tcPr/>
          <w:p w:rsidR="00000000" w:rsidDel="00000000" w:rsidP="00000000" w:rsidRDefault="00000000" w:rsidRPr="00000000" w14:paraId="0000012A">
            <w:pPr>
              <w:rPr/>
            </w:pPr>
            <w:r w:rsidDel="00000000" w:rsidR="00000000" w:rsidRPr="00000000">
              <w:rPr>
                <w:rtl w:val="0"/>
              </w:rPr>
              <w:t xml:space="preserve">330</w:t>
            </w:r>
          </w:p>
        </w:tc>
      </w:tr>
      <w:tr>
        <w:trPr>
          <w:cantSplit w:val="0"/>
          <w:tblHeader w:val="0"/>
        </w:trPr>
        <w:tc>
          <w:tcPr/>
          <w:p w:rsidR="00000000" w:rsidDel="00000000" w:rsidP="00000000" w:rsidRDefault="00000000" w:rsidRPr="00000000" w14:paraId="0000012B">
            <w:pPr>
              <w:rPr/>
            </w:pPr>
            <w:r w:rsidDel="00000000" w:rsidR="00000000" w:rsidRPr="00000000">
              <w:rPr>
                <w:rtl w:val="0"/>
              </w:rPr>
              <w:t xml:space="preserve">3</w:t>
            </w:r>
          </w:p>
        </w:tc>
        <w:tc>
          <w:tcPr/>
          <w:p w:rsidR="00000000" w:rsidDel="00000000" w:rsidP="00000000" w:rsidRDefault="00000000" w:rsidRPr="00000000" w14:paraId="0000012C">
            <w:pPr>
              <w:rPr/>
            </w:pPr>
            <w:r w:rsidDel="00000000" w:rsidR="00000000" w:rsidRPr="00000000">
              <w:rPr>
                <w:rtl w:val="0"/>
              </w:rPr>
              <w:t xml:space="preserve">500</w:t>
            </w:r>
          </w:p>
        </w:tc>
        <w:tc>
          <w:tcPr/>
          <w:p w:rsidR="00000000" w:rsidDel="00000000" w:rsidP="00000000" w:rsidRDefault="00000000" w:rsidRPr="00000000" w14:paraId="0000012D">
            <w:pPr>
              <w:rPr/>
            </w:pPr>
            <w:r w:rsidDel="00000000" w:rsidR="00000000" w:rsidRPr="00000000">
              <w:rPr>
                <w:rtl w:val="0"/>
              </w:rPr>
              <w:t xml:space="preserve">-125</w:t>
            </w:r>
          </w:p>
        </w:tc>
        <w:tc>
          <w:tcPr/>
          <w:p w:rsidR="00000000" w:rsidDel="00000000" w:rsidP="00000000" w:rsidRDefault="00000000" w:rsidRPr="00000000" w14:paraId="0000012E">
            <w:pPr>
              <w:rPr/>
            </w:pPr>
            <w:r w:rsidDel="00000000" w:rsidR="00000000" w:rsidRPr="00000000">
              <w:rPr>
                <w:rtl w:val="0"/>
              </w:rPr>
              <w:t xml:space="preserve">+30</w:t>
            </w:r>
          </w:p>
        </w:tc>
        <w:tc>
          <w:tcPr/>
          <w:p w:rsidR="00000000" w:rsidDel="00000000" w:rsidP="00000000" w:rsidRDefault="00000000" w:rsidRPr="00000000" w14:paraId="0000012F">
            <w:pPr>
              <w:rPr/>
            </w:pPr>
            <w:r w:rsidDel="00000000" w:rsidR="00000000" w:rsidRPr="00000000">
              <w:rPr>
                <w:rtl w:val="0"/>
              </w:rPr>
              <w:t xml:space="preserve">405</w:t>
            </w:r>
          </w:p>
        </w:tc>
      </w:tr>
      <w:tr>
        <w:trPr>
          <w:cantSplit w:val="0"/>
          <w:tblHeader w:val="0"/>
        </w:trPr>
        <w:tc>
          <w:tcPr/>
          <w:p w:rsidR="00000000" w:rsidDel="00000000" w:rsidP="00000000" w:rsidRDefault="00000000" w:rsidRPr="00000000" w14:paraId="00000130">
            <w:pPr>
              <w:rPr/>
            </w:pPr>
            <w:r w:rsidDel="00000000" w:rsidR="00000000" w:rsidRPr="00000000">
              <w:rPr>
                <w:rtl w:val="0"/>
              </w:rPr>
              <w:t xml:space="preserve">4</w:t>
            </w:r>
          </w:p>
        </w:tc>
        <w:tc>
          <w:tcPr/>
          <w:p w:rsidR="00000000" w:rsidDel="00000000" w:rsidP="00000000" w:rsidRDefault="00000000" w:rsidRPr="00000000" w14:paraId="00000131">
            <w:pPr>
              <w:rPr/>
            </w:pPr>
            <w:r w:rsidDel="00000000" w:rsidR="00000000" w:rsidRPr="00000000">
              <w:rPr>
                <w:rtl w:val="0"/>
              </w:rPr>
              <w:t xml:space="preserve">700</w:t>
            </w:r>
          </w:p>
        </w:tc>
        <w:tc>
          <w:tcPr/>
          <w:p w:rsidR="00000000" w:rsidDel="00000000" w:rsidP="00000000" w:rsidRDefault="00000000" w:rsidRPr="00000000" w14:paraId="00000132">
            <w:pPr>
              <w:rPr/>
            </w:pPr>
            <w:r w:rsidDel="00000000" w:rsidR="00000000" w:rsidRPr="00000000">
              <w:rPr>
                <w:rtl w:val="0"/>
              </w:rPr>
              <w:t xml:space="preserve">-175</w:t>
            </w:r>
          </w:p>
        </w:tc>
        <w:tc>
          <w:tcPr/>
          <w:p w:rsidR="00000000" w:rsidDel="00000000" w:rsidP="00000000" w:rsidRDefault="00000000" w:rsidRPr="00000000" w14:paraId="00000133">
            <w:pPr>
              <w:rPr/>
            </w:pPr>
            <w:r w:rsidDel="00000000" w:rsidR="00000000" w:rsidRPr="00000000">
              <w:rPr>
                <w:rtl w:val="0"/>
              </w:rPr>
              <w:t xml:space="preserve">+30</w:t>
            </w:r>
          </w:p>
        </w:tc>
        <w:tc>
          <w:tcPr/>
          <w:p w:rsidR="00000000" w:rsidDel="00000000" w:rsidP="00000000" w:rsidRDefault="00000000" w:rsidRPr="00000000" w14:paraId="00000134">
            <w:pPr>
              <w:rPr/>
            </w:pPr>
            <w:r w:rsidDel="00000000" w:rsidR="00000000" w:rsidRPr="00000000">
              <w:rPr>
                <w:rtl w:val="0"/>
              </w:rPr>
              <w:t xml:space="preserve">555</w:t>
            </w:r>
          </w:p>
        </w:tc>
      </w:tr>
    </w:tbl>
    <w:p w:rsidR="00000000" w:rsidDel="00000000" w:rsidP="00000000" w:rsidRDefault="00000000" w:rsidRPr="00000000" w14:paraId="00000135">
      <w:pPr>
        <w:rPr/>
      </w:pPr>
      <w:r w:rsidDel="00000000" w:rsidR="00000000" w:rsidRPr="00000000">
        <w:rPr>
          <w:b w:val="1"/>
          <w:bCs w:val="1"/>
          <w:rtl w:val="0"/>
        </w:rPr>
        <w:t xml:space="preserve">Discount factors @ 6%:</w:t>
      </w: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Year 1: 0.9434</w:t>
      </w:r>
    </w:p>
    <w:p w:rsidR="00000000" w:rsidDel="00000000" w:rsidP="00000000" w:rsidRDefault="00000000" w:rsidRPr="00000000" w14:paraId="00000137">
      <w:pPr>
        <w:rPr/>
      </w:pPr>
      <w:r w:rsidDel="00000000" w:rsidR="00000000" w:rsidRPr="00000000">
        <w:rPr>
          <w:rtl w:val="0"/>
        </w:rPr>
        <w:t xml:space="preserve">Year 2: 0.8900</w:t>
      </w:r>
    </w:p>
    <w:p w:rsidR="00000000" w:rsidDel="00000000" w:rsidP="00000000" w:rsidRDefault="00000000" w:rsidRPr="00000000" w14:paraId="00000138">
      <w:pPr>
        <w:rPr/>
      </w:pPr>
      <w:r w:rsidDel="00000000" w:rsidR="00000000" w:rsidRPr="00000000">
        <w:rPr>
          <w:rtl w:val="0"/>
        </w:rPr>
        <w:t xml:space="preserve">Year 3: 0.8396</w:t>
      </w:r>
    </w:p>
    <w:p w:rsidR="00000000" w:rsidDel="00000000" w:rsidP="00000000" w:rsidRDefault="00000000" w:rsidRPr="00000000" w14:paraId="00000139">
      <w:pPr>
        <w:rPr/>
      </w:pPr>
      <w:r w:rsidDel="00000000" w:rsidR="00000000" w:rsidRPr="00000000">
        <w:rPr>
          <w:rtl w:val="0"/>
        </w:rPr>
        <w:t xml:space="preserve">Year 4: 0.7921</w:t>
      </w:r>
    </w:p>
    <w:p w:rsidR="00000000" w:rsidDel="00000000" w:rsidP="00000000" w:rsidRDefault="00000000" w:rsidRPr="00000000" w14:paraId="0000013A">
      <w:pPr>
        <w:rPr/>
      </w:pPr>
      <w:r w:rsidDel="00000000" w:rsidR="00000000" w:rsidRPr="00000000">
        <w:rPr>
          <w:b w:val="1"/>
          <w:bCs w:val="1"/>
          <w:rtl w:val="0"/>
        </w:rPr>
        <w:t xml:space="preserve">Present values:</w:t>
      </w: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Year 1: 180 × 0.9434 = 169.8</w:t>
      </w:r>
    </w:p>
    <w:p w:rsidR="00000000" w:rsidDel="00000000" w:rsidP="00000000" w:rsidRDefault="00000000" w:rsidRPr="00000000" w14:paraId="0000013C">
      <w:pPr>
        <w:rPr/>
      </w:pPr>
      <w:r w:rsidDel="00000000" w:rsidR="00000000" w:rsidRPr="00000000">
        <w:rPr>
          <w:rtl w:val="0"/>
        </w:rPr>
        <w:t xml:space="preserve">Year 2: 330 × 0.8900 = 293.7</w:t>
      </w:r>
    </w:p>
    <w:p w:rsidR="00000000" w:rsidDel="00000000" w:rsidP="00000000" w:rsidRDefault="00000000" w:rsidRPr="00000000" w14:paraId="0000013D">
      <w:pPr>
        <w:rPr/>
      </w:pPr>
      <w:r w:rsidDel="00000000" w:rsidR="00000000" w:rsidRPr="00000000">
        <w:rPr>
          <w:rtl w:val="0"/>
        </w:rPr>
        <w:t xml:space="preserve">Year 3: 405 × 0.8396 = 340.0</w:t>
      </w:r>
    </w:p>
    <w:p w:rsidR="00000000" w:rsidDel="00000000" w:rsidP="00000000" w:rsidRDefault="00000000" w:rsidRPr="00000000" w14:paraId="0000013E">
      <w:pPr>
        <w:rPr/>
      </w:pPr>
      <w:r w:rsidDel="00000000" w:rsidR="00000000" w:rsidRPr="00000000">
        <w:rPr>
          <w:rtl w:val="0"/>
        </w:rPr>
        <w:t xml:space="preserve">Year 4: 555 × 0.7921 = 439.6</w:t>
      </w:r>
    </w:p>
    <w:p w:rsidR="00000000" w:rsidDel="00000000" w:rsidP="00000000" w:rsidRDefault="00000000" w:rsidRPr="00000000" w14:paraId="0000013F">
      <w:pPr>
        <w:rPr/>
      </w:pPr>
      <w:r w:rsidDel="00000000" w:rsidR="00000000" w:rsidRPr="00000000">
        <w:rPr>
          <w:b w:val="1"/>
          <w:bCs w:val="1"/>
          <w:rtl w:val="0"/>
        </w:rPr>
        <w:t xml:space="preserve">Total PV of inflows:</w:t>
      </w: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169.8 + 293.7 + 340.0 + 439.6 = £1,243,100</w:t>
      </w:r>
    </w:p>
    <w:p w:rsidR="00000000" w:rsidDel="00000000" w:rsidP="00000000" w:rsidRDefault="00000000" w:rsidRPr="00000000" w14:paraId="00000141">
      <w:pPr>
        <w:rPr/>
      </w:pPr>
      <w:r w:rsidDel="00000000" w:rsidR="00000000" w:rsidRPr="00000000">
        <w:rPr>
          <w:b w:val="1"/>
          <w:bCs w:val="1"/>
          <w:rtl w:val="0"/>
        </w:rPr>
        <w:t xml:space="preserve">NPV = PV inflows − Initial investment</w:t>
      </w: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NPV(A) = 1,243,100 − 600,000 = </w:t>
      </w:r>
      <w:r w:rsidDel="00000000" w:rsidR="00000000" w:rsidRPr="00000000">
        <w:rPr>
          <w:b w:val="1"/>
          <w:bCs w:val="1"/>
          <w:rtl w:val="0"/>
        </w:rPr>
        <w:t xml:space="preserve">£643,100</w:t>
      </w:r>
      <w:r w:rsidDel="00000000" w:rsidR="00000000" w:rsidRPr="00000000">
        <w:rPr>
          <w:rtl w:val="0"/>
        </w:rPr>
      </w:r>
    </w:p>
    <w:p w:rsidR="00000000" w:rsidDel="00000000" w:rsidP="00000000" w:rsidRDefault="00000000" w:rsidRPr="00000000" w14:paraId="00000143">
      <w:pPr>
        <w:pStyle w:val="Heading3"/>
        <w:rPr/>
      </w:pPr>
      <w:bookmarkStart w:colFirst="0" w:colLast="0" w:name="_eqbar9z7c4d8" w:id="12"/>
      <w:bookmarkEnd w:id="12"/>
      <w:r w:rsidDel="00000000" w:rsidR="00000000" w:rsidRPr="00000000">
        <w:rPr>
          <w:rtl w:val="0"/>
        </w:rPr>
        <w:t xml:space="preserve">3.3 Project B NPV Calculation</w:t>
      </w:r>
    </w:p>
    <w:p w:rsidR="00000000" w:rsidDel="00000000" w:rsidP="00000000" w:rsidRDefault="00000000" w:rsidRPr="00000000" w14:paraId="00000144">
      <w:pPr>
        <w:rPr/>
      </w:pPr>
      <w:r w:rsidDel="00000000" w:rsidR="00000000" w:rsidRPr="00000000">
        <w:rPr>
          <w:rtl w:val="0"/>
        </w:rPr>
        <w:t xml:space="preserve">Initial investment: £1,000,000</w:t>
      </w:r>
    </w:p>
    <w:p w:rsidR="00000000" w:rsidDel="00000000" w:rsidP="00000000" w:rsidRDefault="00000000" w:rsidRPr="00000000" w14:paraId="00000145">
      <w:pPr>
        <w:rPr/>
      </w:pPr>
      <w:r w:rsidDel="00000000" w:rsidR="00000000" w:rsidRPr="00000000">
        <w:rPr>
          <w:rtl w:val="0"/>
        </w:rPr>
        <w:t xml:space="preserve">Capital allowance tax saving:</w:t>
      </w:r>
    </w:p>
    <w:p w:rsidR="00000000" w:rsidDel="00000000" w:rsidP="00000000" w:rsidRDefault="00000000" w:rsidRPr="00000000" w14:paraId="00000146">
      <w:pPr>
        <w:rPr/>
      </w:pPr>
      <w:r w:rsidDel="00000000" w:rsidR="00000000" w:rsidRPr="00000000">
        <w:rPr>
          <w:rtl w:val="0"/>
        </w:rPr>
        <w:t xml:space="preserve">Annual allowance = 20% × 1,000,000 = £200,000</w:t>
      </w:r>
    </w:p>
    <w:p w:rsidR="00000000" w:rsidDel="00000000" w:rsidP="00000000" w:rsidRDefault="00000000" w:rsidRPr="00000000" w14:paraId="00000147">
      <w:pPr>
        <w:rPr/>
      </w:pPr>
      <w:r w:rsidDel="00000000" w:rsidR="00000000" w:rsidRPr="00000000">
        <w:rPr>
          <w:rtl w:val="0"/>
        </w:rPr>
        <w:t xml:space="preserve">Tax saving = 25% × 200,000 = £50,000 per year</w:t>
      </w:r>
    </w:p>
    <w:p w:rsidR="00000000" w:rsidDel="00000000" w:rsidP="00000000" w:rsidRDefault="00000000" w:rsidRPr="00000000" w14:paraId="00000148">
      <w:pPr>
        <w:rPr/>
      </w:pPr>
      <w:r w:rsidDel="00000000" w:rsidR="00000000" w:rsidRPr="00000000">
        <w:rPr>
          <w:rtl w:val="0"/>
        </w:rPr>
        <w:t xml:space="preserve">Post-tax cash flows (£’000):</w:t>
      </w:r>
    </w:p>
    <w:tbl>
      <w:tblPr>
        <w:tblStyle w:val="Table3"/>
        <w:tblW w:w="6121.999999999999" w:type="dxa"/>
        <w:jc w:val="center"/>
        <w:tblBorders>
          <w:top w:color="47d45a" w:space="0" w:sz="4" w:val="single"/>
          <w:left w:color="47d45a" w:space="0" w:sz="4" w:val="single"/>
          <w:bottom w:color="47d45a" w:space="0" w:sz="4" w:val="single"/>
          <w:right w:color="47d45a" w:space="0" w:sz="4" w:val="single"/>
          <w:insideH w:color="47d45a" w:space="0" w:sz="4" w:val="single"/>
          <w:insideV w:color="47d45a" w:space="0" w:sz="4" w:val="single"/>
        </w:tblBorders>
        <w:tblLayout w:type="fixed"/>
        <w:tblLook w:val="04A0"/>
      </w:tblPr>
      <w:tblGrid>
        <w:gridCol w:w="723"/>
        <w:gridCol w:w="1356"/>
        <w:gridCol w:w="1310"/>
        <w:gridCol w:w="1777"/>
        <w:gridCol w:w="956"/>
        <w:tblGridChange w:id="0">
          <w:tblGrid>
            <w:gridCol w:w="723"/>
            <w:gridCol w:w="1356"/>
            <w:gridCol w:w="1310"/>
            <w:gridCol w:w="1777"/>
            <w:gridCol w:w="956"/>
          </w:tblGrid>
        </w:tblGridChange>
      </w:tblGrid>
      <w:tr>
        <w:trPr>
          <w:cantSplit w:val="0"/>
          <w:tblHeader w:val="0"/>
        </w:trPr>
        <w:tc>
          <w:tcPr/>
          <w:p w:rsidR="00000000" w:rsidDel="00000000" w:rsidP="00000000" w:rsidRDefault="00000000" w:rsidRPr="00000000" w14:paraId="00000149">
            <w:pPr>
              <w:rPr/>
            </w:pPr>
            <w:r w:rsidDel="00000000" w:rsidR="00000000" w:rsidRPr="00000000">
              <w:rPr>
                <w:rtl w:val="0"/>
              </w:rPr>
              <w:t xml:space="preserve">Year</w:t>
            </w:r>
          </w:p>
        </w:tc>
        <w:tc>
          <w:tcPr/>
          <w:p w:rsidR="00000000" w:rsidDel="00000000" w:rsidP="00000000" w:rsidRDefault="00000000" w:rsidRPr="00000000" w14:paraId="0000014A">
            <w:pPr>
              <w:rPr/>
            </w:pPr>
            <w:r w:rsidDel="00000000" w:rsidR="00000000" w:rsidRPr="00000000">
              <w:rPr>
                <w:rtl w:val="0"/>
              </w:rPr>
              <w:t xml:space="preserve">Pre-tax CF</w:t>
            </w:r>
          </w:p>
        </w:tc>
        <w:tc>
          <w:tcPr/>
          <w:p w:rsidR="00000000" w:rsidDel="00000000" w:rsidP="00000000" w:rsidRDefault="00000000" w:rsidRPr="00000000" w14:paraId="0000014B">
            <w:pPr>
              <w:rPr/>
            </w:pPr>
            <w:r w:rsidDel="00000000" w:rsidR="00000000" w:rsidRPr="00000000">
              <w:rPr>
                <w:rtl w:val="0"/>
              </w:rPr>
              <w:t xml:space="preserve">Tax on CF</w:t>
            </w:r>
          </w:p>
        </w:tc>
        <w:tc>
          <w:tcPr/>
          <w:p w:rsidR="00000000" w:rsidDel="00000000" w:rsidP="00000000" w:rsidRDefault="00000000" w:rsidRPr="00000000" w14:paraId="0000014C">
            <w:pPr>
              <w:rPr/>
            </w:pPr>
            <w:r w:rsidDel="00000000" w:rsidR="00000000" w:rsidRPr="00000000">
              <w:rPr>
                <w:rtl w:val="0"/>
              </w:rPr>
              <w:t xml:space="preserve">CA Tax Saving</w:t>
            </w:r>
          </w:p>
        </w:tc>
        <w:tc>
          <w:tcPr/>
          <w:p w:rsidR="00000000" w:rsidDel="00000000" w:rsidP="00000000" w:rsidRDefault="00000000" w:rsidRPr="00000000" w14:paraId="0000014D">
            <w:pPr>
              <w:rPr/>
            </w:pPr>
            <w:r w:rsidDel="00000000" w:rsidR="00000000" w:rsidRPr="00000000">
              <w:rPr>
                <w:rtl w:val="0"/>
              </w:rPr>
              <w:t xml:space="preserve">Net CF</w:t>
            </w:r>
          </w:p>
        </w:tc>
      </w:tr>
      <w:tr>
        <w:trPr>
          <w:cantSplit w:val="0"/>
          <w:tblHeader w:val="0"/>
        </w:trPr>
        <w:tc>
          <w:tcPr/>
          <w:p w:rsidR="00000000" w:rsidDel="00000000" w:rsidP="00000000" w:rsidRDefault="00000000" w:rsidRPr="00000000" w14:paraId="0000014E">
            <w:pPr>
              <w:rPr/>
            </w:pPr>
            <w:r w:rsidDel="00000000" w:rsidR="00000000" w:rsidRPr="00000000">
              <w:rPr>
                <w:rtl w:val="0"/>
              </w:rPr>
              <w:t xml:space="preserve">1</w:t>
            </w:r>
          </w:p>
        </w:tc>
        <w:tc>
          <w:tcPr/>
          <w:p w:rsidR="00000000" w:rsidDel="00000000" w:rsidP="00000000" w:rsidRDefault="00000000" w:rsidRPr="00000000" w14:paraId="0000014F">
            <w:pPr>
              <w:rPr/>
            </w:pPr>
            <w:r w:rsidDel="00000000" w:rsidR="00000000" w:rsidRPr="00000000">
              <w:rPr>
                <w:rtl w:val="0"/>
              </w:rPr>
              <w:t xml:space="preserve">400</w:t>
            </w:r>
          </w:p>
        </w:tc>
        <w:tc>
          <w:tcPr/>
          <w:p w:rsidR="00000000" w:rsidDel="00000000" w:rsidP="00000000" w:rsidRDefault="00000000" w:rsidRPr="00000000" w14:paraId="00000150">
            <w:pPr>
              <w:rPr/>
            </w:pPr>
            <w:r w:rsidDel="00000000" w:rsidR="00000000" w:rsidRPr="00000000">
              <w:rPr>
                <w:rtl w:val="0"/>
              </w:rPr>
              <w:t xml:space="preserve">-100</w:t>
            </w:r>
          </w:p>
        </w:tc>
        <w:tc>
          <w:tcPr/>
          <w:p w:rsidR="00000000" w:rsidDel="00000000" w:rsidP="00000000" w:rsidRDefault="00000000" w:rsidRPr="00000000" w14:paraId="00000151">
            <w:pPr>
              <w:rPr/>
            </w:pPr>
            <w:r w:rsidDel="00000000" w:rsidR="00000000" w:rsidRPr="00000000">
              <w:rPr>
                <w:rtl w:val="0"/>
              </w:rPr>
              <w:t xml:space="preserve">+50</w:t>
            </w:r>
          </w:p>
        </w:tc>
        <w:tc>
          <w:tcPr/>
          <w:p w:rsidR="00000000" w:rsidDel="00000000" w:rsidP="00000000" w:rsidRDefault="00000000" w:rsidRPr="00000000" w14:paraId="00000152">
            <w:pPr>
              <w:rPr/>
            </w:pPr>
            <w:r w:rsidDel="00000000" w:rsidR="00000000" w:rsidRPr="00000000">
              <w:rPr>
                <w:rtl w:val="0"/>
              </w:rPr>
              <w:t xml:space="preserve">350</w:t>
            </w:r>
          </w:p>
        </w:tc>
      </w:tr>
      <w:tr>
        <w:trPr>
          <w:cantSplit w:val="0"/>
          <w:tblHeader w:val="0"/>
        </w:trPr>
        <w:tc>
          <w:tcPr/>
          <w:p w:rsidR="00000000" w:rsidDel="00000000" w:rsidP="00000000" w:rsidRDefault="00000000" w:rsidRPr="00000000" w14:paraId="00000153">
            <w:pPr>
              <w:rPr/>
            </w:pPr>
            <w:r w:rsidDel="00000000" w:rsidR="00000000" w:rsidRPr="00000000">
              <w:rPr>
                <w:rtl w:val="0"/>
              </w:rPr>
              <w:t xml:space="preserve">2</w:t>
            </w:r>
          </w:p>
        </w:tc>
        <w:tc>
          <w:tcPr/>
          <w:p w:rsidR="00000000" w:rsidDel="00000000" w:rsidP="00000000" w:rsidRDefault="00000000" w:rsidRPr="00000000" w14:paraId="00000154">
            <w:pPr>
              <w:rPr/>
            </w:pPr>
            <w:r w:rsidDel="00000000" w:rsidR="00000000" w:rsidRPr="00000000">
              <w:rPr>
                <w:rtl w:val="0"/>
              </w:rPr>
              <w:t xml:space="preserve">450</w:t>
            </w:r>
          </w:p>
        </w:tc>
        <w:tc>
          <w:tcPr/>
          <w:p w:rsidR="00000000" w:rsidDel="00000000" w:rsidP="00000000" w:rsidRDefault="00000000" w:rsidRPr="00000000" w14:paraId="00000155">
            <w:pPr>
              <w:rPr/>
            </w:pPr>
            <w:r w:rsidDel="00000000" w:rsidR="00000000" w:rsidRPr="00000000">
              <w:rPr>
                <w:rtl w:val="0"/>
              </w:rPr>
              <w:t xml:space="preserve">-112.5</w:t>
            </w:r>
          </w:p>
        </w:tc>
        <w:tc>
          <w:tcPr/>
          <w:p w:rsidR="00000000" w:rsidDel="00000000" w:rsidP="00000000" w:rsidRDefault="00000000" w:rsidRPr="00000000" w14:paraId="00000156">
            <w:pPr>
              <w:rPr/>
            </w:pPr>
            <w:r w:rsidDel="00000000" w:rsidR="00000000" w:rsidRPr="00000000">
              <w:rPr>
                <w:rtl w:val="0"/>
              </w:rPr>
              <w:t xml:space="preserve">+50</w:t>
            </w:r>
          </w:p>
        </w:tc>
        <w:tc>
          <w:tcPr/>
          <w:p w:rsidR="00000000" w:rsidDel="00000000" w:rsidP="00000000" w:rsidRDefault="00000000" w:rsidRPr="00000000" w14:paraId="00000157">
            <w:pPr>
              <w:rPr/>
            </w:pPr>
            <w:r w:rsidDel="00000000" w:rsidR="00000000" w:rsidRPr="00000000">
              <w:rPr>
                <w:rtl w:val="0"/>
              </w:rPr>
              <w:t xml:space="preserve">387.5</w:t>
            </w:r>
          </w:p>
        </w:tc>
      </w:tr>
      <w:tr>
        <w:trPr>
          <w:cantSplit w:val="0"/>
          <w:tblHeader w:val="0"/>
        </w:trPr>
        <w:tc>
          <w:tcPr/>
          <w:p w:rsidR="00000000" w:rsidDel="00000000" w:rsidP="00000000" w:rsidRDefault="00000000" w:rsidRPr="00000000" w14:paraId="00000158">
            <w:pPr>
              <w:rPr/>
            </w:pPr>
            <w:r w:rsidDel="00000000" w:rsidR="00000000" w:rsidRPr="00000000">
              <w:rPr>
                <w:rtl w:val="0"/>
              </w:rPr>
              <w:t xml:space="preserve">3</w:t>
            </w:r>
          </w:p>
        </w:tc>
        <w:tc>
          <w:tcPr/>
          <w:p w:rsidR="00000000" w:rsidDel="00000000" w:rsidP="00000000" w:rsidRDefault="00000000" w:rsidRPr="00000000" w14:paraId="00000159">
            <w:pPr>
              <w:rPr/>
            </w:pPr>
            <w:r w:rsidDel="00000000" w:rsidR="00000000" w:rsidRPr="00000000">
              <w:rPr>
                <w:rtl w:val="0"/>
              </w:rPr>
              <w:t xml:space="preserve">720</w:t>
            </w:r>
          </w:p>
        </w:tc>
        <w:tc>
          <w:tcPr/>
          <w:p w:rsidR="00000000" w:rsidDel="00000000" w:rsidP="00000000" w:rsidRDefault="00000000" w:rsidRPr="00000000" w14:paraId="0000015A">
            <w:pPr>
              <w:rPr/>
            </w:pPr>
            <w:r w:rsidDel="00000000" w:rsidR="00000000" w:rsidRPr="00000000">
              <w:rPr>
                <w:rtl w:val="0"/>
              </w:rPr>
              <w:t xml:space="preserve">-180</w:t>
            </w:r>
          </w:p>
        </w:tc>
        <w:tc>
          <w:tcPr/>
          <w:p w:rsidR="00000000" w:rsidDel="00000000" w:rsidP="00000000" w:rsidRDefault="00000000" w:rsidRPr="00000000" w14:paraId="0000015B">
            <w:pPr>
              <w:rPr/>
            </w:pPr>
            <w:r w:rsidDel="00000000" w:rsidR="00000000" w:rsidRPr="00000000">
              <w:rPr>
                <w:rtl w:val="0"/>
              </w:rPr>
              <w:t xml:space="preserve">+50</w:t>
            </w:r>
          </w:p>
        </w:tc>
        <w:tc>
          <w:tcPr/>
          <w:p w:rsidR="00000000" w:rsidDel="00000000" w:rsidP="00000000" w:rsidRDefault="00000000" w:rsidRPr="00000000" w14:paraId="0000015C">
            <w:pPr>
              <w:rPr/>
            </w:pPr>
            <w:r w:rsidDel="00000000" w:rsidR="00000000" w:rsidRPr="00000000">
              <w:rPr>
                <w:rtl w:val="0"/>
              </w:rPr>
              <w:t xml:space="preserve">590</w:t>
            </w:r>
          </w:p>
        </w:tc>
      </w:tr>
      <w:tr>
        <w:trPr>
          <w:cantSplit w:val="0"/>
          <w:tblHeader w:val="0"/>
        </w:trPr>
        <w:tc>
          <w:tcPr/>
          <w:p w:rsidR="00000000" w:rsidDel="00000000" w:rsidP="00000000" w:rsidRDefault="00000000" w:rsidRPr="00000000" w14:paraId="0000015D">
            <w:pPr>
              <w:rPr/>
            </w:pPr>
            <w:r w:rsidDel="00000000" w:rsidR="00000000" w:rsidRPr="00000000">
              <w:rPr>
                <w:rtl w:val="0"/>
              </w:rPr>
              <w:t xml:space="preserve">4</w:t>
            </w:r>
          </w:p>
        </w:tc>
        <w:tc>
          <w:tcPr/>
          <w:p w:rsidR="00000000" w:rsidDel="00000000" w:rsidP="00000000" w:rsidRDefault="00000000" w:rsidRPr="00000000" w14:paraId="0000015E">
            <w:pPr>
              <w:rPr/>
            </w:pPr>
            <w:r w:rsidDel="00000000" w:rsidR="00000000" w:rsidRPr="00000000">
              <w:rPr>
                <w:rtl w:val="0"/>
              </w:rPr>
              <w:t xml:space="preserve">980</w:t>
            </w:r>
          </w:p>
        </w:tc>
        <w:tc>
          <w:tcPr/>
          <w:p w:rsidR="00000000" w:rsidDel="00000000" w:rsidP="00000000" w:rsidRDefault="00000000" w:rsidRPr="00000000" w14:paraId="0000015F">
            <w:pPr>
              <w:rPr/>
            </w:pPr>
            <w:r w:rsidDel="00000000" w:rsidR="00000000" w:rsidRPr="00000000">
              <w:rPr>
                <w:rtl w:val="0"/>
              </w:rPr>
              <w:t xml:space="preserve">-245</w:t>
            </w:r>
          </w:p>
        </w:tc>
        <w:tc>
          <w:tcPr/>
          <w:p w:rsidR="00000000" w:rsidDel="00000000" w:rsidP="00000000" w:rsidRDefault="00000000" w:rsidRPr="00000000" w14:paraId="00000160">
            <w:pPr>
              <w:rPr/>
            </w:pPr>
            <w:r w:rsidDel="00000000" w:rsidR="00000000" w:rsidRPr="00000000">
              <w:rPr>
                <w:rtl w:val="0"/>
              </w:rPr>
              <w:t xml:space="preserve">+50</w:t>
            </w:r>
          </w:p>
        </w:tc>
        <w:tc>
          <w:tcPr/>
          <w:p w:rsidR="00000000" w:rsidDel="00000000" w:rsidP="00000000" w:rsidRDefault="00000000" w:rsidRPr="00000000" w14:paraId="00000161">
            <w:pPr>
              <w:rPr/>
            </w:pPr>
            <w:r w:rsidDel="00000000" w:rsidR="00000000" w:rsidRPr="00000000">
              <w:rPr>
                <w:rtl w:val="0"/>
              </w:rPr>
              <w:t xml:space="preserve">785</w:t>
            </w:r>
          </w:p>
        </w:tc>
      </w:tr>
    </w:tbl>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b w:val="1"/>
          <w:bCs w:val="1"/>
          <w:rtl w:val="0"/>
        </w:rPr>
        <w:t xml:space="preserve">Present values:</w:t>
      </w: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Year 1: 350 × 0.9434 = 330.2</w:t>
      </w:r>
    </w:p>
    <w:p w:rsidR="00000000" w:rsidDel="00000000" w:rsidP="00000000" w:rsidRDefault="00000000" w:rsidRPr="00000000" w14:paraId="00000165">
      <w:pPr>
        <w:rPr/>
      </w:pPr>
      <w:r w:rsidDel="00000000" w:rsidR="00000000" w:rsidRPr="00000000">
        <w:rPr>
          <w:rtl w:val="0"/>
        </w:rPr>
        <w:t xml:space="preserve">Year 2: 387.5 × 0.8900 = 344.9</w:t>
      </w:r>
    </w:p>
    <w:p w:rsidR="00000000" w:rsidDel="00000000" w:rsidP="00000000" w:rsidRDefault="00000000" w:rsidRPr="00000000" w14:paraId="00000166">
      <w:pPr>
        <w:rPr/>
      </w:pPr>
      <w:r w:rsidDel="00000000" w:rsidR="00000000" w:rsidRPr="00000000">
        <w:rPr>
          <w:rtl w:val="0"/>
        </w:rPr>
        <w:t xml:space="preserve">Year 3: 590 × 0.8396 = 495.4</w:t>
      </w:r>
    </w:p>
    <w:p w:rsidR="00000000" w:rsidDel="00000000" w:rsidP="00000000" w:rsidRDefault="00000000" w:rsidRPr="00000000" w14:paraId="00000167">
      <w:pPr>
        <w:rPr/>
      </w:pPr>
      <w:r w:rsidDel="00000000" w:rsidR="00000000" w:rsidRPr="00000000">
        <w:rPr>
          <w:rtl w:val="0"/>
        </w:rPr>
        <w:t xml:space="preserve">Year 4: 785 × 0.7921 = 621.8</w:t>
      </w:r>
    </w:p>
    <w:p w:rsidR="00000000" w:rsidDel="00000000" w:rsidP="00000000" w:rsidRDefault="00000000" w:rsidRPr="00000000" w14:paraId="00000168">
      <w:pPr>
        <w:rPr/>
      </w:pPr>
      <w:r w:rsidDel="00000000" w:rsidR="00000000" w:rsidRPr="00000000">
        <w:rPr>
          <w:b w:val="1"/>
          <w:bCs w:val="1"/>
          <w:rtl w:val="0"/>
        </w:rPr>
        <w:t xml:space="preserve">Total PV inflows:</w:t>
      </w: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330.2 + 344.9 + 495.4 + 621.8 = £1,792,300</w:t>
      </w:r>
    </w:p>
    <w:p w:rsidR="00000000" w:rsidDel="00000000" w:rsidP="00000000" w:rsidRDefault="00000000" w:rsidRPr="00000000" w14:paraId="0000016A">
      <w:pPr>
        <w:rPr/>
      </w:pPr>
      <w:r w:rsidDel="00000000" w:rsidR="00000000" w:rsidRPr="00000000">
        <w:rPr>
          <w:rtl w:val="0"/>
        </w:rPr>
        <w:t xml:space="preserve">NPV(B) = 1,792,300 − 1,000,000 = </w:t>
      </w:r>
      <w:r w:rsidDel="00000000" w:rsidR="00000000" w:rsidRPr="00000000">
        <w:rPr>
          <w:b w:val="1"/>
          <w:bCs w:val="1"/>
          <w:rtl w:val="0"/>
        </w:rPr>
        <w:t xml:space="preserve">£792,300</w:t>
      </w:r>
      <w:r w:rsidDel="00000000" w:rsidR="00000000" w:rsidRPr="00000000">
        <w:rPr>
          <w:rtl w:val="0"/>
        </w:rPr>
      </w:r>
    </w:p>
    <w:p w:rsidR="00000000" w:rsidDel="00000000" w:rsidP="00000000" w:rsidRDefault="00000000" w:rsidRPr="00000000" w14:paraId="0000016B">
      <w:pPr>
        <w:pStyle w:val="Heading3"/>
        <w:rPr/>
      </w:pPr>
      <w:bookmarkStart w:colFirst="0" w:colLast="0" w:name="_g7z703yyiz6y" w:id="13"/>
      <w:bookmarkEnd w:id="13"/>
      <w:r w:rsidDel="00000000" w:rsidR="00000000" w:rsidRPr="00000000">
        <w:rPr>
          <w:rtl w:val="0"/>
        </w:rPr>
        <w:t xml:space="preserve">3.4 Project C NPV Calculation</w:t>
      </w:r>
    </w:p>
    <w:p w:rsidR="00000000" w:rsidDel="00000000" w:rsidP="00000000" w:rsidRDefault="00000000" w:rsidRPr="00000000" w14:paraId="0000016C">
      <w:pPr>
        <w:rPr/>
      </w:pPr>
      <w:r w:rsidDel="00000000" w:rsidR="00000000" w:rsidRPr="00000000">
        <w:rPr>
          <w:rtl w:val="0"/>
        </w:rPr>
        <w:t xml:space="preserve">Initial investment: £1,600,000</w:t>
      </w:r>
    </w:p>
    <w:p w:rsidR="00000000" w:rsidDel="00000000" w:rsidP="00000000" w:rsidRDefault="00000000" w:rsidRPr="00000000" w14:paraId="0000016D">
      <w:pPr>
        <w:rPr/>
      </w:pPr>
      <w:r w:rsidDel="00000000" w:rsidR="00000000" w:rsidRPr="00000000">
        <w:rPr>
          <w:rtl w:val="0"/>
        </w:rPr>
        <w:t xml:space="preserve">Capital allowance tax saving:</w:t>
      </w:r>
    </w:p>
    <w:p w:rsidR="00000000" w:rsidDel="00000000" w:rsidP="00000000" w:rsidRDefault="00000000" w:rsidRPr="00000000" w14:paraId="0000016E">
      <w:pPr>
        <w:rPr/>
      </w:pPr>
      <w:r w:rsidDel="00000000" w:rsidR="00000000" w:rsidRPr="00000000">
        <w:rPr>
          <w:rtl w:val="0"/>
        </w:rPr>
        <w:t xml:space="preserve">Annual allowance = 20% × 1,600,000 = £320,000</w:t>
      </w:r>
    </w:p>
    <w:p w:rsidR="00000000" w:rsidDel="00000000" w:rsidP="00000000" w:rsidRDefault="00000000" w:rsidRPr="00000000" w14:paraId="0000016F">
      <w:pPr>
        <w:rPr/>
      </w:pPr>
      <w:r w:rsidDel="00000000" w:rsidR="00000000" w:rsidRPr="00000000">
        <w:rPr>
          <w:rtl w:val="0"/>
        </w:rPr>
        <w:t xml:space="preserve">Tax saving = 25% × 320,000 = £80,000 per year</w:t>
      </w:r>
    </w:p>
    <w:p w:rsidR="00000000" w:rsidDel="00000000" w:rsidP="00000000" w:rsidRDefault="00000000" w:rsidRPr="00000000" w14:paraId="00000170">
      <w:pPr>
        <w:rPr/>
      </w:pPr>
      <w:r w:rsidDel="00000000" w:rsidR="00000000" w:rsidRPr="00000000">
        <w:rPr>
          <w:rtl w:val="0"/>
        </w:rPr>
        <w:t xml:space="preserve">Post-tax cash flows (£’000):</w:t>
      </w:r>
    </w:p>
    <w:tbl>
      <w:tblPr>
        <w:tblStyle w:val="Table4"/>
        <w:tblW w:w="9016.0" w:type="dxa"/>
        <w:jc w:val="left"/>
        <w:tblBorders>
          <w:top w:color="47d45a" w:space="0" w:sz="4" w:val="single"/>
          <w:left w:color="47d45a" w:space="0" w:sz="4" w:val="single"/>
          <w:bottom w:color="47d45a" w:space="0" w:sz="4" w:val="single"/>
          <w:right w:color="47d45a" w:space="0" w:sz="4" w:val="single"/>
          <w:insideH w:color="47d45a" w:space="0" w:sz="4" w:val="single"/>
          <w:insideV w:color="47d45a" w:space="0" w:sz="4" w:val="single"/>
        </w:tblBorders>
        <w:tblLayout w:type="fixed"/>
        <w:tblLook w:val="04A0"/>
      </w:tblPr>
      <w:tblGrid>
        <w:gridCol w:w="723"/>
        <w:gridCol w:w="1759"/>
        <w:gridCol w:w="2282"/>
        <w:gridCol w:w="2783"/>
        <w:gridCol w:w="1469"/>
        <w:tblGridChange w:id="0">
          <w:tblGrid>
            <w:gridCol w:w="723"/>
            <w:gridCol w:w="1759"/>
            <w:gridCol w:w="2282"/>
            <w:gridCol w:w="2783"/>
            <w:gridCol w:w="1469"/>
          </w:tblGrid>
        </w:tblGridChange>
      </w:tblGrid>
      <w:tr>
        <w:trPr>
          <w:cantSplit w:val="0"/>
          <w:tblHeader w:val="0"/>
        </w:trPr>
        <w:tc>
          <w:tcPr/>
          <w:p w:rsidR="00000000" w:rsidDel="00000000" w:rsidP="00000000" w:rsidRDefault="00000000" w:rsidRPr="00000000" w14:paraId="00000171">
            <w:pPr>
              <w:rPr/>
            </w:pPr>
            <w:r w:rsidDel="00000000" w:rsidR="00000000" w:rsidRPr="00000000">
              <w:rPr>
                <w:rtl w:val="0"/>
              </w:rPr>
              <w:t xml:space="preserve">Year</w:t>
            </w:r>
          </w:p>
        </w:tc>
        <w:tc>
          <w:tcPr/>
          <w:p w:rsidR="00000000" w:rsidDel="00000000" w:rsidP="00000000" w:rsidRDefault="00000000" w:rsidRPr="00000000" w14:paraId="00000172">
            <w:pPr>
              <w:rPr/>
            </w:pPr>
            <w:r w:rsidDel="00000000" w:rsidR="00000000" w:rsidRPr="00000000">
              <w:rPr>
                <w:rtl w:val="0"/>
              </w:rPr>
              <w:t xml:space="preserve">Pre-tax Cash Flow</w:t>
            </w:r>
          </w:p>
        </w:tc>
        <w:tc>
          <w:tcPr/>
          <w:p w:rsidR="00000000" w:rsidDel="00000000" w:rsidP="00000000" w:rsidRDefault="00000000" w:rsidRPr="00000000" w14:paraId="00000173">
            <w:pPr>
              <w:rPr/>
            </w:pPr>
            <w:r w:rsidDel="00000000" w:rsidR="00000000" w:rsidRPr="00000000">
              <w:rPr>
                <w:rtl w:val="0"/>
              </w:rPr>
              <w:t xml:space="preserve">Tax on Cash Flow (25%)</w:t>
            </w:r>
          </w:p>
        </w:tc>
        <w:tc>
          <w:tcPr/>
          <w:p w:rsidR="00000000" w:rsidDel="00000000" w:rsidP="00000000" w:rsidRDefault="00000000" w:rsidRPr="00000000" w14:paraId="00000174">
            <w:pPr>
              <w:rPr/>
            </w:pPr>
            <w:r w:rsidDel="00000000" w:rsidR="00000000" w:rsidRPr="00000000">
              <w:rPr>
                <w:rtl w:val="0"/>
              </w:rPr>
              <w:t xml:space="preserve">Capital Allowance Tax Saving</w:t>
            </w:r>
          </w:p>
        </w:tc>
        <w:tc>
          <w:tcPr/>
          <w:p w:rsidR="00000000" w:rsidDel="00000000" w:rsidP="00000000" w:rsidRDefault="00000000" w:rsidRPr="00000000" w14:paraId="00000175">
            <w:pPr>
              <w:rPr/>
            </w:pPr>
            <w:r w:rsidDel="00000000" w:rsidR="00000000" w:rsidRPr="00000000">
              <w:rPr>
                <w:rtl w:val="0"/>
              </w:rPr>
              <w:t xml:space="preserve">Net Cash Flow</w:t>
            </w:r>
          </w:p>
        </w:tc>
      </w:tr>
      <w:tr>
        <w:trPr>
          <w:cantSplit w:val="0"/>
          <w:tblHeader w:val="0"/>
        </w:trPr>
        <w:tc>
          <w:tcPr/>
          <w:p w:rsidR="00000000" w:rsidDel="00000000" w:rsidP="00000000" w:rsidRDefault="00000000" w:rsidRPr="00000000" w14:paraId="00000176">
            <w:pPr>
              <w:rPr/>
            </w:pPr>
            <w:r w:rsidDel="00000000" w:rsidR="00000000" w:rsidRPr="00000000">
              <w:rPr>
                <w:rtl w:val="0"/>
              </w:rPr>
              <w:t xml:space="preserve">1</w:t>
            </w:r>
          </w:p>
        </w:tc>
        <w:tc>
          <w:tcPr/>
          <w:p w:rsidR="00000000" w:rsidDel="00000000" w:rsidP="00000000" w:rsidRDefault="00000000" w:rsidRPr="00000000" w14:paraId="00000177">
            <w:pPr>
              <w:rPr/>
            </w:pPr>
            <w:r w:rsidDel="00000000" w:rsidR="00000000" w:rsidRPr="00000000">
              <w:rPr>
                <w:rtl w:val="0"/>
              </w:rPr>
              <w:t xml:space="preserve">450</w:t>
            </w:r>
          </w:p>
        </w:tc>
        <w:tc>
          <w:tcPr/>
          <w:p w:rsidR="00000000" w:rsidDel="00000000" w:rsidP="00000000" w:rsidRDefault="00000000" w:rsidRPr="00000000" w14:paraId="00000178">
            <w:pPr>
              <w:rPr/>
            </w:pPr>
            <w:r w:rsidDel="00000000" w:rsidR="00000000" w:rsidRPr="00000000">
              <w:rPr>
                <w:rtl w:val="0"/>
              </w:rPr>
              <w:t xml:space="preserve">−112.5</w:t>
            </w:r>
          </w:p>
        </w:tc>
        <w:tc>
          <w:tcPr/>
          <w:p w:rsidR="00000000" w:rsidDel="00000000" w:rsidP="00000000" w:rsidRDefault="00000000" w:rsidRPr="00000000" w14:paraId="00000179">
            <w:pPr>
              <w:rPr/>
            </w:pPr>
            <w:r w:rsidDel="00000000" w:rsidR="00000000" w:rsidRPr="00000000">
              <w:rPr>
                <w:rtl w:val="0"/>
              </w:rPr>
              <w:t xml:space="preserve">+80</w:t>
            </w:r>
          </w:p>
        </w:tc>
        <w:tc>
          <w:tcPr/>
          <w:p w:rsidR="00000000" w:rsidDel="00000000" w:rsidP="00000000" w:rsidRDefault="00000000" w:rsidRPr="00000000" w14:paraId="0000017A">
            <w:pPr>
              <w:rPr/>
            </w:pPr>
            <w:r w:rsidDel="00000000" w:rsidR="00000000" w:rsidRPr="00000000">
              <w:rPr>
                <w:rtl w:val="0"/>
              </w:rPr>
              <w:t xml:space="preserve">417.5</w:t>
            </w:r>
          </w:p>
        </w:tc>
      </w:tr>
      <w:tr>
        <w:trPr>
          <w:cantSplit w:val="0"/>
          <w:tblHeader w:val="0"/>
        </w:trPr>
        <w:tc>
          <w:tcPr/>
          <w:p w:rsidR="00000000" w:rsidDel="00000000" w:rsidP="00000000" w:rsidRDefault="00000000" w:rsidRPr="00000000" w14:paraId="0000017B">
            <w:pPr>
              <w:rPr/>
            </w:pPr>
            <w:r w:rsidDel="00000000" w:rsidR="00000000" w:rsidRPr="00000000">
              <w:rPr>
                <w:rtl w:val="0"/>
              </w:rPr>
              <w:t xml:space="preserve">2</w:t>
            </w:r>
          </w:p>
        </w:tc>
        <w:tc>
          <w:tcPr/>
          <w:p w:rsidR="00000000" w:rsidDel="00000000" w:rsidP="00000000" w:rsidRDefault="00000000" w:rsidRPr="00000000" w14:paraId="0000017C">
            <w:pPr>
              <w:rPr/>
            </w:pPr>
            <w:r w:rsidDel="00000000" w:rsidR="00000000" w:rsidRPr="00000000">
              <w:rPr>
                <w:rtl w:val="0"/>
              </w:rPr>
              <w:t xml:space="preserve">700</w:t>
            </w:r>
          </w:p>
        </w:tc>
        <w:tc>
          <w:tcPr/>
          <w:p w:rsidR="00000000" w:rsidDel="00000000" w:rsidP="00000000" w:rsidRDefault="00000000" w:rsidRPr="00000000" w14:paraId="0000017D">
            <w:pPr>
              <w:rPr/>
            </w:pPr>
            <w:r w:rsidDel="00000000" w:rsidR="00000000" w:rsidRPr="00000000">
              <w:rPr>
                <w:rtl w:val="0"/>
              </w:rPr>
              <w:t xml:space="preserve">−175.0</w:t>
            </w:r>
          </w:p>
        </w:tc>
        <w:tc>
          <w:tcPr/>
          <w:p w:rsidR="00000000" w:rsidDel="00000000" w:rsidP="00000000" w:rsidRDefault="00000000" w:rsidRPr="00000000" w14:paraId="0000017E">
            <w:pPr>
              <w:rPr/>
            </w:pPr>
            <w:r w:rsidDel="00000000" w:rsidR="00000000" w:rsidRPr="00000000">
              <w:rPr>
                <w:rtl w:val="0"/>
              </w:rPr>
              <w:t xml:space="preserve">+80</w:t>
            </w:r>
          </w:p>
        </w:tc>
        <w:tc>
          <w:tcPr/>
          <w:p w:rsidR="00000000" w:rsidDel="00000000" w:rsidP="00000000" w:rsidRDefault="00000000" w:rsidRPr="00000000" w14:paraId="0000017F">
            <w:pPr>
              <w:rPr/>
            </w:pPr>
            <w:r w:rsidDel="00000000" w:rsidR="00000000" w:rsidRPr="00000000">
              <w:rPr>
                <w:rtl w:val="0"/>
              </w:rPr>
              <w:t xml:space="preserve">605.0</w:t>
            </w:r>
          </w:p>
        </w:tc>
      </w:tr>
      <w:tr>
        <w:trPr>
          <w:cantSplit w:val="0"/>
          <w:tblHeader w:val="0"/>
        </w:trPr>
        <w:tc>
          <w:tcPr/>
          <w:p w:rsidR="00000000" w:rsidDel="00000000" w:rsidP="00000000" w:rsidRDefault="00000000" w:rsidRPr="00000000" w14:paraId="00000180">
            <w:pPr>
              <w:rPr/>
            </w:pPr>
            <w:r w:rsidDel="00000000" w:rsidR="00000000" w:rsidRPr="00000000">
              <w:rPr>
                <w:rtl w:val="0"/>
              </w:rPr>
              <w:t xml:space="preserve">3</w:t>
            </w:r>
          </w:p>
        </w:tc>
        <w:tc>
          <w:tcPr/>
          <w:p w:rsidR="00000000" w:rsidDel="00000000" w:rsidP="00000000" w:rsidRDefault="00000000" w:rsidRPr="00000000" w14:paraId="00000181">
            <w:pPr>
              <w:rPr/>
            </w:pPr>
            <w:r w:rsidDel="00000000" w:rsidR="00000000" w:rsidRPr="00000000">
              <w:rPr>
                <w:rtl w:val="0"/>
              </w:rPr>
              <w:t xml:space="preserve">900</w:t>
            </w:r>
          </w:p>
        </w:tc>
        <w:tc>
          <w:tcPr/>
          <w:p w:rsidR="00000000" w:rsidDel="00000000" w:rsidP="00000000" w:rsidRDefault="00000000" w:rsidRPr="00000000" w14:paraId="00000182">
            <w:pPr>
              <w:rPr/>
            </w:pPr>
            <w:r w:rsidDel="00000000" w:rsidR="00000000" w:rsidRPr="00000000">
              <w:rPr>
                <w:rtl w:val="0"/>
              </w:rPr>
              <w:t xml:space="preserve">−225.0</w:t>
            </w:r>
          </w:p>
        </w:tc>
        <w:tc>
          <w:tcPr/>
          <w:p w:rsidR="00000000" w:rsidDel="00000000" w:rsidP="00000000" w:rsidRDefault="00000000" w:rsidRPr="00000000" w14:paraId="00000183">
            <w:pPr>
              <w:rPr/>
            </w:pPr>
            <w:r w:rsidDel="00000000" w:rsidR="00000000" w:rsidRPr="00000000">
              <w:rPr>
                <w:rtl w:val="0"/>
              </w:rPr>
              <w:t xml:space="preserve">+80</w:t>
            </w:r>
          </w:p>
        </w:tc>
        <w:tc>
          <w:tcPr/>
          <w:p w:rsidR="00000000" w:rsidDel="00000000" w:rsidP="00000000" w:rsidRDefault="00000000" w:rsidRPr="00000000" w14:paraId="00000184">
            <w:pPr>
              <w:rPr/>
            </w:pPr>
            <w:r w:rsidDel="00000000" w:rsidR="00000000" w:rsidRPr="00000000">
              <w:rPr>
                <w:rtl w:val="0"/>
              </w:rPr>
              <w:t xml:space="preserve">755.0</w:t>
            </w:r>
          </w:p>
        </w:tc>
      </w:tr>
      <w:tr>
        <w:trPr>
          <w:cantSplit w:val="0"/>
          <w:tblHeader w:val="0"/>
        </w:trPr>
        <w:tc>
          <w:tcPr/>
          <w:p w:rsidR="00000000" w:rsidDel="00000000" w:rsidP="00000000" w:rsidRDefault="00000000" w:rsidRPr="00000000" w14:paraId="00000185">
            <w:pPr>
              <w:rPr/>
            </w:pPr>
            <w:r w:rsidDel="00000000" w:rsidR="00000000" w:rsidRPr="00000000">
              <w:rPr>
                <w:rtl w:val="0"/>
              </w:rPr>
              <w:t xml:space="preserve">4</w:t>
            </w:r>
          </w:p>
        </w:tc>
        <w:tc>
          <w:tcPr/>
          <w:p w:rsidR="00000000" w:rsidDel="00000000" w:rsidP="00000000" w:rsidRDefault="00000000" w:rsidRPr="00000000" w14:paraId="00000186">
            <w:pPr>
              <w:rPr/>
            </w:pPr>
            <w:r w:rsidDel="00000000" w:rsidR="00000000" w:rsidRPr="00000000">
              <w:rPr>
                <w:rtl w:val="0"/>
              </w:rPr>
              <w:t xml:space="preserve">1200</w:t>
            </w:r>
          </w:p>
        </w:tc>
        <w:tc>
          <w:tcPr/>
          <w:p w:rsidR="00000000" w:rsidDel="00000000" w:rsidP="00000000" w:rsidRDefault="00000000" w:rsidRPr="00000000" w14:paraId="00000187">
            <w:pPr>
              <w:rPr/>
            </w:pPr>
            <w:r w:rsidDel="00000000" w:rsidR="00000000" w:rsidRPr="00000000">
              <w:rPr>
                <w:rtl w:val="0"/>
              </w:rPr>
              <w:t xml:space="preserve">−300.0</w:t>
            </w:r>
          </w:p>
        </w:tc>
        <w:tc>
          <w:tcPr/>
          <w:p w:rsidR="00000000" w:rsidDel="00000000" w:rsidP="00000000" w:rsidRDefault="00000000" w:rsidRPr="00000000" w14:paraId="00000188">
            <w:pPr>
              <w:rPr/>
            </w:pPr>
            <w:r w:rsidDel="00000000" w:rsidR="00000000" w:rsidRPr="00000000">
              <w:rPr>
                <w:rtl w:val="0"/>
              </w:rPr>
              <w:t xml:space="preserve">+80</w:t>
            </w:r>
          </w:p>
        </w:tc>
        <w:tc>
          <w:tcPr/>
          <w:p w:rsidR="00000000" w:rsidDel="00000000" w:rsidP="00000000" w:rsidRDefault="00000000" w:rsidRPr="00000000" w14:paraId="00000189">
            <w:pPr>
              <w:rPr/>
            </w:pPr>
            <w:r w:rsidDel="00000000" w:rsidR="00000000" w:rsidRPr="00000000">
              <w:rPr>
                <w:rtl w:val="0"/>
              </w:rPr>
              <w:t xml:space="preserve">980.0</w:t>
            </w:r>
          </w:p>
        </w:tc>
      </w:tr>
    </w:tbl>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b w:val="1"/>
          <w:bCs w:val="1"/>
          <w:rtl w:val="0"/>
        </w:rPr>
        <w:t xml:space="preserve">Present values:</w:t>
      </w: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Year 1: 417.5 × 0.9434 = 393.9</w:t>
      </w:r>
    </w:p>
    <w:p w:rsidR="00000000" w:rsidDel="00000000" w:rsidP="00000000" w:rsidRDefault="00000000" w:rsidRPr="00000000" w14:paraId="0000018D">
      <w:pPr>
        <w:rPr/>
      </w:pPr>
      <w:r w:rsidDel="00000000" w:rsidR="00000000" w:rsidRPr="00000000">
        <w:rPr>
          <w:rtl w:val="0"/>
        </w:rPr>
        <w:t xml:space="preserve">Year 2: 605 × 0.8900 = 538.5</w:t>
      </w:r>
    </w:p>
    <w:p w:rsidR="00000000" w:rsidDel="00000000" w:rsidP="00000000" w:rsidRDefault="00000000" w:rsidRPr="00000000" w14:paraId="0000018E">
      <w:pPr>
        <w:rPr/>
      </w:pPr>
      <w:r w:rsidDel="00000000" w:rsidR="00000000" w:rsidRPr="00000000">
        <w:rPr>
          <w:rtl w:val="0"/>
        </w:rPr>
        <w:t xml:space="preserve">Year 3: 755 × 0.8396 = 633.9</w:t>
      </w:r>
    </w:p>
    <w:p w:rsidR="00000000" w:rsidDel="00000000" w:rsidP="00000000" w:rsidRDefault="00000000" w:rsidRPr="00000000" w14:paraId="0000018F">
      <w:pPr>
        <w:rPr/>
      </w:pPr>
      <w:r w:rsidDel="00000000" w:rsidR="00000000" w:rsidRPr="00000000">
        <w:rPr>
          <w:rtl w:val="0"/>
        </w:rPr>
        <w:t xml:space="preserve">Year 4: 980 × 0.7921 = 776.3</w:t>
      </w:r>
    </w:p>
    <w:p w:rsidR="00000000" w:rsidDel="00000000" w:rsidP="00000000" w:rsidRDefault="00000000" w:rsidRPr="00000000" w14:paraId="00000190">
      <w:pPr>
        <w:rPr/>
      </w:pPr>
      <w:r w:rsidDel="00000000" w:rsidR="00000000" w:rsidRPr="00000000">
        <w:rPr>
          <w:b w:val="1"/>
          <w:bCs w:val="1"/>
          <w:rtl w:val="0"/>
        </w:rPr>
        <w:t xml:space="preserve">Total PV inflows:</w:t>
      </w: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393.9 + 538.5 + 633.9 + 776.3 = £2,342,600</w:t>
      </w:r>
    </w:p>
    <w:p w:rsidR="00000000" w:rsidDel="00000000" w:rsidP="00000000" w:rsidRDefault="00000000" w:rsidRPr="00000000" w14:paraId="00000192">
      <w:pPr>
        <w:rPr/>
      </w:pPr>
      <w:r w:rsidDel="00000000" w:rsidR="00000000" w:rsidRPr="00000000">
        <w:rPr>
          <w:rtl w:val="0"/>
        </w:rPr>
        <w:t xml:space="preserve">NPV(C) = 2,342,600 − 1,600,000 = </w:t>
      </w:r>
      <w:r w:rsidDel="00000000" w:rsidR="00000000" w:rsidRPr="00000000">
        <w:rPr>
          <w:b w:val="1"/>
          <w:bCs w:val="1"/>
          <w:rtl w:val="0"/>
        </w:rPr>
        <w:t xml:space="preserve">£742,600</w:t>
      </w:r>
      <w:r w:rsidDel="00000000" w:rsidR="00000000" w:rsidRPr="00000000">
        <w:rPr>
          <w:rtl w:val="0"/>
        </w:rPr>
      </w:r>
    </w:p>
    <w:p w:rsidR="00000000" w:rsidDel="00000000" w:rsidP="00000000" w:rsidRDefault="00000000" w:rsidRPr="00000000" w14:paraId="00000193">
      <w:pPr>
        <w:rPr>
          <w:b w:val="1"/>
          <w:bCs w:val="1"/>
        </w:rPr>
      </w:pPr>
      <w:r w:rsidDel="00000000" w:rsidR="00000000" w:rsidRPr="00000000">
        <w:rPr>
          <w:b w:val="1"/>
          <w:bCs w:val="1"/>
          <w:rtl w:val="0"/>
        </w:rPr>
        <w:t xml:space="preserve">Summary and Recommendation</w:t>
      </w:r>
    </w:p>
    <w:tbl>
      <w:tblPr>
        <w:tblStyle w:val="Table5"/>
        <w:tblW w:w="6475.0" w:type="dxa"/>
        <w:jc w:val="center"/>
        <w:tblBorders>
          <w:top w:color="47d45a" w:space="0" w:sz="4" w:val="single"/>
          <w:left w:color="47d45a" w:space="0" w:sz="4" w:val="single"/>
          <w:bottom w:color="47d45a" w:space="0" w:sz="4" w:val="single"/>
          <w:right w:color="47d45a" w:space="0" w:sz="4" w:val="single"/>
          <w:insideH w:color="47d45a" w:space="0" w:sz="4" w:val="single"/>
          <w:insideV w:color="47d45a" w:space="0" w:sz="4" w:val="single"/>
        </w:tblBorders>
        <w:tblLayout w:type="fixed"/>
        <w:tblLook w:val="04A0"/>
      </w:tblPr>
      <w:tblGrid>
        <w:gridCol w:w="963"/>
        <w:gridCol w:w="2390"/>
        <w:gridCol w:w="3122"/>
        <w:tblGridChange w:id="0">
          <w:tblGrid>
            <w:gridCol w:w="963"/>
            <w:gridCol w:w="2390"/>
            <w:gridCol w:w="3122"/>
          </w:tblGrid>
        </w:tblGridChange>
      </w:tblGrid>
      <w:tr>
        <w:trPr>
          <w:cantSplit w:val="0"/>
          <w:tblHeader w:val="0"/>
        </w:trPr>
        <w:tc>
          <w:tcPr/>
          <w:p w:rsidR="00000000" w:rsidDel="00000000" w:rsidP="00000000" w:rsidRDefault="00000000" w:rsidRPr="00000000" w14:paraId="00000194">
            <w:pPr>
              <w:rPr/>
            </w:pPr>
            <w:r w:rsidDel="00000000" w:rsidR="00000000" w:rsidRPr="00000000">
              <w:rPr>
                <w:rtl w:val="0"/>
              </w:rPr>
              <w:t xml:space="preserve">Project</w:t>
            </w:r>
          </w:p>
        </w:tc>
        <w:tc>
          <w:tcPr/>
          <w:p w:rsidR="00000000" w:rsidDel="00000000" w:rsidP="00000000" w:rsidRDefault="00000000" w:rsidRPr="00000000" w14:paraId="00000195">
            <w:pPr>
              <w:rPr/>
            </w:pPr>
            <w:r w:rsidDel="00000000" w:rsidR="00000000" w:rsidRPr="00000000">
              <w:rPr>
                <w:rtl w:val="0"/>
              </w:rPr>
              <w:t xml:space="preserve">Initial Investment (£)</w:t>
            </w:r>
          </w:p>
        </w:tc>
        <w:tc>
          <w:tcPr/>
          <w:p w:rsidR="00000000" w:rsidDel="00000000" w:rsidP="00000000" w:rsidRDefault="00000000" w:rsidRPr="00000000" w14:paraId="00000196">
            <w:pPr>
              <w:rPr/>
            </w:pPr>
            <w:r w:rsidDel="00000000" w:rsidR="00000000" w:rsidRPr="00000000">
              <w:rPr>
                <w:rtl w:val="0"/>
              </w:rPr>
              <w:t xml:space="preserve">Net Present Value (NPV) (£)</w:t>
            </w:r>
          </w:p>
        </w:tc>
      </w:tr>
      <w:tr>
        <w:trPr>
          <w:cantSplit w:val="0"/>
          <w:tblHeader w:val="0"/>
        </w:trPr>
        <w:tc>
          <w:tcPr/>
          <w:p w:rsidR="00000000" w:rsidDel="00000000" w:rsidP="00000000" w:rsidRDefault="00000000" w:rsidRPr="00000000" w14:paraId="00000197">
            <w:pPr>
              <w:rPr/>
            </w:pPr>
            <w:r w:rsidDel="00000000" w:rsidR="00000000" w:rsidRPr="00000000">
              <w:rPr>
                <w:rtl w:val="0"/>
              </w:rPr>
              <w:t xml:space="preserve">A</w:t>
            </w:r>
          </w:p>
        </w:tc>
        <w:tc>
          <w:tcPr/>
          <w:p w:rsidR="00000000" w:rsidDel="00000000" w:rsidP="00000000" w:rsidRDefault="00000000" w:rsidRPr="00000000" w14:paraId="00000198">
            <w:pPr>
              <w:rPr/>
            </w:pPr>
            <w:r w:rsidDel="00000000" w:rsidR="00000000" w:rsidRPr="00000000">
              <w:rPr>
                <w:rtl w:val="0"/>
              </w:rPr>
              <w:t xml:space="preserve">600,000</w:t>
            </w:r>
          </w:p>
        </w:tc>
        <w:tc>
          <w:tcPr/>
          <w:p w:rsidR="00000000" w:rsidDel="00000000" w:rsidP="00000000" w:rsidRDefault="00000000" w:rsidRPr="00000000" w14:paraId="00000199">
            <w:pPr>
              <w:rPr/>
            </w:pPr>
            <w:r w:rsidDel="00000000" w:rsidR="00000000" w:rsidRPr="00000000">
              <w:rPr>
                <w:rtl w:val="0"/>
              </w:rPr>
              <w:t xml:space="preserve">643,100</w:t>
            </w:r>
          </w:p>
        </w:tc>
      </w:tr>
      <w:tr>
        <w:trPr>
          <w:cantSplit w:val="0"/>
          <w:tblHeader w:val="0"/>
        </w:trPr>
        <w:tc>
          <w:tcPr/>
          <w:p w:rsidR="00000000" w:rsidDel="00000000" w:rsidP="00000000" w:rsidRDefault="00000000" w:rsidRPr="00000000" w14:paraId="0000019A">
            <w:pPr>
              <w:rPr/>
            </w:pPr>
            <w:r w:rsidDel="00000000" w:rsidR="00000000" w:rsidRPr="00000000">
              <w:rPr>
                <w:rtl w:val="0"/>
              </w:rPr>
              <w:t xml:space="preserve">B</w:t>
            </w:r>
          </w:p>
        </w:tc>
        <w:tc>
          <w:tcPr/>
          <w:p w:rsidR="00000000" w:rsidDel="00000000" w:rsidP="00000000" w:rsidRDefault="00000000" w:rsidRPr="00000000" w14:paraId="0000019B">
            <w:pPr>
              <w:rPr/>
            </w:pPr>
            <w:r w:rsidDel="00000000" w:rsidR="00000000" w:rsidRPr="00000000">
              <w:rPr>
                <w:rtl w:val="0"/>
              </w:rPr>
              <w:t xml:space="preserve">1,000,000</w:t>
            </w:r>
          </w:p>
        </w:tc>
        <w:tc>
          <w:tcPr/>
          <w:p w:rsidR="00000000" w:rsidDel="00000000" w:rsidP="00000000" w:rsidRDefault="00000000" w:rsidRPr="00000000" w14:paraId="0000019C">
            <w:pPr>
              <w:rPr/>
            </w:pPr>
            <w:r w:rsidDel="00000000" w:rsidR="00000000" w:rsidRPr="00000000">
              <w:rPr>
                <w:rtl w:val="0"/>
              </w:rPr>
              <w:t xml:space="preserve">792,300</w:t>
            </w:r>
          </w:p>
        </w:tc>
      </w:tr>
      <w:tr>
        <w:trPr>
          <w:cantSplit w:val="0"/>
          <w:tblHeader w:val="0"/>
        </w:trPr>
        <w:tc>
          <w:tcPr/>
          <w:p w:rsidR="00000000" w:rsidDel="00000000" w:rsidP="00000000" w:rsidRDefault="00000000" w:rsidRPr="00000000" w14:paraId="0000019D">
            <w:pPr>
              <w:rPr/>
            </w:pPr>
            <w:r w:rsidDel="00000000" w:rsidR="00000000" w:rsidRPr="00000000">
              <w:rPr>
                <w:rtl w:val="0"/>
              </w:rPr>
              <w:t xml:space="preserve">C</w:t>
            </w:r>
          </w:p>
        </w:tc>
        <w:tc>
          <w:tcPr/>
          <w:p w:rsidR="00000000" w:rsidDel="00000000" w:rsidP="00000000" w:rsidRDefault="00000000" w:rsidRPr="00000000" w14:paraId="0000019E">
            <w:pPr>
              <w:rPr/>
            </w:pPr>
            <w:r w:rsidDel="00000000" w:rsidR="00000000" w:rsidRPr="00000000">
              <w:rPr>
                <w:rtl w:val="0"/>
              </w:rPr>
              <w:t xml:space="preserve">1,600,000</w:t>
            </w:r>
          </w:p>
        </w:tc>
        <w:tc>
          <w:tcPr/>
          <w:p w:rsidR="00000000" w:rsidDel="00000000" w:rsidP="00000000" w:rsidRDefault="00000000" w:rsidRPr="00000000" w14:paraId="0000019F">
            <w:pPr>
              <w:rPr/>
            </w:pPr>
            <w:r w:rsidDel="00000000" w:rsidR="00000000" w:rsidRPr="00000000">
              <w:rPr>
                <w:rtl w:val="0"/>
              </w:rPr>
              <w:t xml:space="preserve">742,600</w:t>
            </w:r>
          </w:p>
        </w:tc>
      </w:tr>
    </w:tbl>
    <w:p w:rsidR="00000000" w:rsidDel="00000000" w:rsidP="00000000" w:rsidRDefault="00000000" w:rsidRPr="00000000" w14:paraId="000001A0">
      <w:pPr>
        <w:rPr>
          <w:b w:val="1"/>
          <w:bCs w:val="1"/>
        </w:rPr>
      </w:pPr>
      <w:r w:rsidDel="00000000" w:rsidR="00000000" w:rsidRPr="00000000">
        <w:rPr>
          <w:rtl w:val="0"/>
        </w:rPr>
      </w:r>
    </w:p>
    <w:p w:rsidR="00000000" w:rsidDel="00000000" w:rsidP="00000000" w:rsidRDefault="00000000" w:rsidRPr="00000000" w14:paraId="000001A1">
      <w:pPr>
        <w:pStyle w:val="Heading3"/>
        <w:rPr/>
      </w:pPr>
      <w:bookmarkStart w:colFirst="0" w:colLast="0" w:name="_tdcsbmvngxqw" w:id="14"/>
      <w:bookmarkEnd w:id="14"/>
      <w:r w:rsidDel="00000000" w:rsidR="00000000" w:rsidRPr="00000000">
        <w:rPr>
          <w:rtl w:val="0"/>
        </w:rPr>
        <w:t xml:space="preserve">3.4 Approximate IRR for Project B</w:t>
      </w:r>
    </w:p>
    <w:p w:rsidR="00000000" w:rsidDel="00000000" w:rsidP="00000000" w:rsidRDefault="00000000" w:rsidRPr="00000000" w14:paraId="000001A2">
      <w:pPr>
        <w:rPr/>
      </w:pPr>
      <w:r w:rsidDel="00000000" w:rsidR="00000000" w:rsidRPr="00000000">
        <w:rPr>
          <w:rtl w:val="0"/>
        </w:rPr>
        <w:t xml:space="preserve">Now, it is required to find the discount rate (r) where NPV(B) = 0.</w:t>
      </w:r>
    </w:p>
    <w:p w:rsidR="00000000" w:rsidDel="00000000" w:rsidP="00000000" w:rsidRDefault="00000000" w:rsidRPr="00000000" w14:paraId="000001A3">
      <w:pPr>
        <w:rPr/>
      </w:pPr>
      <w:r w:rsidDel="00000000" w:rsidR="00000000" w:rsidRPr="00000000">
        <w:rPr>
          <w:b w:val="1"/>
          <w:bCs w:val="1"/>
          <w:rtl w:val="0"/>
        </w:rPr>
        <w:t xml:space="preserve">Step 1:</w:t>
      </w:r>
      <w:r w:rsidDel="00000000" w:rsidR="00000000" w:rsidRPr="00000000">
        <w:rPr>
          <w:rtl w:val="0"/>
        </w:rPr>
        <w:t xml:space="preserve"> We already have NPV at 6% = +£792,300.</w:t>
      </w:r>
    </w:p>
    <w:p w:rsidR="00000000" w:rsidDel="00000000" w:rsidP="00000000" w:rsidRDefault="00000000" w:rsidRPr="00000000" w14:paraId="000001A4">
      <w:pPr>
        <w:rPr/>
      </w:pPr>
      <w:r w:rsidDel="00000000" w:rsidR="00000000" w:rsidRPr="00000000">
        <w:rPr>
          <w:b w:val="1"/>
          <w:bCs w:val="1"/>
          <w:rtl w:val="0"/>
        </w:rPr>
        <w:t xml:space="preserve">Step 2:</w:t>
      </w:r>
      <w:r w:rsidDel="00000000" w:rsidR="00000000" w:rsidRPr="00000000">
        <w:rPr>
          <w:rtl w:val="0"/>
        </w:rPr>
        <w:t xml:space="preserve"> Choose a higher rate to get a negative NPV. Let's try 33%.</w:t>
      </w:r>
    </w:p>
    <w:p w:rsidR="00000000" w:rsidDel="00000000" w:rsidP="00000000" w:rsidRDefault="00000000" w:rsidRPr="00000000" w14:paraId="000001A5">
      <w:pPr>
        <w:rPr/>
      </w:pPr>
      <w:r w:rsidDel="00000000" w:rsidR="00000000" w:rsidRPr="00000000">
        <w:rPr>
          <w:rtl w:val="0"/>
        </w:rPr>
        <w:t xml:space="preserve">Discount Factors @ 33%:</w:t>
      </w:r>
    </w:p>
    <w:p w:rsidR="00000000" w:rsidDel="00000000" w:rsidP="00000000" w:rsidRDefault="00000000" w:rsidRPr="00000000" w14:paraId="000001A6">
      <w:pPr>
        <w:rPr/>
      </w:pPr>
      <w:r w:rsidDel="00000000" w:rsidR="00000000" w:rsidRPr="00000000">
        <w:rPr>
          <w:rtl w:val="0"/>
        </w:rPr>
        <w:t xml:space="preserve">DF1 = 1/1.33 = 0.7519</w:t>
      </w:r>
    </w:p>
    <w:p w:rsidR="00000000" w:rsidDel="00000000" w:rsidP="00000000" w:rsidRDefault="00000000" w:rsidRPr="00000000" w14:paraId="000001A7">
      <w:pPr>
        <w:rPr/>
      </w:pPr>
      <w:r w:rsidDel="00000000" w:rsidR="00000000" w:rsidRPr="00000000">
        <w:rPr>
          <w:rtl w:val="0"/>
        </w:rPr>
        <w:t xml:space="preserve">DF2 = 1/1.33² = 0.5654</w:t>
      </w:r>
    </w:p>
    <w:p w:rsidR="00000000" w:rsidDel="00000000" w:rsidP="00000000" w:rsidRDefault="00000000" w:rsidRPr="00000000" w14:paraId="000001A8">
      <w:pPr>
        <w:rPr/>
      </w:pPr>
      <w:r w:rsidDel="00000000" w:rsidR="00000000" w:rsidRPr="00000000">
        <w:rPr>
          <w:rtl w:val="0"/>
        </w:rPr>
        <w:t xml:space="preserve">DF3 = 1/1.33³ = 0.4251</w:t>
      </w:r>
    </w:p>
    <w:p w:rsidR="00000000" w:rsidDel="00000000" w:rsidP="00000000" w:rsidRDefault="00000000" w:rsidRPr="00000000" w14:paraId="000001A9">
      <w:pPr>
        <w:rPr/>
      </w:pPr>
      <w:r w:rsidDel="00000000" w:rsidR="00000000" w:rsidRPr="00000000">
        <w:rPr>
          <w:rtl w:val="0"/>
        </w:rPr>
        <w:t xml:space="preserve">DF4 = 1/1.33⁴ = 0.3197</w:t>
      </w:r>
    </w:p>
    <w:p w:rsidR="00000000" w:rsidDel="00000000" w:rsidP="00000000" w:rsidRDefault="00000000" w:rsidRPr="00000000" w14:paraId="000001AA">
      <w:pPr>
        <w:rPr/>
      </w:pPr>
      <w:r w:rsidDel="00000000" w:rsidR="00000000" w:rsidRPr="00000000">
        <w:rPr>
          <w:rtl w:val="0"/>
        </w:rPr>
        <w:t xml:space="preserve">Calculate PV @33%:</w:t>
      </w:r>
    </w:p>
    <w:p w:rsidR="00000000" w:rsidDel="00000000" w:rsidP="00000000" w:rsidRDefault="00000000" w:rsidRPr="00000000" w14:paraId="000001AB">
      <w:pPr>
        <w:numPr>
          <w:ilvl w:val="0"/>
          <w:numId w:val="1"/>
        </w:numPr>
        <w:ind w:left="720" w:hanging="360"/>
        <w:rPr/>
      </w:pPr>
      <w:r w:rsidDel="00000000" w:rsidR="00000000" w:rsidRPr="00000000">
        <w:rPr>
          <w:rtl w:val="0"/>
        </w:rPr>
        <w:t xml:space="preserve">Y1: £350,000 × 0.7519 = £263,165</w:t>
      </w:r>
    </w:p>
    <w:p w:rsidR="00000000" w:rsidDel="00000000" w:rsidP="00000000" w:rsidRDefault="00000000" w:rsidRPr="00000000" w14:paraId="000001AC">
      <w:pPr>
        <w:numPr>
          <w:ilvl w:val="0"/>
          <w:numId w:val="1"/>
        </w:numPr>
        <w:ind w:left="720" w:hanging="360"/>
        <w:rPr/>
      </w:pPr>
      <w:r w:rsidDel="00000000" w:rsidR="00000000" w:rsidRPr="00000000">
        <w:rPr>
          <w:rtl w:val="0"/>
        </w:rPr>
        <w:t xml:space="preserve">Y2: £387,500 × 0.5654 = £219,093</w:t>
      </w:r>
    </w:p>
    <w:p w:rsidR="00000000" w:rsidDel="00000000" w:rsidP="00000000" w:rsidRDefault="00000000" w:rsidRPr="00000000" w14:paraId="000001AD">
      <w:pPr>
        <w:numPr>
          <w:ilvl w:val="0"/>
          <w:numId w:val="1"/>
        </w:numPr>
        <w:ind w:left="720" w:hanging="360"/>
        <w:rPr/>
      </w:pPr>
      <w:r w:rsidDel="00000000" w:rsidR="00000000" w:rsidRPr="00000000">
        <w:rPr>
          <w:rtl w:val="0"/>
        </w:rPr>
        <w:t xml:space="preserve">Y3: £590,000 × 0.4251 = £250,809</w:t>
      </w:r>
    </w:p>
    <w:p w:rsidR="00000000" w:rsidDel="00000000" w:rsidP="00000000" w:rsidRDefault="00000000" w:rsidRPr="00000000" w14:paraId="000001AE">
      <w:pPr>
        <w:numPr>
          <w:ilvl w:val="0"/>
          <w:numId w:val="1"/>
        </w:numPr>
        <w:ind w:left="720" w:hanging="360"/>
        <w:rPr/>
      </w:pPr>
      <w:r w:rsidDel="00000000" w:rsidR="00000000" w:rsidRPr="00000000">
        <w:rPr>
          <w:rtl w:val="0"/>
        </w:rPr>
        <w:t xml:space="preserve">Y4: £785,000 × 0.3197 = £250,965</w:t>
      </w:r>
    </w:p>
    <w:p w:rsidR="00000000" w:rsidDel="00000000" w:rsidP="00000000" w:rsidRDefault="00000000" w:rsidRPr="00000000" w14:paraId="000001AF">
      <w:pPr>
        <w:numPr>
          <w:ilvl w:val="0"/>
          <w:numId w:val="1"/>
        </w:numPr>
        <w:ind w:left="720" w:hanging="360"/>
        <w:rPr/>
      </w:pPr>
      <w:r w:rsidDel="00000000" w:rsidR="00000000" w:rsidRPr="00000000">
        <w:rPr>
          <w:rtl w:val="0"/>
        </w:rPr>
        <w:t xml:space="preserve">Total PV @33% = £984,032</w:t>
      </w:r>
    </w:p>
    <w:p w:rsidR="00000000" w:rsidDel="00000000" w:rsidP="00000000" w:rsidRDefault="00000000" w:rsidRPr="00000000" w14:paraId="000001B0">
      <w:pPr>
        <w:numPr>
          <w:ilvl w:val="0"/>
          <w:numId w:val="1"/>
        </w:numPr>
        <w:ind w:left="720" w:hanging="360"/>
        <w:rPr/>
      </w:pPr>
      <w:r w:rsidDel="00000000" w:rsidR="00000000" w:rsidRPr="00000000">
        <w:rPr>
          <w:rtl w:val="0"/>
        </w:rPr>
        <w:t xml:space="preserve">NPV @33% = £984,032 - £1,000,000 = -£16,118.7 (Negative)</w:t>
      </w:r>
    </w:p>
    <w:p w:rsidR="00000000" w:rsidDel="00000000" w:rsidP="00000000" w:rsidRDefault="00000000" w:rsidRPr="00000000" w14:paraId="000001B1">
      <w:pPr>
        <w:rPr>
          <w:b w:val="1"/>
          <w:bCs w:val="1"/>
        </w:rPr>
      </w:pPr>
      <w:r w:rsidDel="00000000" w:rsidR="00000000" w:rsidRPr="00000000">
        <w:rPr>
          <w:rtl w:val="0"/>
        </w:rPr>
      </w:r>
    </w:p>
    <w:p w:rsidR="00000000" w:rsidDel="00000000" w:rsidP="00000000" w:rsidRDefault="00000000" w:rsidRPr="00000000" w14:paraId="000001B2">
      <w:pPr>
        <w:rPr/>
      </w:pPr>
      <w:r w:rsidDel="00000000" w:rsidR="00000000" w:rsidRPr="00000000">
        <w:rPr>
          <w:b w:val="1"/>
          <w:bCs w:val="1"/>
          <w:rtl w:val="0"/>
        </w:rPr>
        <w:t xml:space="preserve">Discount Factors @ 32%:</w:t>
      </w: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Y1: 0.7576, Y2: 0.5739, Y3: 0.4348, Y4: 0.3294.</w:t>
      </w:r>
    </w:p>
    <w:p w:rsidR="00000000" w:rsidDel="00000000" w:rsidP="00000000" w:rsidRDefault="00000000" w:rsidRPr="00000000" w14:paraId="000001B4">
      <w:pPr>
        <w:rPr/>
      </w:pPr>
      <w:r w:rsidDel="00000000" w:rsidR="00000000" w:rsidRPr="00000000">
        <w:rPr>
          <w:b w:val="1"/>
          <w:bCs w:val="1"/>
          <w:rtl w:val="0"/>
        </w:rPr>
        <w:t xml:space="preserve">Calculate PV @32%:</w:t>
      </w:r>
      <w:r w:rsidDel="00000000" w:rsidR="00000000" w:rsidRPr="00000000">
        <w:rPr>
          <w:rtl w:val="0"/>
        </w:rPr>
      </w:r>
    </w:p>
    <w:p w:rsidR="00000000" w:rsidDel="00000000" w:rsidP="00000000" w:rsidRDefault="00000000" w:rsidRPr="00000000" w14:paraId="000001B5">
      <w:pPr>
        <w:numPr>
          <w:ilvl w:val="0"/>
          <w:numId w:val="2"/>
        </w:numPr>
        <w:ind w:left="720" w:hanging="360"/>
        <w:rPr/>
      </w:pPr>
      <w:r w:rsidDel="00000000" w:rsidR="00000000" w:rsidRPr="00000000">
        <w:rPr>
          <w:rtl w:val="0"/>
        </w:rPr>
        <w:t xml:space="preserve">Y1: £350,000 × 0.7576 = £265,160</w:t>
      </w:r>
    </w:p>
    <w:p w:rsidR="00000000" w:rsidDel="00000000" w:rsidP="00000000" w:rsidRDefault="00000000" w:rsidRPr="00000000" w14:paraId="000001B6">
      <w:pPr>
        <w:numPr>
          <w:ilvl w:val="0"/>
          <w:numId w:val="2"/>
        </w:numPr>
        <w:ind w:left="720" w:hanging="360"/>
        <w:rPr/>
      </w:pPr>
      <w:r w:rsidDel="00000000" w:rsidR="00000000" w:rsidRPr="00000000">
        <w:rPr>
          <w:rtl w:val="0"/>
        </w:rPr>
        <w:t xml:space="preserve">Y2: £387,500 × 0.5739 = £222,386</w:t>
      </w:r>
    </w:p>
    <w:p w:rsidR="00000000" w:rsidDel="00000000" w:rsidP="00000000" w:rsidRDefault="00000000" w:rsidRPr="00000000" w14:paraId="000001B7">
      <w:pPr>
        <w:numPr>
          <w:ilvl w:val="0"/>
          <w:numId w:val="2"/>
        </w:numPr>
        <w:ind w:left="720" w:hanging="360"/>
        <w:rPr/>
      </w:pPr>
      <w:r w:rsidDel="00000000" w:rsidR="00000000" w:rsidRPr="00000000">
        <w:rPr>
          <w:rtl w:val="0"/>
        </w:rPr>
        <w:t xml:space="preserve">Y3: £590,000 × 0.4348 = £256,532</w:t>
      </w:r>
    </w:p>
    <w:p w:rsidR="00000000" w:rsidDel="00000000" w:rsidP="00000000" w:rsidRDefault="00000000" w:rsidRPr="00000000" w14:paraId="000001B8">
      <w:pPr>
        <w:numPr>
          <w:ilvl w:val="0"/>
          <w:numId w:val="2"/>
        </w:numPr>
        <w:ind w:left="720" w:hanging="360"/>
        <w:rPr/>
      </w:pPr>
      <w:r w:rsidDel="00000000" w:rsidR="00000000" w:rsidRPr="00000000">
        <w:rPr>
          <w:rtl w:val="0"/>
        </w:rPr>
        <w:t xml:space="preserve">Y4: £785,000 × 0.3294 = £258,579</w:t>
      </w:r>
    </w:p>
    <w:p w:rsidR="00000000" w:rsidDel="00000000" w:rsidP="00000000" w:rsidRDefault="00000000" w:rsidRPr="00000000" w14:paraId="000001B9">
      <w:pPr>
        <w:numPr>
          <w:ilvl w:val="0"/>
          <w:numId w:val="2"/>
        </w:numPr>
        <w:ind w:left="720" w:hanging="360"/>
        <w:rPr/>
      </w:pPr>
      <w:r w:rsidDel="00000000" w:rsidR="00000000" w:rsidRPr="00000000">
        <w:rPr>
          <w:rtl w:val="0"/>
        </w:rPr>
        <w:t xml:space="preserve">Total PV @32% = £1,002,657</w:t>
      </w:r>
    </w:p>
    <w:p w:rsidR="00000000" w:rsidDel="00000000" w:rsidP="00000000" w:rsidRDefault="00000000" w:rsidRPr="00000000" w14:paraId="000001BA">
      <w:pPr>
        <w:numPr>
          <w:ilvl w:val="0"/>
          <w:numId w:val="2"/>
        </w:numPr>
        <w:ind w:left="720" w:hanging="360"/>
        <w:rPr/>
      </w:pPr>
      <w:r w:rsidDel="00000000" w:rsidR="00000000" w:rsidRPr="00000000">
        <w:rPr>
          <w:rtl w:val="0"/>
        </w:rPr>
        <w:t xml:space="preserve">NPV @32% = £1,002,657 - £1,000,000 = +£2,657 (Positive)</w:t>
      </w:r>
    </w:p>
    <w:p w:rsidR="00000000" w:rsidDel="00000000" w:rsidP="00000000" w:rsidRDefault="00000000" w:rsidRPr="00000000" w14:paraId="000001BB">
      <w:pPr>
        <w:rPr/>
      </w:pPr>
      <w:r w:rsidDel="00000000" w:rsidR="00000000" w:rsidRPr="00000000">
        <w:rPr>
          <w:b w:val="1"/>
          <w:bCs w:val="1"/>
          <w:rtl w:val="0"/>
        </w:rPr>
        <w:t xml:space="preserve">Step 4: Interpolate between 32% and 33%.</w:t>
      </w:r>
      <w:r w:rsidDel="00000000" w:rsidR="00000000" w:rsidRPr="00000000">
        <w:rPr>
          <w:rtl w:val="0"/>
        </w:rPr>
      </w:r>
    </w:p>
    <w:p w:rsidR="00000000" w:rsidDel="00000000" w:rsidP="00000000" w:rsidRDefault="00000000" w:rsidRPr="00000000" w14:paraId="000001BC">
      <w:pPr>
        <w:jc w:val="center"/>
        <w:rPr>
          <w:rFonts w:ascii="Cambria Math" w:cs="Cambria Math" w:eastAsia="Cambria Math" w:hAnsi="Cambria Math"/>
        </w:rPr>
      </w:pPr>
      <m:oMath>
        <m:r>
          <w:rPr>
            <w:rFonts w:ascii="Cambria Math" w:cs="Cambria Math" w:eastAsia="Cambria Math" w:hAnsi="Cambria Math"/>
          </w:rPr>
          <m:t xml:space="preserve">IRR≈32%+(</m:t>
        </m:r>
        <m:f>
          <m:fPr>
            <m:ctrlPr>
              <w:rPr>
                <w:rFonts w:ascii="Cambria Math" w:cs="Cambria Math" w:eastAsia="Cambria Math" w:hAnsi="Cambria Math"/>
              </w:rPr>
            </m:ctrlPr>
          </m:fPr>
          <m:num>
            <m:r>
              <w:rPr>
                <w:rFonts w:ascii="Cambria Math" w:cs="Cambria Math" w:eastAsia="Cambria Math" w:hAnsi="Cambria Math"/>
              </w:rPr>
              <m:t xml:space="preserve">2,657</m:t>
            </m:r>
          </m:num>
          <m:den>
            <m:r>
              <w:rPr>
                <w:rFonts w:ascii="Cambria Math" w:cs="Cambria Math" w:eastAsia="Cambria Math" w:hAnsi="Cambria Math"/>
              </w:rPr>
              <m:t xml:space="preserve">2,657+16,118.7 </m:t>
            </m:r>
          </m:den>
        </m:f>
        <m:r>
          <w:rPr>
            <w:rFonts w:ascii="Cambria Math" w:cs="Cambria Math" w:eastAsia="Cambria Math" w:hAnsi="Cambria Math"/>
          </w:rPr>
          <m:t xml:space="preserve">)×(33%-32%)IRR≈32%+(</m:t>
        </m:r>
        <m:f>
          <m:fPr>
            <m:ctrlPr>
              <w:rPr>
                <w:rFonts w:ascii="Cambria Math" w:cs="Cambria Math" w:eastAsia="Cambria Math" w:hAnsi="Cambria Math"/>
              </w:rPr>
            </m:ctrlPr>
          </m:fPr>
          <m:num>
            <m:r>
              <w:rPr>
                <w:rFonts w:ascii="Cambria Math" w:cs="Cambria Math" w:eastAsia="Cambria Math" w:hAnsi="Cambria Math"/>
              </w:rPr>
              <m:t xml:space="preserve">2,657</m:t>
            </m:r>
          </m:num>
          <m:den>
            <m:r>
              <w:rPr>
                <w:rFonts w:ascii="Cambria Math" w:cs="Cambria Math" w:eastAsia="Cambria Math" w:hAnsi="Cambria Math"/>
              </w:rPr>
              <m:t xml:space="preserve">18,775</m:t>
            </m:r>
          </m:den>
        </m:f>
        <m:r>
          <w:rPr>
            <w:rFonts w:ascii="Cambria Math" w:cs="Cambria Math" w:eastAsia="Cambria Math" w:hAnsi="Cambria Math"/>
          </w:rPr>
          <m:t xml:space="preserve">)×1%IRR≈32%+0.1427%</m:t>
        </m:r>
      </m:oMath>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IRR ≈ 32.14%</w:t>
      </w:r>
    </w:p>
    <w:p w:rsidR="00000000" w:rsidDel="00000000" w:rsidP="00000000" w:rsidRDefault="00000000" w:rsidRPr="00000000" w14:paraId="000001BE">
      <w:pPr>
        <w:rPr/>
      </w:pPr>
      <w:r w:rsidDel="00000000" w:rsidR="00000000" w:rsidRPr="00000000">
        <w:rPr>
          <w:rtl w:val="0"/>
        </w:rPr>
        <w:t xml:space="preserve">The approximate Internal Rate of Return (IRR) for Project B is 32%.</w:t>
      </w:r>
    </w:p>
    <w:p w:rsidR="00000000" w:rsidDel="00000000" w:rsidP="00000000" w:rsidRDefault="00000000" w:rsidRPr="00000000" w14:paraId="000001BF">
      <w:pPr>
        <w:rPr>
          <w:b w:val="1"/>
          <w:bCs w:val="1"/>
        </w:rPr>
      </w:pPr>
      <w:r w:rsidDel="00000000" w:rsidR="00000000" w:rsidRPr="00000000">
        <w:rPr>
          <w:b w:val="1"/>
          <w:bCs w:val="1"/>
          <w:rtl w:val="0"/>
        </w:rPr>
        <w:t xml:space="preserve">OPTIMAL INVESTMENT POLICY UNDER CAPITAL RATIONING (£2.5m)</w:t>
      </w:r>
    </w:p>
    <w:p w:rsidR="00000000" w:rsidDel="00000000" w:rsidP="00000000" w:rsidRDefault="00000000" w:rsidRPr="00000000" w14:paraId="000001C0">
      <w:pPr>
        <w:rPr/>
      </w:pPr>
      <w:r w:rsidDel="00000000" w:rsidR="00000000" w:rsidRPr="00000000">
        <w:rPr>
          <w:rtl w:val="0"/>
        </w:rPr>
        <w:t xml:space="preserve">Given that projects are divisible, the optimal policy is to allocate the limited capital to maximise the total NPV per pound invested. This is done using the Profitability Index (PI).</w:t>
      </w:r>
    </w:p>
    <w:p w:rsidR="00000000" w:rsidDel="00000000" w:rsidP="00000000" w:rsidRDefault="00000000" w:rsidRPr="00000000" w14:paraId="000001C1">
      <w:pPr>
        <w:rPr/>
      </w:pPr>
      <w:r w:rsidDel="00000000" w:rsidR="00000000" w:rsidRPr="00000000">
        <w:rPr>
          <w:rtl w:val="0"/>
        </w:rPr>
        <w:t xml:space="preserve">Profitability Index (PI) = NPV / Initial Investment</w:t>
      </w:r>
    </w:p>
    <w:p w:rsidR="00000000" w:rsidDel="00000000" w:rsidP="00000000" w:rsidRDefault="00000000" w:rsidRPr="00000000" w14:paraId="000001C2">
      <w:pPr>
        <w:numPr>
          <w:ilvl w:val="0"/>
          <w:numId w:val="3"/>
        </w:numPr>
        <w:ind w:left="720" w:hanging="360"/>
        <w:rPr/>
      </w:pPr>
      <w:r w:rsidDel="00000000" w:rsidR="00000000" w:rsidRPr="00000000">
        <w:rPr>
          <w:rtl w:val="0"/>
        </w:rPr>
        <w:t xml:space="preserve">Calculate PI for each project:</w:t>
      </w:r>
    </w:p>
    <w:p w:rsidR="00000000" w:rsidDel="00000000" w:rsidP="00000000" w:rsidRDefault="00000000" w:rsidRPr="00000000" w14:paraId="000001C3">
      <w:pPr>
        <w:numPr>
          <w:ilvl w:val="1"/>
          <w:numId w:val="3"/>
        </w:numPr>
        <w:ind w:left="1440" w:hanging="360"/>
        <w:rPr/>
      </w:pPr>
      <w:r w:rsidDel="00000000" w:rsidR="00000000" w:rsidRPr="00000000">
        <w:rPr>
          <w:rtl w:val="0"/>
        </w:rPr>
        <w:t xml:space="preserve">PI(A) = £643,100 / £600,000 = 1.072</w:t>
      </w:r>
    </w:p>
    <w:p w:rsidR="00000000" w:rsidDel="00000000" w:rsidP="00000000" w:rsidRDefault="00000000" w:rsidRPr="00000000" w14:paraId="000001C4">
      <w:pPr>
        <w:numPr>
          <w:ilvl w:val="1"/>
          <w:numId w:val="3"/>
        </w:numPr>
        <w:ind w:left="1440" w:hanging="360"/>
        <w:rPr/>
      </w:pPr>
      <w:r w:rsidDel="00000000" w:rsidR="00000000" w:rsidRPr="00000000">
        <w:rPr>
          <w:rtl w:val="0"/>
        </w:rPr>
        <w:t xml:space="preserve">PI(B) = £792,300 / £1,000,000 = 0.792</w:t>
      </w:r>
    </w:p>
    <w:p w:rsidR="00000000" w:rsidDel="00000000" w:rsidP="00000000" w:rsidRDefault="00000000" w:rsidRPr="00000000" w14:paraId="000001C5">
      <w:pPr>
        <w:numPr>
          <w:ilvl w:val="1"/>
          <w:numId w:val="3"/>
        </w:numPr>
        <w:ind w:left="1440" w:hanging="360"/>
        <w:rPr/>
      </w:pPr>
      <w:r w:rsidDel="00000000" w:rsidR="00000000" w:rsidRPr="00000000">
        <w:rPr>
          <w:rtl w:val="0"/>
        </w:rPr>
        <w:t xml:space="preserve">PI(C) = £742,600 / £1,600,000 = 0.464</w:t>
      </w:r>
    </w:p>
    <w:p w:rsidR="00000000" w:rsidDel="00000000" w:rsidP="00000000" w:rsidRDefault="00000000" w:rsidRPr="00000000" w14:paraId="000001C6">
      <w:pPr>
        <w:numPr>
          <w:ilvl w:val="0"/>
          <w:numId w:val="3"/>
        </w:numPr>
        <w:ind w:left="720" w:hanging="360"/>
        <w:rPr/>
      </w:pPr>
      <w:r w:rsidDel="00000000" w:rsidR="00000000" w:rsidRPr="00000000">
        <w:rPr>
          <w:rtl w:val="0"/>
        </w:rPr>
        <w:t xml:space="preserve">Rank projects in descending order of PI:</w:t>
      </w:r>
    </w:p>
    <w:p w:rsidR="00000000" w:rsidDel="00000000" w:rsidP="00000000" w:rsidRDefault="00000000" w:rsidRPr="00000000" w14:paraId="000001C7">
      <w:pPr>
        <w:numPr>
          <w:ilvl w:val="1"/>
          <w:numId w:val="4"/>
        </w:numPr>
        <w:ind w:left="1440" w:hanging="360"/>
        <w:rPr/>
      </w:pPr>
      <w:r w:rsidDel="00000000" w:rsidR="00000000" w:rsidRPr="00000000">
        <w:rPr>
          <w:rtl w:val="0"/>
        </w:rPr>
        <w:t xml:space="preserve">Project A (PI = 1.072)</w:t>
      </w:r>
    </w:p>
    <w:p w:rsidR="00000000" w:rsidDel="00000000" w:rsidP="00000000" w:rsidRDefault="00000000" w:rsidRPr="00000000" w14:paraId="000001C8">
      <w:pPr>
        <w:numPr>
          <w:ilvl w:val="1"/>
          <w:numId w:val="4"/>
        </w:numPr>
        <w:ind w:left="1440" w:hanging="360"/>
        <w:rPr/>
      </w:pPr>
      <w:r w:rsidDel="00000000" w:rsidR="00000000" w:rsidRPr="00000000">
        <w:rPr>
          <w:rtl w:val="0"/>
        </w:rPr>
        <w:t xml:space="preserve">Project B (PI = 0.792)</w:t>
      </w:r>
    </w:p>
    <w:p w:rsidR="00000000" w:rsidDel="00000000" w:rsidP="00000000" w:rsidRDefault="00000000" w:rsidRPr="00000000" w14:paraId="000001C9">
      <w:pPr>
        <w:numPr>
          <w:ilvl w:val="1"/>
          <w:numId w:val="4"/>
        </w:numPr>
        <w:ind w:left="1440" w:hanging="360"/>
        <w:rPr/>
      </w:pPr>
      <w:r w:rsidDel="00000000" w:rsidR="00000000" w:rsidRPr="00000000">
        <w:rPr>
          <w:rtl w:val="0"/>
        </w:rPr>
        <w:t xml:space="preserve">Project C (PI = 0.464)</w:t>
      </w:r>
    </w:p>
    <w:p w:rsidR="00000000" w:rsidDel="00000000" w:rsidP="00000000" w:rsidRDefault="00000000" w:rsidRPr="00000000" w14:paraId="000001CA">
      <w:pPr>
        <w:numPr>
          <w:ilvl w:val="0"/>
          <w:numId w:val="3"/>
        </w:numPr>
        <w:ind w:left="720" w:hanging="360"/>
        <w:rPr/>
      </w:pPr>
      <w:r w:rsidDel="00000000" w:rsidR="00000000" w:rsidRPr="00000000">
        <w:rPr>
          <w:rtl w:val="0"/>
        </w:rPr>
        <w:t xml:space="preserve">Allocate the £2,500,000 capital:</w:t>
      </w:r>
    </w:p>
    <w:p w:rsidR="00000000" w:rsidDel="00000000" w:rsidP="00000000" w:rsidRDefault="00000000" w:rsidRPr="00000000" w14:paraId="000001CB">
      <w:pPr>
        <w:numPr>
          <w:ilvl w:val="1"/>
          <w:numId w:val="3"/>
        </w:numPr>
        <w:ind w:left="1440" w:hanging="360"/>
        <w:rPr/>
      </w:pPr>
      <w:r w:rsidDel="00000000" w:rsidR="00000000" w:rsidRPr="00000000">
        <w:rPr>
          <w:rtl w:val="0"/>
        </w:rPr>
        <w:t xml:space="preserve">Step 1: Invest fully in Project A. Cost: £600,000. NPV secured: £643,100. Remaining funds: £1,900,000.</w:t>
      </w:r>
    </w:p>
    <w:p w:rsidR="00000000" w:rsidDel="00000000" w:rsidP="00000000" w:rsidRDefault="00000000" w:rsidRPr="00000000" w14:paraId="000001CC">
      <w:pPr>
        <w:numPr>
          <w:ilvl w:val="1"/>
          <w:numId w:val="3"/>
        </w:numPr>
        <w:ind w:left="1440" w:hanging="360"/>
        <w:rPr/>
      </w:pPr>
      <w:r w:rsidDel="00000000" w:rsidR="00000000" w:rsidRPr="00000000">
        <w:rPr>
          <w:rtl w:val="0"/>
        </w:rPr>
        <w:t xml:space="preserve">Step 2: Invest fully in Project B. Cost: £1,000,000. NPV secured: £792,300. Remaining funds: £900,000.</w:t>
      </w:r>
    </w:p>
    <w:p w:rsidR="00000000" w:rsidDel="00000000" w:rsidP="00000000" w:rsidRDefault="00000000" w:rsidRPr="00000000" w14:paraId="000001CD">
      <w:pPr>
        <w:numPr>
          <w:ilvl w:val="1"/>
          <w:numId w:val="3"/>
        </w:numPr>
        <w:ind w:left="1440" w:hanging="360"/>
        <w:rPr/>
      </w:pPr>
      <w:r w:rsidDel="00000000" w:rsidR="00000000" w:rsidRPr="00000000">
        <w:rPr>
          <w:rtl w:val="0"/>
        </w:rPr>
        <w:t xml:space="preserve">Step 3: Allocate remaining funds to the next project on the list, Project C.</w:t>
      </w:r>
    </w:p>
    <w:p w:rsidR="00000000" w:rsidDel="00000000" w:rsidP="00000000" w:rsidRDefault="00000000" w:rsidRPr="00000000" w14:paraId="000001CE">
      <w:pPr>
        <w:numPr>
          <w:ilvl w:val="2"/>
          <w:numId w:val="3"/>
        </w:numPr>
        <w:ind w:left="2160" w:hanging="360"/>
        <w:rPr/>
      </w:pPr>
      <w:r w:rsidDel="00000000" w:rsidR="00000000" w:rsidRPr="00000000">
        <w:rPr>
          <w:rtl w:val="0"/>
        </w:rPr>
        <w:t xml:space="preserve">Funds available: £900,000.</w:t>
      </w:r>
    </w:p>
    <w:p w:rsidR="00000000" w:rsidDel="00000000" w:rsidP="00000000" w:rsidRDefault="00000000" w:rsidRPr="00000000" w14:paraId="000001CF">
      <w:pPr>
        <w:numPr>
          <w:ilvl w:val="2"/>
          <w:numId w:val="3"/>
        </w:numPr>
        <w:ind w:left="2160" w:hanging="360"/>
        <w:rPr/>
      </w:pPr>
      <w:r w:rsidDel="00000000" w:rsidR="00000000" w:rsidRPr="00000000">
        <w:rPr>
          <w:rtl w:val="0"/>
        </w:rPr>
        <w:t xml:space="preserve">Total cost of Project C: £1,600,000.</w:t>
      </w:r>
    </w:p>
    <w:p w:rsidR="00000000" w:rsidDel="00000000" w:rsidP="00000000" w:rsidRDefault="00000000" w:rsidRPr="00000000" w14:paraId="000001D0">
      <w:pPr>
        <w:numPr>
          <w:ilvl w:val="2"/>
          <w:numId w:val="3"/>
        </w:numPr>
        <w:ind w:left="2160" w:hanging="360"/>
        <w:rPr/>
      </w:pPr>
      <w:r w:rsidDel="00000000" w:rsidR="00000000" w:rsidRPr="00000000">
        <w:rPr>
          <w:rtl w:val="0"/>
        </w:rPr>
        <w:t xml:space="preserve">Therefore, we can undertake a fraction: £900,000 / £1,600,000 = 0.5625 (or 56.25%) of Project C.</w:t>
      </w:r>
    </w:p>
    <w:p w:rsidR="00000000" w:rsidDel="00000000" w:rsidP="00000000" w:rsidRDefault="00000000" w:rsidRPr="00000000" w14:paraId="000001D1">
      <w:pPr>
        <w:numPr>
          <w:ilvl w:val="2"/>
          <w:numId w:val="3"/>
        </w:numPr>
        <w:ind w:left="2160" w:hanging="360"/>
        <w:rPr/>
      </w:pPr>
      <w:r w:rsidDel="00000000" w:rsidR="00000000" w:rsidRPr="00000000">
        <w:rPr>
          <w:rtl w:val="0"/>
        </w:rPr>
        <w:t xml:space="preserve">The NPV from this fraction = 0.5625 x £742,600 = £417,712.50.</w:t>
      </w:r>
    </w:p>
    <w:p w:rsidR="00000000" w:rsidDel="00000000" w:rsidP="00000000" w:rsidRDefault="00000000" w:rsidRPr="00000000" w14:paraId="000001D2">
      <w:pPr>
        <w:numPr>
          <w:ilvl w:val="0"/>
          <w:numId w:val="3"/>
        </w:numPr>
        <w:ind w:left="720" w:hanging="360"/>
        <w:rPr/>
      </w:pPr>
      <w:r w:rsidDel="00000000" w:rsidR="00000000" w:rsidRPr="00000000">
        <w:rPr>
          <w:rtl w:val="0"/>
        </w:rPr>
        <w:t xml:space="preserve">Optimal Investment Policy and Total NPV:</w:t>
      </w:r>
    </w:p>
    <w:p w:rsidR="00000000" w:rsidDel="00000000" w:rsidP="00000000" w:rsidRDefault="00000000" w:rsidRPr="00000000" w14:paraId="000001D3">
      <w:pPr>
        <w:numPr>
          <w:ilvl w:val="1"/>
          <w:numId w:val="5"/>
        </w:numPr>
        <w:ind w:left="1440" w:hanging="360"/>
        <w:rPr/>
      </w:pPr>
      <w:r w:rsidDel="00000000" w:rsidR="00000000" w:rsidRPr="00000000">
        <w:rPr>
          <w:rtl w:val="0"/>
        </w:rPr>
        <w:t xml:space="preserve">Undertake 100% of Project A.</w:t>
      </w:r>
    </w:p>
    <w:p w:rsidR="00000000" w:rsidDel="00000000" w:rsidP="00000000" w:rsidRDefault="00000000" w:rsidRPr="00000000" w14:paraId="000001D4">
      <w:pPr>
        <w:numPr>
          <w:ilvl w:val="1"/>
          <w:numId w:val="5"/>
        </w:numPr>
        <w:ind w:left="1440" w:hanging="360"/>
        <w:rPr/>
      </w:pPr>
      <w:r w:rsidDel="00000000" w:rsidR="00000000" w:rsidRPr="00000000">
        <w:rPr>
          <w:rtl w:val="0"/>
        </w:rPr>
        <w:t xml:space="preserve">Undertake 100% of Project B.</w:t>
      </w:r>
    </w:p>
    <w:p w:rsidR="00000000" w:rsidDel="00000000" w:rsidP="00000000" w:rsidRDefault="00000000" w:rsidRPr="00000000" w14:paraId="000001D5">
      <w:pPr>
        <w:numPr>
          <w:ilvl w:val="1"/>
          <w:numId w:val="5"/>
        </w:numPr>
        <w:ind w:left="1440" w:hanging="360"/>
        <w:rPr/>
      </w:pPr>
      <w:r w:rsidDel="00000000" w:rsidR="00000000" w:rsidRPr="00000000">
        <w:rPr>
          <w:rtl w:val="0"/>
        </w:rPr>
        <w:t xml:space="preserve">Undertake 56.25% of Project C.</w:t>
      </w:r>
    </w:p>
    <w:p w:rsidR="00000000" w:rsidDel="00000000" w:rsidP="00000000" w:rsidRDefault="00000000" w:rsidRPr="00000000" w14:paraId="000001D6">
      <w:pPr>
        <w:numPr>
          <w:ilvl w:val="1"/>
          <w:numId w:val="5"/>
        </w:numPr>
        <w:ind w:left="1440" w:hanging="360"/>
        <w:rPr/>
      </w:pPr>
      <w:r w:rsidDel="00000000" w:rsidR="00000000" w:rsidRPr="00000000">
        <w:rPr>
          <w:rtl w:val="0"/>
        </w:rPr>
        <w:t xml:space="preserve">Total Investment = £600,000 + £1,000,000 + £900,000 = £2,500,000.</w:t>
      </w:r>
    </w:p>
    <w:p w:rsidR="00000000" w:rsidDel="00000000" w:rsidP="00000000" w:rsidRDefault="00000000" w:rsidRPr="00000000" w14:paraId="000001D7">
      <w:pPr>
        <w:numPr>
          <w:ilvl w:val="1"/>
          <w:numId w:val="5"/>
        </w:numPr>
        <w:ind w:left="1440" w:hanging="360"/>
        <w:rPr/>
      </w:pPr>
      <w:r w:rsidDel="00000000" w:rsidR="00000000" w:rsidRPr="00000000">
        <w:rPr>
          <w:rtl w:val="0"/>
        </w:rPr>
        <w:t xml:space="preserve">Resulting Total NPV = £643,100 + £792,300 + £417,712.50 = </w:t>
      </w:r>
      <w:r w:rsidDel="00000000" w:rsidR="00000000" w:rsidRPr="00000000">
        <w:rPr>
          <w:b w:val="1"/>
          <w:bCs w:val="1"/>
          <w:rtl w:val="0"/>
        </w:rPr>
        <w:t xml:space="preserve">£1,853,112.50.</w:t>
      </w: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This combination utilises the entire budget and generates the highest possible total NPV from the available opportunities.</w:t>
      </w:r>
    </w:p>
    <w:p w:rsidR="00000000" w:rsidDel="00000000" w:rsidP="00000000" w:rsidRDefault="00000000" w:rsidRPr="00000000" w14:paraId="000001D9">
      <w:pPr>
        <w:pStyle w:val="Heading2"/>
        <w:rPr/>
      </w:pPr>
      <w:bookmarkStart w:colFirst="0" w:colLast="0" w:name="_ecikuilygq3x" w:id="15"/>
      <w:bookmarkEnd w:id="15"/>
      <w:r w:rsidDel="00000000" w:rsidR="00000000" w:rsidRPr="00000000">
        <w:rPr>
          <w:rtl w:val="0"/>
        </w:rPr>
        <w:t xml:space="preserve">3.5 Management Interpretation </w:t>
      </w:r>
    </w:p>
    <w:p w:rsidR="00000000" w:rsidDel="00000000" w:rsidP="00000000" w:rsidRDefault="00000000" w:rsidRPr="00000000" w14:paraId="000001DA">
      <w:pPr>
        <w:rPr/>
      </w:pPr>
      <w:r w:rsidDel="00000000" w:rsidR="00000000" w:rsidRPr="00000000">
        <w:rPr>
          <w:b w:val="1"/>
          <w:bCs w:val="1"/>
          <w:rtl w:val="0"/>
        </w:rPr>
        <w:t xml:space="preserve">Reasons why Net Present Value (NPV) is the Appraisal of Choice: </w:t>
      </w:r>
      <w:r w:rsidDel="00000000" w:rsidR="00000000" w:rsidRPr="00000000">
        <w:rPr>
          <w:rtl w:val="0"/>
        </w:rPr>
        <w:t xml:space="preserve">The most theoretically sound capital appraisal method is the Net Present Value (NPV) because of the following reasons: </w:t>
      </w:r>
    </w:p>
    <w:p w:rsidR="00000000" w:rsidDel="00000000" w:rsidP="00000000" w:rsidRDefault="00000000" w:rsidRPr="00000000" w14:paraId="000001D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Shareholder Wealth Maximisation: The positive NPV shows that a project creates value by incurring all costs, including the cost of capital, hence directly increasing the shareholder wealth (TETTEY, 2020). The choice of the project, which accepts the highest NPV (Project B), is in line with this purpose. </w:t>
      </w:r>
    </w:p>
    <w:p w:rsidR="00000000" w:rsidDel="00000000" w:rsidP="00000000" w:rsidRDefault="00000000" w:rsidRPr="00000000" w14:paraId="000001D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Time Value of Money: NPV discounts accurately future cash flows because it appreciates the fact that money today is more important than money tomorrow (Vyasan, 2024). </w:t>
      </w:r>
    </w:p>
    <w:p w:rsidR="00000000" w:rsidDel="00000000" w:rsidP="00000000" w:rsidRDefault="00000000" w:rsidRPr="00000000" w14:paraId="000001D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Risk Adjustment: The discount rate will indicate the risk profile of the project, and only those projects that provide returns that are above the required rate are accepted. </w:t>
      </w:r>
    </w:p>
    <w:p w:rsidR="00000000" w:rsidDel="00000000" w:rsidP="00000000" w:rsidRDefault="00000000" w:rsidRPr="00000000" w14:paraId="000001D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Full Cash Flow Protection: NPV uses all the appropriate incremental cash flows throughout the period of the project, including tax, instead of using accounting profits (Arnaboldi, 2015). </w:t>
      </w:r>
    </w:p>
    <w:p w:rsidR="00000000" w:rsidDel="00000000" w:rsidP="00000000" w:rsidRDefault="00000000" w:rsidRPr="00000000" w14:paraId="000001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Clarity of Ranking of mutually exclusive Projects: NPV is a clear-cut method of making decisions when projects are different in magnitude. Project B is the best choice because it has a higher NPV (£792,300) and it does not have conflicts like when using other techniques, like the IRR.</w:t>
      </w:r>
    </w:p>
    <w:p w:rsidR="00000000" w:rsidDel="00000000" w:rsidP="00000000" w:rsidRDefault="00000000" w:rsidRPr="00000000" w14:paraId="000001E0">
      <w:pPr>
        <w:rPr/>
      </w:pPr>
      <w:r w:rsidDel="00000000" w:rsidR="00000000" w:rsidRPr="00000000">
        <w:rPr>
          <w:b w:val="1"/>
          <w:bCs w:val="1"/>
          <w:rtl w:val="0"/>
        </w:rPr>
        <w:t xml:space="preserve">Why Managers Still Use Non-Discounting Methods:</w:t>
      </w:r>
      <w:r w:rsidDel="00000000" w:rsidR="00000000" w:rsidRPr="00000000">
        <w:rPr>
          <w:rtl w:val="0"/>
        </w:rPr>
        <w:t xml:space="preserve"> Though NPV is the best, other techniques like Payback are still common because of:</w:t>
      </w:r>
    </w:p>
    <w:p w:rsidR="00000000" w:rsidDel="00000000" w:rsidP="00000000" w:rsidRDefault="00000000" w:rsidRPr="00000000" w14:paraId="000001E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Ease of calculation and expression: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Not requiring financial expertise.</w:t>
      </w:r>
    </w:p>
    <w:p w:rsidR="00000000" w:rsidDel="00000000" w:rsidP="00000000" w:rsidRDefault="00000000" w:rsidRPr="00000000" w14:paraId="000001E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Liquidity Emphasis: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Focuses on the speed of cash recovery, which is an essential concern in unpredictable conditions (Oyetola Oyelakun et al., 2025).</w:t>
      </w:r>
    </w:p>
    <w:p w:rsidR="00000000" w:rsidDel="00000000" w:rsidP="00000000" w:rsidRDefault="00000000" w:rsidRPr="00000000" w14:paraId="000001E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Risk Reduction: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shorter payback period will minimize the exposure to long-term uncertainty.</w:t>
      </w:r>
    </w:p>
    <w:p w:rsidR="00000000" w:rsidDel="00000000" w:rsidP="00000000" w:rsidRDefault="00000000" w:rsidRPr="00000000" w14:paraId="000001E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Applicable Screening Tool: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Applicable to small, routine or short-term investment decisions.</w:t>
      </w:r>
    </w:p>
    <w:p w:rsidR="00000000" w:rsidDel="00000000" w:rsidP="00000000" w:rsidRDefault="00000000" w:rsidRPr="00000000" w14:paraId="000001E5">
      <w:pPr>
        <w:rPr/>
      </w:pPr>
      <w:r w:rsidDel="00000000" w:rsidR="00000000" w:rsidRPr="00000000">
        <w:rPr>
          <w:b w:val="1"/>
          <w:bCs w:val="1"/>
          <w:rtl w:val="0"/>
        </w:rPr>
        <w:t xml:space="preserve">Additional Factors Before Approving Project B: </w:t>
      </w:r>
      <w:r w:rsidDel="00000000" w:rsidR="00000000" w:rsidRPr="00000000">
        <w:rPr>
          <w:rtl w:val="0"/>
        </w:rPr>
        <w:t xml:space="preserve">In addition to NPV the Board ought to take into account: </w:t>
      </w:r>
    </w:p>
    <w:p w:rsidR="00000000" w:rsidDel="00000000" w:rsidP="00000000" w:rsidRDefault="00000000" w:rsidRPr="00000000" w14:paraId="000001E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Strategic Fit: Strategic fit with the long-term strategy of Westward and cannibalisation of the current sales. </w:t>
      </w:r>
    </w:p>
    <w:p w:rsidR="00000000" w:rsidDel="00000000" w:rsidP="00000000" w:rsidRDefault="00000000" w:rsidRPr="00000000" w14:paraId="000001E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Risk Sensitivity: Influence of variations in sales volumes, costs and discount rates on the viability of the project (Lu et al., 2018). </w:t>
      </w:r>
    </w:p>
    <w:p w:rsidR="00000000" w:rsidDel="00000000" w:rsidP="00000000" w:rsidRDefault="00000000" w:rsidRPr="00000000" w14:paraId="000001E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Operational Capability: Accessibility to digital, IT, and logistics knowledge. Competitive Response:  Potential responses of competitors in the online markets. </w:t>
      </w:r>
    </w:p>
    <w:p w:rsidR="00000000" w:rsidDel="00000000" w:rsidP="00000000" w:rsidRDefault="00000000" w:rsidRPr="00000000" w14:paraId="000001E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Real Options: The ability to expand, defer or abandon the project in case of changes in the conditions.</w:t>
      </w:r>
    </w:p>
    <w:p w:rsidR="00000000" w:rsidDel="00000000" w:rsidP="00000000" w:rsidRDefault="00000000" w:rsidRPr="00000000" w14:paraId="000001EA">
      <w:pPr>
        <w:pStyle w:val="Heading2"/>
        <w:rPr/>
      </w:pPr>
      <w:bookmarkStart w:colFirst="0" w:colLast="0" w:name="_siw1s5a7azrm" w:id="16"/>
      <w:bookmarkEnd w:id="16"/>
      <w:r w:rsidDel="00000000" w:rsidR="00000000" w:rsidRPr="00000000">
        <w:rPr>
          <w:rtl w:val="0"/>
        </w:rPr>
        <w:t xml:space="preserve">3.6 Conclusion and funding Recommendation.</w:t>
      </w:r>
    </w:p>
    <w:p w:rsidR="00000000" w:rsidDel="00000000" w:rsidP="00000000" w:rsidRDefault="00000000" w:rsidRPr="00000000" w14:paraId="000001EB">
      <w:pPr>
        <w:rPr/>
      </w:pPr>
      <w:r w:rsidDel="00000000" w:rsidR="00000000" w:rsidRPr="00000000">
        <w:rPr>
          <w:rtl w:val="0"/>
        </w:rPr>
        <w:t xml:space="preserve">Through the analysis, it is advised that the investment programme to go ahead. In a single project scenario, Project B (Internet Sales) has the best NPV (£792k). Assuming that the constraint of the budget is fixed at £2.5m, the best policy is to go with the full implementation of Projects A and B and 56.25% of Project C, giving a net NPV of about £1.85m.</w:t>
      </w:r>
    </w:p>
    <w:p w:rsidR="00000000" w:rsidDel="00000000" w:rsidP="00000000" w:rsidRDefault="00000000" w:rsidRPr="00000000" w14:paraId="000001EC">
      <w:pPr>
        <w:rPr>
          <w:b w:val="1"/>
          <w:bCs w:val="1"/>
        </w:rPr>
      </w:pPr>
      <w:r w:rsidDel="00000000" w:rsidR="00000000" w:rsidRPr="00000000">
        <w:rPr>
          <w:b w:val="1"/>
          <w:bCs w:val="1"/>
          <w:rtl w:val="0"/>
        </w:rPr>
        <w:t xml:space="preserve">Financing the Programme:</w:t>
      </w:r>
    </w:p>
    <w:p w:rsidR="00000000" w:rsidDel="00000000" w:rsidP="00000000" w:rsidRDefault="00000000" w:rsidRPr="00000000" w14:paraId="000001ED">
      <w:pPr>
        <w:rPr/>
      </w:pPr>
      <w:r w:rsidDel="00000000" w:rsidR="00000000" w:rsidRPr="00000000">
        <w:rPr>
          <w:rtl w:val="0"/>
        </w:rPr>
        <w:t xml:space="preserve">Considering the magnitude of the investment (up to £2.5m), a combination of sources should be used to ensure a balance between the cost, risk, and flexibility.</w:t>
      </w:r>
    </w:p>
    <w:p w:rsidR="00000000" w:rsidDel="00000000" w:rsidP="00000000" w:rsidRDefault="00000000" w:rsidRPr="00000000" w14:paraId="000001EE">
      <w:pPr>
        <w:rPr>
          <w:b w:val="1"/>
          <w:bCs w:val="1"/>
        </w:rPr>
      </w:pPr>
      <w:r w:rsidDel="00000000" w:rsidR="00000000" w:rsidRPr="00000000">
        <w:rPr>
          <w:b w:val="1"/>
          <w:bCs w:val="1"/>
          <w:rtl w:val="0"/>
        </w:rPr>
        <w:t xml:space="preserve">Retained Earnings: </w:t>
      </w:r>
    </w:p>
    <w:p w:rsidR="00000000" w:rsidDel="00000000" w:rsidP="00000000" w:rsidRDefault="00000000" w:rsidRPr="00000000" w14:paraId="000001EF">
      <w:pPr>
        <w:rPr/>
      </w:pPr>
      <w:r w:rsidDel="00000000" w:rsidR="00000000" w:rsidRPr="00000000">
        <w:rPr>
          <w:rtl w:val="0"/>
        </w:rPr>
        <w:t xml:space="preserve">Benefits: The major benefit includes no costs to pay in terms of costs, no dilution of ownership or control, no compulsory interest payments, and indicate good financial health (Dahmash et al., 2023).</w:t>
      </w:r>
    </w:p>
    <w:p w:rsidR="00000000" w:rsidDel="00000000" w:rsidP="00000000" w:rsidRDefault="00000000" w:rsidRPr="00000000" w14:paraId="000001F0">
      <w:pPr>
        <w:rPr/>
      </w:pPr>
      <w:r w:rsidDel="00000000" w:rsidR="00000000" w:rsidRPr="00000000">
        <w:rPr>
          <w:rtl w:val="0"/>
        </w:rPr>
        <w:t xml:space="preserve">Cons: Low availability. All retained earnings can be used, limiting flexibility to other opportunities or dividend payments, which can disappoint shareholders.</w:t>
      </w:r>
    </w:p>
    <w:p w:rsidR="00000000" w:rsidDel="00000000" w:rsidP="00000000" w:rsidRDefault="00000000" w:rsidRPr="00000000" w14:paraId="000001F1">
      <w:pPr>
        <w:rPr>
          <w:b w:val="1"/>
          <w:bCs w:val="1"/>
        </w:rPr>
      </w:pPr>
      <w:r w:rsidDel="00000000" w:rsidR="00000000" w:rsidRPr="00000000">
        <w:rPr>
          <w:b w:val="1"/>
          <w:bCs w:val="1"/>
          <w:rtl w:val="0"/>
        </w:rPr>
        <w:t xml:space="preserve">Bank Debt (Term Loan or Mortgage):</w:t>
      </w:r>
    </w:p>
    <w:p w:rsidR="00000000" w:rsidDel="00000000" w:rsidP="00000000" w:rsidRDefault="00000000" w:rsidRPr="00000000" w14:paraId="000001F2">
      <w:pPr>
        <w:rPr/>
      </w:pPr>
      <w:r w:rsidDel="00000000" w:rsidR="00000000" w:rsidRPr="00000000">
        <w:rPr>
          <w:rtl w:val="0"/>
        </w:rPr>
        <w:t xml:space="preserve">Pros: Interest is tax-deductible, which generates a beneficial tax shield. It does not dilute ownership. Financial discipline can be imposed through debt financing (Kagan, 2019).</w:t>
      </w:r>
    </w:p>
    <w:p w:rsidR="00000000" w:rsidDel="00000000" w:rsidP="00000000" w:rsidRDefault="00000000" w:rsidRPr="00000000" w14:paraId="000001F3">
      <w:pPr>
        <w:rPr/>
      </w:pPr>
      <w:r w:rsidDel="00000000" w:rsidR="00000000" w:rsidRPr="00000000">
        <w:rPr>
          <w:rtl w:val="0"/>
        </w:rPr>
        <w:t xml:space="preserve">Weaknesses: It raises the financial risk and gearing. Makes frequent interest and capital payments, which bind the cash flows of the future. Lenders can make business operations subject to restrictive covenants. The access is determined by creditworthiness and current debts.</w:t>
      </w:r>
    </w:p>
    <w:p w:rsidR="00000000" w:rsidDel="00000000" w:rsidP="00000000" w:rsidRDefault="00000000" w:rsidRPr="00000000" w14:paraId="000001F4">
      <w:pPr>
        <w:rPr>
          <w:b w:val="1"/>
          <w:bCs w:val="1"/>
        </w:rPr>
      </w:pPr>
      <w:r w:rsidDel="00000000" w:rsidR="00000000" w:rsidRPr="00000000">
        <w:rPr>
          <w:b w:val="1"/>
          <w:bCs w:val="1"/>
          <w:rtl w:val="0"/>
        </w:rPr>
        <w:t xml:space="preserve">Finance Lease (of assets):</w:t>
      </w:r>
    </w:p>
    <w:p w:rsidR="00000000" w:rsidDel="00000000" w:rsidP="00000000" w:rsidRDefault="00000000" w:rsidRPr="00000000" w14:paraId="000001F5">
      <w:pPr>
        <w:rPr/>
      </w:pPr>
      <w:r w:rsidDel="00000000" w:rsidR="00000000" w:rsidRPr="00000000">
        <w:rPr>
          <w:b w:val="1"/>
          <w:bCs w:val="1"/>
          <w:rtl w:val="0"/>
        </w:rPr>
        <w:t xml:space="preserve">Merits:</w:t>
      </w:r>
      <w:r w:rsidDel="00000000" w:rsidR="00000000" w:rsidRPr="00000000">
        <w:rPr>
          <w:rtl w:val="0"/>
        </w:rPr>
        <w:t xml:space="preserve"> Saves the initial cash outlay since there is no huge amount of cash that is required as the initial payment (S.M. Ikhtiar Alam, 2021). The payments are usually fully tax allowable. Offers a counter to the deterioration of assets in case the lease is brief.</w:t>
      </w:r>
    </w:p>
    <w:p w:rsidR="00000000" w:rsidDel="00000000" w:rsidP="00000000" w:rsidRDefault="00000000" w:rsidRPr="00000000" w14:paraId="000001F6">
      <w:pPr>
        <w:rPr/>
      </w:pPr>
      <w:r w:rsidDel="00000000" w:rsidR="00000000" w:rsidRPr="00000000">
        <w:rPr>
          <w:b w:val="1"/>
          <w:bCs w:val="1"/>
          <w:rtl w:val="0"/>
        </w:rPr>
        <w:t xml:space="preserve">Drawbacks:</w:t>
      </w:r>
      <w:r w:rsidDel="00000000" w:rsidR="00000000" w:rsidRPr="00000000">
        <w:rPr>
          <w:rtl w:val="0"/>
        </w:rPr>
        <w:t xml:space="preserve"> The lessee is not a direct owner of the asset and cannot enjoy the residual value of the asset. It may be costlier than a straight purchase in the long run. It is an off-balance-sheet form of finance, which nevertheless constitutes a fixed obligation.</w:t>
      </w:r>
    </w:p>
    <w:p w:rsidR="00000000" w:rsidDel="00000000" w:rsidP="00000000" w:rsidRDefault="00000000" w:rsidRPr="00000000" w14:paraId="000001F7">
      <w:pPr>
        <w:rPr>
          <w:b w:val="1"/>
          <w:bCs w:val="1"/>
        </w:rPr>
      </w:pPr>
      <w:r w:rsidDel="00000000" w:rsidR="00000000" w:rsidRPr="00000000">
        <w:rPr>
          <w:b w:val="1"/>
          <w:bCs w:val="1"/>
          <w:rtl w:val="0"/>
        </w:rPr>
        <w:t xml:space="preserve">Equity Issue (New Share Issue):</w:t>
      </w:r>
    </w:p>
    <w:p w:rsidR="00000000" w:rsidDel="00000000" w:rsidP="00000000" w:rsidRDefault="00000000" w:rsidRPr="00000000" w14:paraId="000001F8">
      <w:pPr>
        <w:rPr/>
      </w:pPr>
      <w:r w:rsidDel="00000000" w:rsidR="00000000" w:rsidRPr="00000000">
        <w:rPr>
          <w:rtl w:val="0"/>
        </w:rPr>
        <w:t xml:space="preserve">Benefits: Permanent capital injection that is not repayable. Enhances the balance sheet and decreases gearing, which enhances future debt capacity.</w:t>
      </w:r>
    </w:p>
    <w:p w:rsidR="00000000" w:rsidDel="00000000" w:rsidP="00000000" w:rsidRDefault="00000000" w:rsidRPr="00000000" w14:paraId="000001F9">
      <w:pPr>
        <w:rPr/>
      </w:pPr>
      <w:r w:rsidDel="00000000" w:rsidR="00000000" w:rsidRPr="00000000">
        <w:rPr>
          <w:rtl w:val="0"/>
        </w:rPr>
        <w:t xml:space="preserve">Cons: Dilutes current ownership and control. Dividend paid cannot be deducted against taxes. Costs on issues (underwriting, legal expenses) are high. It can be viewed as a message of share overvaluation (CFI Team, 2024).</w:t>
      </w:r>
    </w:p>
    <w:p w:rsidR="00000000" w:rsidDel="00000000" w:rsidP="00000000" w:rsidRDefault="00000000" w:rsidRPr="00000000" w14:paraId="000001FA">
      <w:pPr>
        <w:rPr/>
      </w:pPr>
      <w:r w:rsidDel="00000000" w:rsidR="00000000" w:rsidRPr="00000000">
        <w:rPr>
          <w:rtl w:val="0"/>
        </w:rPr>
        <w:t xml:space="preserve">Westward Plc should be advised to:</w:t>
      </w:r>
    </w:p>
    <w:p w:rsidR="00000000" w:rsidDel="00000000" w:rsidP="00000000" w:rsidRDefault="00000000" w:rsidRPr="00000000" w14:paraId="000001FB">
      <w:pPr>
        <w:rPr/>
      </w:pPr>
      <w:r w:rsidDel="00000000" w:rsidR="00000000" w:rsidRPr="00000000">
        <w:rPr>
          <w:rtl w:val="0"/>
        </w:rPr>
        <w:t xml:space="preserve">The investments have good NPVs, which have made the investments likely to yield returns that exceed the cost of capital. The sensible financing plan would be to invest a small part of the retained earnings to indicate confidence and reduce the cost, with the assistance of medium-term bank debt (Ngoc, Nguyen and Pham, 2023). This is to take advantage of the taxation on the debt and maintain the gearing to manageable levels. In case the assets to project C are a massive part, there should be leasing of that particular part. Equity issue is not advisable because it is a costly source of capital in terms of expectation and dilution by existing investors.</w:t>
      </w:r>
    </w:p>
    <w:p w:rsidR="00000000" w:rsidDel="00000000" w:rsidP="00000000" w:rsidRDefault="00000000" w:rsidRPr="00000000" w14:paraId="000001F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FD">
      <w:pPr>
        <w:pStyle w:val="Heading1"/>
        <w:rPr/>
      </w:pPr>
      <w:bookmarkStart w:colFirst="0" w:colLast="0" w:name="_dj9g446ck3kh" w:id="17"/>
      <w:bookmarkEnd w:id="17"/>
      <w:r w:rsidDel="00000000" w:rsidR="00000000" w:rsidRPr="00000000">
        <w:rPr>
          <w:rtl w:val="0"/>
        </w:rPr>
        <w:t xml:space="preserve">References</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Abdelhalim, Y., Bennani, F., Bader, B. and Haitham Nobanee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Financial Performance Analysis of Apple and Microsoft: A Comparative Study (2014-2023)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ResearchGate. Available at: https://www.researchgate.net/publication/384676075_Financial_Performance_Analysis_of_Apple_and_Microsoft_A_Comparative_Study_2014-2023.</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AInvest (2023).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What are the key drivers behind Shell’s fluctuating operating profits in 2023-2024 | AIME by AInvest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AInvest. Available at: https://www.ainvest.com/aime/share/key-drivers-shells-fluctuating-operating-profits-2023-2024-64454a/ [Accessed 12 Jan. 2026].</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Arnaboldi, M. (2015).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Net Present Value - an overview | ScienceDirect Topics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www.sciencedirect.com. Available at: https://www.sciencedirect.com/topics/social-sciences/net-present-value.</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Asiani, N.T. and Rahayu, N.P.W. (2024). ANALYSIS OF LIQUIDITY RATIOS AND PROFITABILITY RATIOS TO ASSESS FINANCIAL PERFORMANCE.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International Journal of Accounting, Management, Economics and Social Sciences (IJAMESC)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2(4), pp.1385–1401. doi:https://doi.org/10.61990/ijamesc.v2i4.312.</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Aydın, N. and Kulali, G. (2018). Asset utilization efficiency and ownership structure: Evidence from emerging and developing Eastern Europe.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Eastern European and Central Asian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5(1). doi:https://doi.org/10.15549/jeecar.v5i1.186.</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Beers, B.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What factors decrease cash flow from operating activities?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https://www.investopedia.com/ask/answers/033015/what-sorts-factors-decrease-cash-flow-operating-activities.asp.</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CFI (2020).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Liquidity Ratio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https://corporatefinanceinstitute.com/resources/accounting/liquidity-ratio/.</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CFI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Return on assets &amp; ROA formula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https://corporatefinanceinstitute.com/resources/accounting/return-on-assets-roa-formula/.</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CFI Team (2015).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Current Ratio Vs Quick Ratio: Comparing Two Key Liquidity Ratios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https://corporatefinanceinstitute.com/resources/accounting/current-ratio-vs-quick-ratio/.</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CFI Team (2023).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Financial ratios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https://corporatefinanceinstitute.com/resources/accounting/financial-ratios/.</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CFI Team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Equity financing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https://corporatefinanceinstitute.com/resources/valuation/equity-financing/.</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CFI Team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Limitations of Ratio Analysis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https://corporatefinanceinstitute.com/resources/accounting/limitations-ratio-analysis/.</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Chidimma Umeaduma (2020). Evaluating Company Performance: The Role of EBITDA as a Key Financial Metric.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ResearchGate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pp.336–349. Available at: https://www.researchgate.net/publication/390284121_Evaluating_Company_Performance_The_Role_of_EBITDA_as_a_Key_Financial_Metric.</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Corporate Finance Institute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Gearing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https://corporatefinanceinstitute.com/resources/accounting/gearing/.</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Dahmash, F.N., Alshurafat, H., Hendawi, R., Alzoubi, A.B. and Amosh, H.A. (2023). The Retained Earnings Effect on the Firm’s Market Value: Evidence from Jordan.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International Journal of Financial Studies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11(3), pp.89–89. doi:https://doi.org/10.3390/ijfs11030089.</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Fernando, J.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Inventory turnover ratio: What it is, how it works, and formula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https://www.investopedia.com/terms/i/inventoryturnover.asp.</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Fernando, J.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Return on Equity (ROE) Calculation and What It Means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https://www.investopedia.com/terms/r/returnonequity.asp.</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Fernando, J.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Net present value (NPV): What it Means and Steps to Calculate It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https://www.investopedia.com/terms/n/npv.asp.</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Fernando, J.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Working Capital: Formula, Components, and Limitations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https://www.investopedia.com/terms/w/workingcapital.asp.</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Finbox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Complete Toolbox For Investors | finbox.com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Finbox.com. Available at: https://finbox.com/NYSE:SHEL/explorer/current_ratio/.</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Gratton, P.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Capital Structure Definition, Types, Importance, and Examples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https://www.investopedia.com/terms/c/capitalstructure.asp.</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Guo, Y. (2024). A Financial Analysis and Valuation of Shell.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Advances in Economics, Management and Political Sciences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109(1), pp.20–26. doi:https://doi.org/10.54254/2754-1169/109/2024bj0108.</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Gwilym, O. ap, Morgan, G. and Thomas, S. (2000). Dividend Stability, Dividend Yield and Stock Returns: UK Evidence.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Business Finance &amp; Accounting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27(3‐4), pp.261–281. doi:https://doi.org/10.1111/1468-5957.00313.</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Hayes, A. (2020).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Why the Interest Coverage Ratio Matters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https://www.investopedia.com/terms/i/interestcoverageratio.asp.</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Hayes, A.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How to Understand Days Payable Outstanding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https://www.investopedia.com/terms/d/dpo.asp.</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Hayes, A.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Return on Capital Employed (ROCE): Ratio, Interpretation, and Example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https://www.investopedia.com/terms/r/roce.asp.</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Hayes, A.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What Is the Debt Ratio?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https://www.investopedia.com/terms/d/debtratio.asp.</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Hayes, A.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Operating Margin: What It Is and the Formula for Calculating It, With Examples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https://www.investopedia.com/terms/o/operatingmargin.asp.</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Huang, J., Tong, J., Wang, P. and Zheng, X.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Application and Comparison of NPV and IRR Methods in the Company Investment Decision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www.atlantis-press.com. doi:https://doi.org/10.2991/aebmr.k.220307.012.</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Investing.com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Royal Dutch Shell A Stock Price Today | NYSE SHEL Live Ticker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Investing.com. Available at: https://www.investing.com/equities/royal-dutch-shell-a-plc.</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Kagan, J.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Tax Deductible Interest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https://www.investopedia.com/terms/t/tax-deductible-interest.asp.</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Kenton, W. (2023).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Fixed Asset Turnover Ratio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https://www.investopedia.com/terms/f/fixed-asset-turnover.asp.</w:t>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Kenton, W.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Efficiency Ratio: Definition, Formula, and Example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https://www.investopedia.com/terms/e/efficiencyratio.asp.</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Lu, Q. (Steven), Pattnaik, C., Xiao, J. and Voola, R. (2018). Cross-national variation in consumers’ retail channel selection in a multichannel environment: Evidence from Asia-Pacific countries.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86, pp.321–332. doi:https://doi.org/10.1016/j.jbusres.2017.09.027.</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Maverick, J.B.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How do gross profit margin and operating profit margin differ?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Investopedia. Available at: https://www.investopedia.com/ask/answers/010815/what-difference-between-gross-profit-margin-and-operating-profit-margin.asp.</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Ngoc, T., Nguyen, X.H. and Pham, K. (2023). The Effect of Capital Structure on Firm Value: A Study of Companies Listed on the Vietnamese Stock Market.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International Journal of Financial Studies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11(3), pp.100–100. doi:https://doi.org/10.3390/ijfs11030100.</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Oyetola Oyelakun, Adetunji Aderemi, Oluseyanu Olamide Abdul-Azeez and Ibrahim, A.-L. (2025). THE PAYBACK PERIOD (PBP) UNIFIED FORMULA: A SIMPLIFIED PROPOSED METHOD FOR CALCULATING PBP IN CAPITAL...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ResearchGate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10(2), pp.31–42. Available at: https://www.researchgate.net/publication/389436092_THE_PAYBACK_PERIOD_PBP_UNIFIED_FORMULA_A_SIMPLIFIED_PROPOSED_METHOD_FOR_CALCULATING_PBP_IN_CAPITAL_BUDGETING_DECISION.</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Rashid, C.A.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EFFICIENCY OF FINANCIAL RATIOS ANALYSIS TO EVALUATE COMPANY’S PROFITABILITY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ResearchGate. Available at: https://www.researchgate.net/publication/348686551_THE_EFFICIENCY_OF_FINANCIAL_RATIOS_ANALYSIS_TO_EVALUATE_COMPANY.</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S.M. Ikhtiar Alam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Lease Financing: Types, Advantages and Disadvantages, and Example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ResearchGate. Available at: https://www.researchgate.net/publication/354864794_Lease_Financing_Types_Advantages_and_Disadvantages_and_Example.</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Sant, N. (2013).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Relationship Between Stock Return, Dividend-Price Ratio, Price Earnings Ratio, Size, Market to book Ratio, and Payout Ratio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doi:https://doi.org/10.13140/RG.2.1.1812.7602.</w:t>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Schmidt, J.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Asset Turnover Ratio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Corporate Finance Institute. Available at: https://corporatefinanceinstitute.com/resources/accounting/asset-turnover-ratio/.</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Schoenmaker, D. and Schramade, W. (2023). Capital Structure.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Springer texts in business and economics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pp.431–462. doi:https://doi.org/10.1007/978-3-031-35009-2_15.</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Seth, R. and Mahenthiran, S. (2022). Impact of dividend payouts and corporate social responsibility on firm value – Evidence from India.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146, pp.571–581. doi:https://doi.org/10.1016/j.jbusres.2022.03.053.</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Shell PLC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Annual Report and Accounts 2024 | Shell Global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Shell.com. Available at: https://www.shell.com/investors/results-and-reporting/annual-report.html.</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TETTEY, MR. (2020).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(PDF) THE NET PRESENT VALUE IS THE KING OF CAPITAL BUDGETING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ResearchGate. Available at: https://www.researchgate.net/publication/342697034_THE_NET_PRESENT_VALUE_IS_THE_KING_OF_CAPITAL_BUDGETING.</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Tiara Setra Linuhung and Elis Mediawati (2023). Asset Management, Optimization of Asset Use, and its Effect on Local Own-Source Revenue.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International Journal of Business Law and Education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4(2), pp.1475–1487. doi:https://doi.org/10.56442/ijble.v4i2.346.</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Vyasan, B.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Impact of Time Value of Money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ResearchGate. Available at: https://www.researchgate.net/publication/382828499_Impact_of_Time_Value_of_Money.</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Wallace, P.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Maximizing Cash Flow with Effective Collection Strategies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Universal Funding. Available at: https://www.universalfunding.com/cash-collections/.</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Yahoo Finance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Shell plc (SHEL.L) Stock Price, News, Quote &amp; History - Yahoo Finance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finance.yahoo.com. Available at: https://finance.yahoo.com/quote/SHEL.L/.</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Zhou, J.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Financial Analysis of Royal Dutch Shell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doi:https://doi.org/10.2991/978-94-6463-835-6_38.</w:t>
      </w:r>
    </w:p>
    <w:p w:rsidR="00000000" w:rsidDel="00000000" w:rsidP="00000000" w:rsidRDefault="00000000" w:rsidRPr="00000000" w14:paraId="00000230">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231">
      <w:pPr>
        <w:pStyle w:val="Heading1"/>
        <w:rPr/>
      </w:pPr>
      <w:bookmarkStart w:colFirst="0" w:colLast="0" w:name="_3lmiomkxs1sa" w:id="18"/>
      <w:bookmarkEnd w:id="18"/>
      <w:r w:rsidDel="00000000" w:rsidR="00000000" w:rsidRPr="00000000">
        <w:rPr>
          <w:rtl w:val="0"/>
        </w:rPr>
        <w:t xml:space="preserve">Appendices </w:t>
      </w:r>
    </w:p>
    <w:p w:rsidR="00000000" w:rsidDel="00000000" w:rsidP="00000000" w:rsidRDefault="00000000" w:rsidRPr="00000000" w14:paraId="00000232">
      <w:pPr>
        <w:pStyle w:val="Heading2"/>
        <w:rPr/>
      </w:pPr>
      <w:bookmarkStart w:colFirst="0" w:colLast="0" w:name="_qayrl81vevls" w:id="19"/>
      <w:bookmarkEnd w:id="19"/>
      <w:r w:rsidDel="00000000" w:rsidR="00000000" w:rsidRPr="00000000">
        <w:rPr>
          <w:rtl w:val="0"/>
        </w:rPr>
        <w:t xml:space="preserve">Appendix A: Income Statement </w:t>
      </w:r>
    </w:p>
    <w:p w:rsidR="00000000" w:rsidDel="00000000" w:rsidP="00000000" w:rsidRDefault="00000000" w:rsidRPr="00000000" w14:paraId="00000233">
      <w:pPr>
        <w:rPr/>
      </w:pPr>
      <w:r w:rsidDel="00000000" w:rsidR="00000000" w:rsidRPr="00000000">
        <w:rPr/>
        <w:drawing>
          <wp:inline distB="0" distT="0" distL="0" distR="0">
            <wp:extent cx="5731510" cy="46355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4635500"/>
                    </a:xfrm>
                    <a:prstGeom prst="rect"/>
                    <a:ln/>
                  </pic:spPr>
                </pic:pic>
              </a:graphicData>
            </a:graphic>
          </wp:inline>
        </w:drawing>
      </w:r>
      <w:r w:rsidDel="00000000" w:rsidR="00000000" w:rsidRPr="00000000">
        <w:rPr>
          <w:rtl w:val="0"/>
        </w:rPr>
      </w:r>
    </w:p>
    <w:p w:rsidR="00000000" w:rsidDel="00000000" w:rsidP="00000000" w:rsidRDefault="00000000" w:rsidRPr="00000000" w14:paraId="00000234">
      <w:pPr>
        <w:pStyle w:val="Heading2"/>
        <w:rPr/>
      </w:pPr>
      <w:bookmarkStart w:colFirst="0" w:colLast="0" w:name="_ye9r8mj5r3x2" w:id="20"/>
      <w:bookmarkEnd w:id="20"/>
      <w:r w:rsidDel="00000000" w:rsidR="00000000" w:rsidRPr="00000000">
        <w:rPr>
          <w:rtl w:val="0"/>
        </w:rPr>
        <w:t xml:space="preserve">Appendix B: Balance Sheet</w:t>
      </w:r>
    </w:p>
    <w:p w:rsidR="00000000" w:rsidDel="00000000" w:rsidP="00000000" w:rsidRDefault="00000000" w:rsidRPr="00000000" w14:paraId="00000235">
      <w:pPr>
        <w:rPr/>
      </w:pPr>
      <w:r w:rsidDel="00000000" w:rsidR="00000000" w:rsidRPr="00000000">
        <w:rPr/>
        <w:drawing>
          <wp:inline distB="0" distT="0" distL="0" distR="0">
            <wp:extent cx="5731510" cy="678624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6786245"/>
                    </a:xfrm>
                    <a:prstGeom prst="rect"/>
                    <a:ln/>
                  </pic:spPr>
                </pic:pic>
              </a:graphicData>
            </a:graphic>
          </wp:inline>
        </w:drawing>
      </w: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Play"/>
  <w:font w:name="Aptos"/>
  <w:font w:name="Times New Roman"/>
  <w:font w:name="Cambria Math"/>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3"/>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mbria" w:cs="Cambria" w:eastAsia="Cambria" w:hAnsi="Cambria"/>
      <w:b w:val="1"/>
      <w:bCs w:val="1"/>
      <w:color w:val="0f4761"/>
      <w:sz w:val="28"/>
      <w:szCs w:val="28"/>
    </w:rPr>
  </w:style>
  <w:style w:type="paragraph" w:styleId="Heading2">
    <w:name w:val="heading 2"/>
    <w:basedOn w:val="Normal"/>
    <w:next w:val="Normal"/>
    <w:pPr>
      <w:keepNext w:val="1"/>
      <w:keepLines w:val="1"/>
      <w:spacing w:after="80" w:before="160" w:lineRule="auto"/>
    </w:pPr>
    <w:rPr>
      <w:rFonts w:ascii="Play" w:cs="Play" w:eastAsia="Play" w:hAnsi="Play"/>
      <w:b w:val="1"/>
      <w:bCs w:val="1"/>
      <w:color w:val="0f4761"/>
      <w:sz w:val="27"/>
      <w:szCs w:val="27"/>
    </w:rPr>
  </w:style>
  <w:style w:type="paragraph" w:styleId="Heading3">
    <w:name w:val="heading 3"/>
    <w:basedOn w:val="Normal"/>
    <w:next w:val="Normal"/>
    <w:pPr>
      <w:keepNext w:val="1"/>
      <w:keepLines w:val="1"/>
      <w:spacing w:after="80" w:before="160" w:lineRule="auto"/>
    </w:pPr>
    <w:rPr>
      <w:rFonts w:ascii="Aptos" w:cs="Aptos" w:eastAsia="Aptos" w:hAnsi="Aptos"/>
      <w:b w:val="1"/>
      <w:b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f0c8" w:val="clear"/>
      </w:tcPr>
    </w:tblStylePr>
    <w:tblStylePr w:type="band1Vert">
      <w:tcPr>
        <w:shd w:fill="c1f0c8" w:val="clear"/>
      </w:tcPr>
    </w:tblStylePr>
    <w:tblStylePr w:type="firstCol">
      <w:rPr>
        <w:b w:val="1"/>
        <w:bCs w:val="1"/>
      </w:rPr>
    </w:tblStylePr>
    <w:tblStylePr w:type="firstRow">
      <w:rPr>
        <w:b w:val="1"/>
        <w:bCs w:val="1"/>
        <w:color w:val="ffffff"/>
      </w:rPr>
      <w:tcPr>
        <w:tcBorders>
          <w:top w:color="196b24" w:space="0" w:sz="4" w:val="single"/>
          <w:left w:color="196b24" w:space="0" w:sz="4" w:val="single"/>
          <w:bottom w:color="196b24" w:space="0" w:sz="4" w:val="single"/>
          <w:right w:color="196b24" w:space="0" w:sz="4" w:val="single"/>
          <w:insideH w:color="000000" w:space="0" w:sz="0" w:val="nil"/>
          <w:insideV w:color="000000" w:space="0" w:sz="0" w:val="nil"/>
        </w:tcBorders>
        <w:shd w:fill="196b24" w:val="clear"/>
      </w:tcPr>
    </w:tblStylePr>
    <w:tblStylePr w:type="lastCol">
      <w:rPr>
        <w:b w:val="1"/>
        <w:bCs w:val="1"/>
      </w:rPr>
    </w:tblStylePr>
    <w:tblStylePr w:type="lastRow">
      <w:rPr>
        <w:b w:val="1"/>
        <w:bCs w:val="1"/>
      </w:rPr>
      <w:tcPr>
        <w:tcBorders>
          <w:top w:color="196b24"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f0c8" w:val="clear"/>
      </w:tcPr>
    </w:tblStylePr>
    <w:tblStylePr w:type="band1Vert">
      <w:tcPr>
        <w:shd w:fill="c1f0c8" w:val="clear"/>
      </w:tcPr>
    </w:tblStylePr>
    <w:tblStylePr w:type="firstCol">
      <w:rPr>
        <w:b w:val="1"/>
        <w:bCs w:val="1"/>
      </w:rPr>
    </w:tblStylePr>
    <w:tblStylePr w:type="firstRow">
      <w:rPr>
        <w:b w:val="1"/>
        <w:bCs w:val="1"/>
        <w:color w:val="ffffff"/>
      </w:rPr>
      <w:tcPr>
        <w:tcBorders>
          <w:top w:color="196b24" w:space="0" w:sz="4" w:val="single"/>
          <w:left w:color="196b24" w:space="0" w:sz="4" w:val="single"/>
          <w:bottom w:color="196b24" w:space="0" w:sz="4" w:val="single"/>
          <w:right w:color="196b24" w:space="0" w:sz="4" w:val="single"/>
          <w:insideH w:color="000000" w:space="0" w:sz="0" w:val="nil"/>
          <w:insideV w:color="000000" w:space="0" w:sz="0" w:val="nil"/>
        </w:tcBorders>
        <w:shd w:fill="196b24" w:val="clear"/>
      </w:tcPr>
    </w:tblStylePr>
    <w:tblStylePr w:type="lastCol">
      <w:rPr>
        <w:b w:val="1"/>
        <w:bCs w:val="1"/>
      </w:rPr>
    </w:tblStylePr>
    <w:tblStylePr w:type="lastRow">
      <w:rPr>
        <w:b w:val="1"/>
        <w:bCs w:val="1"/>
      </w:rPr>
      <w:tcPr>
        <w:tcBorders>
          <w:top w:color="196b24"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f0c8" w:val="clear"/>
      </w:tcPr>
    </w:tblStylePr>
    <w:tblStylePr w:type="band1Vert">
      <w:tcPr>
        <w:shd w:fill="c1f0c8" w:val="clear"/>
      </w:tcPr>
    </w:tblStylePr>
    <w:tblStylePr w:type="firstCol">
      <w:rPr>
        <w:b w:val="1"/>
        <w:bCs w:val="1"/>
      </w:rPr>
    </w:tblStylePr>
    <w:tblStylePr w:type="firstRow">
      <w:rPr>
        <w:b w:val="1"/>
        <w:bCs w:val="1"/>
        <w:color w:val="ffffff"/>
      </w:rPr>
      <w:tcPr>
        <w:tcBorders>
          <w:top w:color="196b24" w:space="0" w:sz="4" w:val="single"/>
          <w:left w:color="196b24" w:space="0" w:sz="4" w:val="single"/>
          <w:bottom w:color="196b24" w:space="0" w:sz="4" w:val="single"/>
          <w:right w:color="196b24" w:space="0" w:sz="4" w:val="single"/>
          <w:insideH w:color="000000" w:space="0" w:sz="0" w:val="nil"/>
          <w:insideV w:color="000000" w:space="0" w:sz="0" w:val="nil"/>
        </w:tcBorders>
        <w:shd w:fill="196b24" w:val="clear"/>
      </w:tcPr>
    </w:tblStylePr>
    <w:tblStylePr w:type="lastCol">
      <w:rPr>
        <w:b w:val="1"/>
        <w:bCs w:val="1"/>
      </w:rPr>
    </w:tblStylePr>
    <w:tblStylePr w:type="lastRow">
      <w:rPr>
        <w:b w:val="1"/>
        <w:bCs w:val="1"/>
      </w:rPr>
      <w:tcPr>
        <w:tcBorders>
          <w:top w:color="196b24"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1f0c8" w:val="clear"/>
      </w:tcPr>
    </w:tblStylePr>
    <w:tblStylePr w:type="band1Vert">
      <w:tcPr>
        <w:shd w:fill="c1f0c8" w:val="clear"/>
      </w:tcPr>
    </w:tblStylePr>
    <w:tblStylePr w:type="firstCol">
      <w:rPr>
        <w:b w:val="1"/>
        <w:bCs w:val="1"/>
      </w:rPr>
    </w:tblStylePr>
    <w:tblStylePr w:type="firstRow">
      <w:rPr>
        <w:b w:val="1"/>
        <w:bCs w:val="1"/>
        <w:color w:val="ffffff"/>
      </w:rPr>
      <w:tcPr>
        <w:tcBorders>
          <w:top w:color="196b24" w:space="0" w:sz="4" w:val="single"/>
          <w:left w:color="196b24" w:space="0" w:sz="4" w:val="single"/>
          <w:bottom w:color="196b24" w:space="0" w:sz="4" w:val="single"/>
          <w:right w:color="196b24" w:space="0" w:sz="4" w:val="single"/>
          <w:insideH w:color="000000" w:space="0" w:sz="0" w:val="nil"/>
          <w:insideV w:color="000000" w:space="0" w:sz="0" w:val="nil"/>
        </w:tcBorders>
        <w:shd w:fill="196b24" w:val="clear"/>
      </w:tcPr>
    </w:tblStylePr>
    <w:tblStylePr w:type="lastCol">
      <w:rPr>
        <w:b w:val="1"/>
        <w:bCs w:val="1"/>
      </w:rPr>
    </w:tblStylePr>
    <w:tblStylePr w:type="lastRow">
      <w:rPr>
        <w:b w:val="1"/>
        <w:bCs w:val="1"/>
      </w:rPr>
      <w:tcPr>
        <w:tcBorders>
          <w:top w:color="196b24"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