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E3209" w14:textId="77777777" w:rsidR="002D67E3" w:rsidRDefault="00000000">
      <w:r>
        <w:t xml:space="preserve">   </w:t>
      </w:r>
      <w:r>
        <w:rPr>
          <w:rFonts w:ascii="Calibri" w:eastAsia="Calibri" w:hAnsi="Calibri" w:cs="Calibri"/>
          <w:b/>
          <w:bCs/>
          <w:noProof/>
          <w:color w:val="000000"/>
        </w:rPr>
        <w:drawing>
          <wp:inline distT="0" distB="101600" distL="0" distR="0" wp14:anchorId="4EE843A2" wp14:editId="3F7773CB">
            <wp:extent cx="5430520" cy="172593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13" name="image1.png"/>
                    <pic:cNvPicPr preferRelativeResize="0"/>
                  </pic:nvPicPr>
                  <pic:blipFill>
                    <a:blip r:embed="rId7"/>
                    <a:srcRect/>
                    <a:stretch>
                      <a:fillRect/>
                    </a:stretch>
                  </pic:blipFill>
                  <pic:spPr>
                    <a:xfrm>
                      <a:off x="0" y="0"/>
                      <a:ext cx="5430520" cy="1725930"/>
                    </a:xfrm>
                    <a:prstGeom prst="rect">
                      <a:avLst/>
                    </a:prstGeom>
                  </pic:spPr>
                </pic:pic>
              </a:graphicData>
            </a:graphic>
          </wp:inline>
        </w:drawing>
      </w:r>
    </w:p>
    <w:p w14:paraId="28527935" w14:textId="77777777" w:rsidR="002D67E3" w:rsidRDefault="002D67E3">
      <w:pPr>
        <w:jc w:val="center"/>
        <w:rPr>
          <w:rFonts w:ascii="Times New Roman" w:eastAsia="Times New Roman" w:hAnsi="Times New Roman" w:cs="Times New Roman"/>
          <w:b/>
          <w:bCs/>
          <w:color w:val="000000"/>
          <w:sz w:val="28"/>
          <w:szCs w:val="28"/>
        </w:rPr>
      </w:pPr>
    </w:p>
    <w:p w14:paraId="7F00BC7E" w14:textId="77777777" w:rsidR="002D67E3" w:rsidRDefault="00000000">
      <w:pPr>
        <w:jc w:val="center"/>
      </w:pPr>
      <w:r>
        <w:rPr>
          <w:rFonts w:ascii="Times New Roman" w:eastAsia="Times New Roman" w:hAnsi="Times New Roman" w:cs="Times New Roman"/>
          <w:b/>
          <w:bCs/>
          <w:color w:val="000000"/>
          <w:sz w:val="28"/>
          <w:szCs w:val="28"/>
        </w:rPr>
        <w:t>Marketing Environmental Analysis for Pioneers and Followers: Tesla and BYD</w:t>
      </w:r>
    </w:p>
    <w:p w14:paraId="5A4C3099" w14:textId="77777777" w:rsidR="002D67E3" w:rsidRDefault="002D67E3">
      <w:pPr>
        <w:jc w:val="center"/>
        <w:rPr>
          <w:rFonts w:ascii="Times New Roman" w:eastAsia="Times New Roman" w:hAnsi="Times New Roman" w:cs="Times New Roman"/>
          <w:b/>
          <w:bCs/>
          <w:color w:val="000000"/>
          <w:sz w:val="28"/>
          <w:szCs w:val="28"/>
        </w:rPr>
      </w:pPr>
    </w:p>
    <w:p w14:paraId="37F13D1E" w14:textId="77777777" w:rsidR="002D67E3" w:rsidRDefault="00000000">
      <w:pPr>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r>
    </w:p>
    <w:p w14:paraId="3CC27214" w14:textId="77777777" w:rsidR="002D67E3" w:rsidRDefault="00000000">
      <w:pPr>
        <w:jc w:val="center"/>
        <w:rPr>
          <w:rFonts w:ascii="Times New Roman" w:eastAsia="Times New Roman" w:hAnsi="Times New Roman" w:cs="Times New Roman"/>
          <w:b/>
          <w:bCs/>
          <w:color w:val="000000"/>
          <w:sz w:val="28"/>
          <w:szCs w:val="28"/>
          <w:lang w:val="en-US"/>
        </w:rPr>
      </w:pPr>
      <w:r>
        <w:rPr>
          <w:rFonts w:ascii="Times New Roman" w:eastAsia="Times New Roman" w:hAnsi="Times New Roman" w:cs="Times New Roman"/>
          <w:b/>
          <w:bCs/>
          <w:color w:val="000000"/>
          <w:sz w:val="28"/>
          <w:szCs w:val="28"/>
          <w:lang w:val="en-US"/>
        </w:rPr>
        <w:t>Submitted</w:t>
      </w:r>
      <w:r>
        <w:rPr>
          <w:rFonts w:ascii="Times New Roman" w:eastAsia="Times New Roman" w:hAnsi="Times New Roman" w:cs="Times New Roman"/>
          <w:b/>
          <w:bCs/>
          <w:color w:val="000000"/>
          <w:sz w:val="28"/>
          <w:szCs w:val="28"/>
        </w:rPr>
        <w:t xml:space="preserve"> To:</w:t>
      </w:r>
      <w:r>
        <w:rPr>
          <w:rFonts w:ascii="Times New Roman" w:eastAsia="Times New Roman" w:hAnsi="Times New Roman" w:cs="Times New Roman"/>
          <w:b/>
          <w:bCs/>
          <w:color w:val="000000"/>
          <w:sz w:val="28"/>
          <w:szCs w:val="28"/>
          <w:lang w:val="en-US"/>
        </w:rPr>
        <w:t xml:space="preserve"> Dr. Tola </w:t>
      </w:r>
      <w:proofErr w:type="spellStart"/>
      <w:r>
        <w:rPr>
          <w:rFonts w:ascii="Times New Roman" w:eastAsia="Times New Roman" w:hAnsi="Times New Roman" w:cs="Times New Roman"/>
          <w:b/>
          <w:bCs/>
          <w:color w:val="000000"/>
          <w:sz w:val="28"/>
          <w:szCs w:val="28"/>
          <w:lang w:val="en-US"/>
        </w:rPr>
        <w:t>Odugbesan</w:t>
      </w:r>
      <w:proofErr w:type="spellEnd"/>
    </w:p>
    <w:p w14:paraId="0A9F3C5D" w14:textId="77777777" w:rsidR="002D67E3" w:rsidRDefault="00000000">
      <w:pPr>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Presented By: Arpit Verma</w:t>
      </w:r>
      <w:r>
        <w:rPr>
          <w:rFonts w:ascii="Times New Roman" w:eastAsia="Times New Roman" w:hAnsi="Times New Roman" w:cs="Times New Roman"/>
          <w:b/>
          <w:bCs/>
          <w:color w:val="000000"/>
          <w:sz w:val="28"/>
          <w:szCs w:val="28"/>
        </w:rPr>
        <w:br/>
        <w:t>Student ID:    2532968</w:t>
      </w:r>
    </w:p>
    <w:p w14:paraId="19DB801F" w14:textId="77777777" w:rsidR="002D67E3" w:rsidRDefault="002D67E3">
      <w:pPr>
        <w:jc w:val="center"/>
        <w:rPr>
          <w:rFonts w:ascii="Times New Roman" w:eastAsia="Times New Roman" w:hAnsi="Times New Roman" w:cs="Times New Roman"/>
          <w:b/>
          <w:bCs/>
          <w:color w:val="000000"/>
          <w:sz w:val="28"/>
          <w:szCs w:val="28"/>
        </w:rPr>
      </w:pPr>
    </w:p>
    <w:p w14:paraId="14CEF1EB" w14:textId="77777777" w:rsidR="002D67E3" w:rsidRDefault="002D67E3">
      <w:pPr>
        <w:jc w:val="center"/>
        <w:rPr>
          <w:rFonts w:ascii="Times New Roman" w:eastAsia="Times New Roman" w:hAnsi="Times New Roman" w:cs="Times New Roman"/>
          <w:b/>
          <w:bCs/>
          <w:color w:val="000000"/>
          <w:sz w:val="28"/>
          <w:szCs w:val="28"/>
        </w:rPr>
      </w:pPr>
    </w:p>
    <w:p w14:paraId="622370E0" w14:textId="77777777" w:rsidR="002D67E3" w:rsidRDefault="002D67E3">
      <w:pPr>
        <w:jc w:val="center"/>
        <w:rPr>
          <w:rFonts w:ascii="Times New Roman" w:eastAsia="Times New Roman" w:hAnsi="Times New Roman" w:cs="Times New Roman"/>
          <w:b/>
          <w:bCs/>
          <w:color w:val="000000"/>
          <w:sz w:val="28"/>
          <w:szCs w:val="28"/>
        </w:rPr>
      </w:pPr>
    </w:p>
    <w:p w14:paraId="04AE3D89" w14:textId="77777777" w:rsidR="002D67E3" w:rsidRDefault="002D67E3">
      <w:pPr>
        <w:rPr>
          <w:rFonts w:ascii="Times New Roman" w:eastAsia="Times New Roman" w:hAnsi="Times New Roman" w:cs="Times New Roman"/>
          <w:b/>
          <w:bCs/>
          <w:color w:val="000000"/>
          <w:sz w:val="28"/>
          <w:szCs w:val="28"/>
        </w:rPr>
      </w:pPr>
    </w:p>
    <w:p w14:paraId="2B7B636C" w14:textId="77777777" w:rsidR="002D67E3" w:rsidRDefault="002D67E3">
      <w:pPr>
        <w:rPr>
          <w:rFonts w:ascii="Times New Roman" w:eastAsia="Times New Roman" w:hAnsi="Times New Roman" w:cs="Times New Roman"/>
          <w:b/>
          <w:bCs/>
          <w:color w:val="000000"/>
          <w:sz w:val="28"/>
          <w:szCs w:val="28"/>
        </w:rPr>
      </w:pPr>
    </w:p>
    <w:p w14:paraId="37A1F7FB" w14:textId="77777777" w:rsidR="002D67E3" w:rsidRDefault="002D67E3">
      <w:pPr>
        <w:rPr>
          <w:rFonts w:ascii="Times New Roman" w:eastAsia="Times New Roman" w:hAnsi="Times New Roman" w:cs="Times New Roman"/>
          <w:b/>
          <w:bCs/>
          <w:color w:val="000000"/>
          <w:sz w:val="28"/>
          <w:szCs w:val="28"/>
        </w:rPr>
      </w:pPr>
    </w:p>
    <w:p w14:paraId="5BB3388A" w14:textId="77777777" w:rsidR="002D67E3" w:rsidRDefault="002D67E3">
      <w:pPr>
        <w:rPr>
          <w:rFonts w:ascii="Times New Roman" w:eastAsia="Times New Roman" w:hAnsi="Times New Roman" w:cs="Times New Roman"/>
          <w:b/>
          <w:bCs/>
          <w:color w:val="000000"/>
          <w:sz w:val="28"/>
          <w:szCs w:val="28"/>
        </w:rPr>
      </w:pPr>
    </w:p>
    <w:p w14:paraId="058CF69B" w14:textId="77777777" w:rsidR="002D67E3" w:rsidRDefault="002D67E3">
      <w:pPr>
        <w:rPr>
          <w:rFonts w:ascii="Times New Roman" w:eastAsia="Times New Roman" w:hAnsi="Times New Roman" w:cs="Times New Roman"/>
          <w:b/>
          <w:bCs/>
          <w:color w:val="000000"/>
          <w:sz w:val="28"/>
          <w:szCs w:val="28"/>
        </w:rPr>
      </w:pPr>
    </w:p>
    <w:p w14:paraId="0BDD3E13" w14:textId="77777777" w:rsidR="002D67E3" w:rsidRDefault="002D67E3">
      <w:pPr>
        <w:rPr>
          <w:rFonts w:ascii="Times New Roman" w:eastAsia="Times New Roman" w:hAnsi="Times New Roman" w:cs="Times New Roman"/>
          <w:b/>
          <w:bCs/>
          <w:color w:val="000000"/>
          <w:sz w:val="28"/>
          <w:szCs w:val="28"/>
        </w:rPr>
      </w:pPr>
    </w:p>
    <w:p w14:paraId="41A3275C" w14:textId="77777777" w:rsidR="002D67E3" w:rsidRDefault="002D67E3">
      <w:pPr>
        <w:rPr>
          <w:rFonts w:ascii="Times New Roman" w:eastAsia="Times New Roman" w:hAnsi="Times New Roman" w:cs="Times New Roman"/>
          <w:b/>
          <w:bCs/>
          <w:color w:val="000000"/>
          <w:sz w:val="28"/>
          <w:szCs w:val="28"/>
        </w:rPr>
      </w:pPr>
    </w:p>
    <w:p w14:paraId="2B29C0B3" w14:textId="77777777" w:rsidR="002D67E3"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Word Count: 2</w:t>
      </w:r>
      <w:r>
        <w:rPr>
          <w:rFonts w:ascii="Times New Roman" w:eastAsia="Times New Roman" w:hAnsi="Times New Roman" w:cs="Times New Roman"/>
          <w:b/>
          <w:bCs/>
          <w:color w:val="000000"/>
          <w:sz w:val="28"/>
          <w:szCs w:val="28"/>
          <w:lang w:val="en-US"/>
        </w:rPr>
        <w:t>4</w:t>
      </w:r>
      <w:r>
        <w:rPr>
          <w:rFonts w:ascii="Times New Roman" w:eastAsia="Times New Roman" w:hAnsi="Times New Roman" w:cs="Times New Roman"/>
          <w:b/>
          <w:bCs/>
          <w:color w:val="000000"/>
          <w:sz w:val="28"/>
          <w:szCs w:val="28"/>
        </w:rPr>
        <w:t>00</w:t>
      </w:r>
    </w:p>
    <w:p w14:paraId="7BD2696B" w14:textId="77777777" w:rsidR="002D67E3" w:rsidRDefault="00000000">
      <w:pPr>
        <w:rPr>
          <w:b/>
          <w:bCs/>
          <w:sz w:val="32"/>
          <w:szCs w:val="32"/>
        </w:rPr>
      </w:pPr>
      <w:r>
        <w:rPr>
          <w:b/>
          <w:bCs/>
          <w:sz w:val="32"/>
          <w:szCs w:val="32"/>
        </w:rPr>
        <w:t xml:space="preserve">                                                 </w:t>
      </w:r>
    </w:p>
    <w:p w14:paraId="52231845" w14:textId="77777777" w:rsidR="002D67E3" w:rsidRDefault="00000000">
      <w:pPr>
        <w:rPr>
          <w:b/>
          <w:bCs/>
          <w:sz w:val="32"/>
          <w:szCs w:val="32"/>
        </w:rPr>
      </w:pPr>
      <w:r>
        <w:rPr>
          <w:b/>
          <w:bCs/>
          <w:sz w:val="32"/>
          <w:szCs w:val="32"/>
        </w:rPr>
        <w:t xml:space="preserve">                                                   </w:t>
      </w:r>
    </w:p>
    <w:p w14:paraId="2766E636" w14:textId="77777777" w:rsidR="002D67E3" w:rsidRDefault="002D67E3">
      <w:pPr>
        <w:jc w:val="center"/>
        <w:rPr>
          <w:rFonts w:ascii="Times New Roman" w:eastAsia="Times New Roman" w:hAnsi="Times New Roman" w:cs="Times New Roman"/>
          <w:b/>
          <w:bCs/>
          <w:color w:val="000000"/>
          <w:sz w:val="28"/>
          <w:szCs w:val="28"/>
          <w:lang w:val="en-US"/>
        </w:rPr>
      </w:pPr>
    </w:p>
    <w:p w14:paraId="319A629C" w14:textId="77777777" w:rsidR="002D67E3" w:rsidRDefault="00000000">
      <w:pPr>
        <w:jc w:val="center"/>
        <w:rPr>
          <w:rFonts w:ascii="Times New Roman" w:eastAsia="Times New Roman" w:hAnsi="Times New Roman" w:cs="Times New Roman"/>
          <w:b/>
          <w:bCs/>
          <w:color w:val="000000"/>
          <w:sz w:val="28"/>
          <w:szCs w:val="28"/>
          <w:lang w:val="en-US"/>
        </w:rPr>
      </w:pPr>
      <w:r>
        <w:rPr>
          <w:rFonts w:ascii="Times New Roman" w:eastAsia="Times New Roman" w:hAnsi="Times New Roman" w:cs="Times New Roman"/>
          <w:b/>
          <w:bCs/>
          <w:color w:val="000000"/>
          <w:sz w:val="28"/>
          <w:szCs w:val="28"/>
          <w:lang w:val="en-US"/>
        </w:rPr>
        <w:t>Table of Contents</w:t>
      </w:r>
    </w:p>
    <w:tbl>
      <w:tblPr>
        <w:tblStyle w:val="TableGrid"/>
        <w:tblW w:w="0" w:type="auto"/>
        <w:tblLook w:val="04A0" w:firstRow="1" w:lastRow="0" w:firstColumn="1" w:lastColumn="0" w:noHBand="0" w:noVBand="1"/>
      </w:tblPr>
      <w:tblGrid>
        <w:gridCol w:w="930"/>
        <w:gridCol w:w="7960"/>
      </w:tblGrid>
      <w:tr w:rsidR="002D67E3" w14:paraId="156F82D3" w14:textId="77777777">
        <w:trPr>
          <w:trHeight w:val="383"/>
        </w:trPr>
        <w:tc>
          <w:tcPr>
            <w:tcW w:w="930" w:type="dxa"/>
          </w:tcPr>
          <w:p w14:paraId="0AC5CEF8" w14:textId="77777777" w:rsidR="002D67E3" w:rsidRDefault="00000000">
            <w:pPr>
              <w:spacing w:after="0" w:line="240" w:lineRule="auto"/>
              <w:rPr>
                <w:b/>
                <w:bCs/>
                <w:sz w:val="24"/>
                <w:szCs w:val="24"/>
              </w:rPr>
            </w:pPr>
            <w:r>
              <w:rPr>
                <w:b/>
                <w:bCs/>
                <w:sz w:val="24"/>
                <w:szCs w:val="24"/>
              </w:rPr>
              <w:t>S.no</w:t>
            </w:r>
          </w:p>
        </w:tc>
        <w:tc>
          <w:tcPr>
            <w:tcW w:w="7960" w:type="dxa"/>
          </w:tcPr>
          <w:p w14:paraId="61A1C0D4" w14:textId="77777777" w:rsidR="002D67E3" w:rsidRDefault="00000000">
            <w:pPr>
              <w:spacing w:after="0" w:line="240" w:lineRule="auto"/>
              <w:rPr>
                <w:b/>
                <w:bCs/>
                <w:sz w:val="24"/>
                <w:szCs w:val="24"/>
              </w:rPr>
            </w:pPr>
            <w:r>
              <w:rPr>
                <w:b/>
                <w:bCs/>
                <w:sz w:val="24"/>
                <w:szCs w:val="24"/>
              </w:rPr>
              <w:t xml:space="preserve">                                                   Contents </w:t>
            </w:r>
          </w:p>
        </w:tc>
      </w:tr>
      <w:tr w:rsidR="002D67E3" w14:paraId="650C8F47" w14:textId="77777777">
        <w:trPr>
          <w:trHeight w:val="396"/>
        </w:trPr>
        <w:tc>
          <w:tcPr>
            <w:tcW w:w="930" w:type="dxa"/>
          </w:tcPr>
          <w:p w14:paraId="71FA8B27" w14:textId="77777777" w:rsidR="002D67E3" w:rsidRDefault="00000000">
            <w:pPr>
              <w:spacing w:after="0" w:line="240" w:lineRule="auto"/>
              <w:rPr>
                <w:b/>
                <w:bCs/>
                <w:sz w:val="24"/>
                <w:szCs w:val="24"/>
              </w:rPr>
            </w:pPr>
            <w:r>
              <w:rPr>
                <w:b/>
                <w:bCs/>
                <w:sz w:val="24"/>
                <w:szCs w:val="24"/>
              </w:rPr>
              <w:t>1</w:t>
            </w:r>
          </w:p>
        </w:tc>
        <w:tc>
          <w:tcPr>
            <w:tcW w:w="7960" w:type="dxa"/>
          </w:tcPr>
          <w:p w14:paraId="33B94158" w14:textId="77777777" w:rsidR="002D67E3" w:rsidRDefault="00000000">
            <w:pPr>
              <w:spacing w:after="0" w:line="240" w:lineRule="auto"/>
              <w:rPr>
                <w:b/>
                <w:bCs/>
                <w:sz w:val="24"/>
                <w:szCs w:val="24"/>
              </w:rPr>
            </w:pPr>
            <w:r>
              <w:rPr>
                <w:b/>
                <w:bCs/>
                <w:sz w:val="24"/>
                <w:szCs w:val="24"/>
              </w:rPr>
              <w:t>Executive Summary</w:t>
            </w:r>
          </w:p>
        </w:tc>
      </w:tr>
      <w:tr w:rsidR="002D67E3" w14:paraId="56C0D5F9" w14:textId="77777777">
        <w:trPr>
          <w:trHeight w:val="383"/>
        </w:trPr>
        <w:tc>
          <w:tcPr>
            <w:tcW w:w="930" w:type="dxa"/>
          </w:tcPr>
          <w:p w14:paraId="2DE18D7B" w14:textId="77777777" w:rsidR="002D67E3" w:rsidRDefault="00000000">
            <w:pPr>
              <w:spacing w:after="0" w:line="240" w:lineRule="auto"/>
              <w:rPr>
                <w:b/>
                <w:bCs/>
                <w:sz w:val="24"/>
                <w:szCs w:val="24"/>
              </w:rPr>
            </w:pPr>
            <w:r>
              <w:rPr>
                <w:b/>
                <w:bCs/>
                <w:sz w:val="24"/>
                <w:szCs w:val="24"/>
              </w:rPr>
              <w:t>2</w:t>
            </w:r>
          </w:p>
        </w:tc>
        <w:tc>
          <w:tcPr>
            <w:tcW w:w="7960" w:type="dxa"/>
          </w:tcPr>
          <w:p w14:paraId="40FD76BC" w14:textId="77777777" w:rsidR="002D67E3" w:rsidRDefault="00000000">
            <w:pPr>
              <w:spacing w:after="0" w:line="240" w:lineRule="auto"/>
              <w:rPr>
                <w:b/>
                <w:bCs/>
                <w:sz w:val="24"/>
                <w:szCs w:val="24"/>
              </w:rPr>
            </w:pPr>
            <w:r>
              <w:rPr>
                <w:b/>
                <w:bCs/>
                <w:sz w:val="24"/>
                <w:szCs w:val="24"/>
              </w:rPr>
              <w:t>Introduction</w:t>
            </w:r>
          </w:p>
        </w:tc>
      </w:tr>
      <w:tr w:rsidR="002D67E3" w14:paraId="77AED1F5" w14:textId="77777777">
        <w:trPr>
          <w:trHeight w:val="780"/>
        </w:trPr>
        <w:tc>
          <w:tcPr>
            <w:tcW w:w="930" w:type="dxa"/>
          </w:tcPr>
          <w:p w14:paraId="3EDD9CD4" w14:textId="77777777" w:rsidR="002D67E3" w:rsidRDefault="00000000">
            <w:pPr>
              <w:spacing w:after="0" w:line="240" w:lineRule="auto"/>
              <w:rPr>
                <w:b/>
                <w:bCs/>
                <w:sz w:val="24"/>
                <w:szCs w:val="24"/>
              </w:rPr>
            </w:pPr>
            <w:r>
              <w:rPr>
                <w:b/>
                <w:bCs/>
                <w:sz w:val="24"/>
                <w:szCs w:val="24"/>
              </w:rPr>
              <w:t>3</w:t>
            </w:r>
          </w:p>
        </w:tc>
        <w:tc>
          <w:tcPr>
            <w:tcW w:w="7960" w:type="dxa"/>
          </w:tcPr>
          <w:p w14:paraId="56D65605" w14:textId="77777777" w:rsidR="002D67E3" w:rsidRDefault="00000000">
            <w:pPr>
              <w:spacing w:after="0" w:line="240" w:lineRule="auto"/>
              <w:rPr>
                <w:b/>
                <w:bCs/>
                <w:sz w:val="24"/>
                <w:szCs w:val="24"/>
              </w:rPr>
            </w:pPr>
            <w:r>
              <w:rPr>
                <w:rFonts w:ascii="Arial" w:hAnsi="Arial" w:cs="Arial"/>
                <w:b/>
                <w:bCs/>
                <w:sz w:val="24"/>
                <w:szCs w:val="24"/>
              </w:rPr>
              <w:t>Industry Context - Electric Vehicle Market</w:t>
            </w:r>
          </w:p>
        </w:tc>
      </w:tr>
      <w:tr w:rsidR="002D67E3" w14:paraId="5505BF0D" w14:textId="77777777">
        <w:trPr>
          <w:trHeight w:val="1588"/>
        </w:trPr>
        <w:tc>
          <w:tcPr>
            <w:tcW w:w="930" w:type="dxa"/>
          </w:tcPr>
          <w:p w14:paraId="08B9A389" w14:textId="77777777" w:rsidR="002D67E3" w:rsidRDefault="00000000">
            <w:pPr>
              <w:spacing w:after="0" w:line="240" w:lineRule="auto"/>
              <w:rPr>
                <w:b/>
                <w:bCs/>
                <w:sz w:val="24"/>
                <w:szCs w:val="24"/>
              </w:rPr>
            </w:pPr>
            <w:r>
              <w:rPr>
                <w:b/>
                <w:bCs/>
                <w:sz w:val="24"/>
                <w:szCs w:val="24"/>
              </w:rPr>
              <w:t>4</w:t>
            </w:r>
          </w:p>
        </w:tc>
        <w:tc>
          <w:tcPr>
            <w:tcW w:w="7960" w:type="dxa"/>
          </w:tcPr>
          <w:p w14:paraId="54C3783D" w14:textId="77777777" w:rsidR="002D67E3" w:rsidRDefault="00000000">
            <w:pPr>
              <w:spacing w:after="0" w:line="240" w:lineRule="auto"/>
              <w:rPr>
                <w:b/>
                <w:bCs/>
                <w:sz w:val="24"/>
                <w:szCs w:val="24"/>
              </w:rPr>
            </w:pPr>
            <w:r>
              <w:rPr>
                <w:b/>
                <w:bCs/>
                <w:sz w:val="24"/>
                <w:szCs w:val="24"/>
              </w:rPr>
              <w:t>Macro-Environmental Analysis (PESTLE focus)</w:t>
            </w:r>
          </w:p>
          <w:p w14:paraId="69E8A236" w14:textId="77777777" w:rsidR="002D67E3" w:rsidRDefault="00000000">
            <w:pPr>
              <w:pStyle w:val="ListParagraph"/>
              <w:numPr>
                <w:ilvl w:val="0"/>
                <w:numId w:val="1"/>
              </w:numPr>
              <w:spacing w:after="0" w:line="240" w:lineRule="auto"/>
              <w:rPr>
                <w:b/>
                <w:bCs/>
                <w:sz w:val="24"/>
                <w:szCs w:val="24"/>
              </w:rPr>
            </w:pPr>
            <w:r>
              <w:rPr>
                <w:b/>
                <w:bCs/>
                <w:sz w:val="24"/>
                <w:szCs w:val="24"/>
              </w:rPr>
              <w:t>Technological innovation</w:t>
            </w:r>
          </w:p>
          <w:p w14:paraId="1CA3DA98" w14:textId="77777777" w:rsidR="002D67E3" w:rsidRDefault="00000000">
            <w:pPr>
              <w:pStyle w:val="ListParagraph"/>
              <w:numPr>
                <w:ilvl w:val="0"/>
                <w:numId w:val="1"/>
              </w:numPr>
              <w:spacing w:after="0" w:line="240" w:lineRule="auto"/>
              <w:rPr>
                <w:b/>
                <w:bCs/>
                <w:sz w:val="24"/>
                <w:szCs w:val="24"/>
              </w:rPr>
            </w:pPr>
            <w:r>
              <w:rPr>
                <w:b/>
                <w:bCs/>
                <w:sz w:val="24"/>
                <w:szCs w:val="24"/>
              </w:rPr>
              <w:t xml:space="preserve">Government environmental regulation           </w:t>
            </w:r>
          </w:p>
        </w:tc>
      </w:tr>
      <w:tr w:rsidR="002D67E3" w14:paraId="44F36CC1" w14:textId="77777777">
        <w:trPr>
          <w:trHeight w:val="383"/>
        </w:trPr>
        <w:tc>
          <w:tcPr>
            <w:tcW w:w="930" w:type="dxa"/>
          </w:tcPr>
          <w:p w14:paraId="587F3AA6" w14:textId="77777777" w:rsidR="002D67E3" w:rsidRDefault="00000000">
            <w:pPr>
              <w:spacing w:after="0" w:line="240" w:lineRule="auto"/>
              <w:rPr>
                <w:b/>
                <w:bCs/>
                <w:sz w:val="24"/>
                <w:szCs w:val="24"/>
              </w:rPr>
            </w:pPr>
            <w:r>
              <w:rPr>
                <w:b/>
                <w:bCs/>
                <w:sz w:val="24"/>
                <w:szCs w:val="24"/>
              </w:rPr>
              <w:t>5</w:t>
            </w:r>
          </w:p>
        </w:tc>
        <w:tc>
          <w:tcPr>
            <w:tcW w:w="7960" w:type="dxa"/>
          </w:tcPr>
          <w:p w14:paraId="23F9E5D9" w14:textId="77777777" w:rsidR="002D67E3" w:rsidRDefault="00000000">
            <w:pPr>
              <w:spacing w:after="0" w:line="240" w:lineRule="auto"/>
              <w:rPr>
                <w:b/>
                <w:bCs/>
                <w:sz w:val="24"/>
                <w:szCs w:val="24"/>
              </w:rPr>
            </w:pPr>
            <w:r>
              <w:rPr>
                <w:b/>
                <w:bCs/>
                <w:sz w:val="24"/>
                <w:szCs w:val="24"/>
              </w:rPr>
              <w:t>Opportunities and Threats</w:t>
            </w:r>
          </w:p>
        </w:tc>
      </w:tr>
      <w:tr w:rsidR="002D67E3" w14:paraId="71076B78" w14:textId="77777777">
        <w:trPr>
          <w:trHeight w:val="383"/>
        </w:trPr>
        <w:tc>
          <w:tcPr>
            <w:tcW w:w="930" w:type="dxa"/>
          </w:tcPr>
          <w:p w14:paraId="49A0076C" w14:textId="77777777" w:rsidR="002D67E3" w:rsidRDefault="00000000">
            <w:pPr>
              <w:spacing w:after="0" w:line="240" w:lineRule="auto"/>
              <w:rPr>
                <w:b/>
                <w:bCs/>
                <w:sz w:val="24"/>
                <w:szCs w:val="24"/>
              </w:rPr>
            </w:pPr>
            <w:r>
              <w:rPr>
                <w:b/>
                <w:bCs/>
                <w:sz w:val="24"/>
                <w:szCs w:val="24"/>
              </w:rPr>
              <w:t>6</w:t>
            </w:r>
          </w:p>
        </w:tc>
        <w:tc>
          <w:tcPr>
            <w:tcW w:w="7960" w:type="dxa"/>
          </w:tcPr>
          <w:p w14:paraId="1B4995E0" w14:textId="77777777" w:rsidR="002D67E3" w:rsidRDefault="00000000">
            <w:pPr>
              <w:spacing w:after="0" w:line="240" w:lineRule="auto"/>
              <w:rPr>
                <w:b/>
                <w:bCs/>
                <w:sz w:val="24"/>
                <w:szCs w:val="24"/>
              </w:rPr>
            </w:pPr>
            <w:r>
              <w:rPr>
                <w:b/>
                <w:bCs/>
                <w:sz w:val="24"/>
                <w:szCs w:val="24"/>
              </w:rPr>
              <w:t>Strategic Responses: Porter and Ansoff Applied</w:t>
            </w:r>
          </w:p>
        </w:tc>
      </w:tr>
      <w:tr w:rsidR="002D67E3" w14:paraId="74F0E7EF" w14:textId="77777777">
        <w:trPr>
          <w:trHeight w:val="383"/>
        </w:trPr>
        <w:tc>
          <w:tcPr>
            <w:tcW w:w="930" w:type="dxa"/>
          </w:tcPr>
          <w:p w14:paraId="44B2C42B" w14:textId="77777777" w:rsidR="002D67E3" w:rsidRDefault="00000000">
            <w:pPr>
              <w:spacing w:after="0" w:line="240" w:lineRule="auto"/>
              <w:rPr>
                <w:b/>
                <w:bCs/>
                <w:sz w:val="24"/>
                <w:szCs w:val="24"/>
              </w:rPr>
            </w:pPr>
            <w:r>
              <w:rPr>
                <w:b/>
                <w:bCs/>
                <w:sz w:val="24"/>
                <w:szCs w:val="24"/>
              </w:rPr>
              <w:t>7</w:t>
            </w:r>
          </w:p>
        </w:tc>
        <w:tc>
          <w:tcPr>
            <w:tcW w:w="7960" w:type="dxa"/>
          </w:tcPr>
          <w:p w14:paraId="191C7CEA" w14:textId="2A920C76" w:rsidR="00453B71" w:rsidRPr="00453B71" w:rsidRDefault="00000000" w:rsidP="00453B71">
            <w:pPr>
              <w:spacing w:after="0" w:line="240" w:lineRule="auto"/>
              <w:rPr>
                <w:b/>
                <w:bCs/>
                <w:sz w:val="24"/>
                <w:szCs w:val="24"/>
              </w:rPr>
            </w:pPr>
            <w:r>
              <w:rPr>
                <w:b/>
                <w:bCs/>
                <w:sz w:val="24"/>
                <w:szCs w:val="24"/>
              </w:rPr>
              <w:t>Detailed Strategic Analysis and Financial Implications</w:t>
            </w:r>
          </w:p>
        </w:tc>
      </w:tr>
      <w:tr w:rsidR="002D67E3" w14:paraId="0D756912" w14:textId="77777777">
        <w:trPr>
          <w:trHeight w:val="396"/>
        </w:trPr>
        <w:tc>
          <w:tcPr>
            <w:tcW w:w="930" w:type="dxa"/>
          </w:tcPr>
          <w:p w14:paraId="2C1A54B1" w14:textId="17AF2D1B" w:rsidR="002D67E3" w:rsidRDefault="00453B71">
            <w:pPr>
              <w:spacing w:after="0" w:line="240" w:lineRule="auto"/>
              <w:rPr>
                <w:b/>
                <w:bCs/>
                <w:sz w:val="24"/>
                <w:szCs w:val="24"/>
              </w:rPr>
            </w:pPr>
            <w:r>
              <w:rPr>
                <w:b/>
                <w:bCs/>
                <w:sz w:val="24"/>
                <w:szCs w:val="24"/>
              </w:rPr>
              <w:t>8</w:t>
            </w:r>
          </w:p>
        </w:tc>
        <w:tc>
          <w:tcPr>
            <w:tcW w:w="7960" w:type="dxa"/>
          </w:tcPr>
          <w:p w14:paraId="092FE51E" w14:textId="77777777" w:rsidR="002D67E3" w:rsidRDefault="00000000">
            <w:pPr>
              <w:spacing w:after="0" w:line="240" w:lineRule="auto"/>
              <w:rPr>
                <w:b/>
                <w:bCs/>
                <w:sz w:val="24"/>
                <w:szCs w:val="24"/>
                <w:lang w:val="en-US"/>
              </w:rPr>
            </w:pPr>
            <w:r>
              <w:rPr>
                <w:b/>
                <w:bCs/>
                <w:sz w:val="24"/>
                <w:szCs w:val="24"/>
                <w:lang w:val="en-US"/>
              </w:rPr>
              <w:t>Conclusion</w:t>
            </w:r>
          </w:p>
        </w:tc>
      </w:tr>
      <w:tr w:rsidR="002D67E3" w14:paraId="31E2FBF6" w14:textId="77777777">
        <w:trPr>
          <w:trHeight w:val="383"/>
        </w:trPr>
        <w:tc>
          <w:tcPr>
            <w:tcW w:w="930" w:type="dxa"/>
          </w:tcPr>
          <w:p w14:paraId="6C4CA1B7" w14:textId="2F594202" w:rsidR="002D67E3" w:rsidRDefault="00453B71">
            <w:pPr>
              <w:spacing w:after="0" w:line="240" w:lineRule="auto"/>
              <w:rPr>
                <w:b/>
                <w:bCs/>
                <w:sz w:val="24"/>
                <w:szCs w:val="24"/>
              </w:rPr>
            </w:pPr>
            <w:r>
              <w:rPr>
                <w:b/>
                <w:bCs/>
                <w:sz w:val="24"/>
                <w:szCs w:val="24"/>
              </w:rPr>
              <w:t>9</w:t>
            </w:r>
          </w:p>
        </w:tc>
        <w:tc>
          <w:tcPr>
            <w:tcW w:w="7960" w:type="dxa"/>
          </w:tcPr>
          <w:p w14:paraId="52E4E2F0" w14:textId="77777777" w:rsidR="002D67E3" w:rsidRDefault="00000000">
            <w:pPr>
              <w:spacing w:after="0" w:line="240" w:lineRule="auto"/>
              <w:rPr>
                <w:b/>
                <w:bCs/>
                <w:sz w:val="24"/>
                <w:szCs w:val="24"/>
              </w:rPr>
            </w:pPr>
            <w:r>
              <w:rPr>
                <w:b/>
                <w:bCs/>
                <w:sz w:val="24"/>
                <w:szCs w:val="24"/>
              </w:rPr>
              <w:t>References</w:t>
            </w:r>
          </w:p>
        </w:tc>
      </w:tr>
    </w:tbl>
    <w:p w14:paraId="6BE8DFFC" w14:textId="77777777" w:rsidR="002D67E3" w:rsidRDefault="002D67E3">
      <w:pPr>
        <w:rPr>
          <w:b/>
          <w:bCs/>
          <w:sz w:val="24"/>
          <w:szCs w:val="24"/>
        </w:rPr>
      </w:pPr>
    </w:p>
    <w:p w14:paraId="5FE5BBA8" w14:textId="77777777" w:rsidR="002D67E3" w:rsidRDefault="002D67E3">
      <w:pPr>
        <w:rPr>
          <w:b/>
          <w:bCs/>
          <w:sz w:val="24"/>
          <w:szCs w:val="24"/>
        </w:rPr>
      </w:pPr>
    </w:p>
    <w:p w14:paraId="0B5D18A4" w14:textId="77777777" w:rsidR="002D67E3" w:rsidRDefault="002D67E3">
      <w:pPr>
        <w:rPr>
          <w:b/>
          <w:bCs/>
          <w:sz w:val="24"/>
          <w:szCs w:val="24"/>
        </w:rPr>
      </w:pPr>
    </w:p>
    <w:p w14:paraId="0D8701AE" w14:textId="77777777" w:rsidR="002D67E3" w:rsidRDefault="002D67E3">
      <w:pPr>
        <w:rPr>
          <w:b/>
          <w:bCs/>
          <w:sz w:val="24"/>
          <w:szCs w:val="24"/>
        </w:rPr>
      </w:pPr>
    </w:p>
    <w:p w14:paraId="0F58293C" w14:textId="77777777" w:rsidR="002D67E3" w:rsidRDefault="002D67E3">
      <w:pPr>
        <w:rPr>
          <w:b/>
          <w:bCs/>
          <w:sz w:val="24"/>
          <w:szCs w:val="24"/>
        </w:rPr>
      </w:pPr>
    </w:p>
    <w:p w14:paraId="44329F0A" w14:textId="77777777" w:rsidR="002D67E3" w:rsidRDefault="002D67E3">
      <w:pPr>
        <w:rPr>
          <w:b/>
          <w:bCs/>
          <w:sz w:val="24"/>
          <w:szCs w:val="24"/>
        </w:rPr>
      </w:pPr>
    </w:p>
    <w:p w14:paraId="650C1DF8" w14:textId="77777777" w:rsidR="002D67E3" w:rsidRDefault="002D67E3">
      <w:pPr>
        <w:rPr>
          <w:b/>
          <w:bCs/>
          <w:sz w:val="24"/>
          <w:szCs w:val="24"/>
        </w:rPr>
      </w:pPr>
    </w:p>
    <w:p w14:paraId="1CE69D0B" w14:textId="77777777" w:rsidR="002D67E3" w:rsidRDefault="002D67E3">
      <w:pPr>
        <w:rPr>
          <w:b/>
          <w:bCs/>
          <w:sz w:val="24"/>
          <w:szCs w:val="24"/>
        </w:rPr>
      </w:pPr>
    </w:p>
    <w:p w14:paraId="562382B1" w14:textId="77777777" w:rsidR="002D67E3" w:rsidRDefault="002D67E3">
      <w:pPr>
        <w:rPr>
          <w:b/>
          <w:bCs/>
          <w:sz w:val="24"/>
          <w:szCs w:val="24"/>
        </w:rPr>
      </w:pPr>
    </w:p>
    <w:p w14:paraId="2B599605" w14:textId="77777777" w:rsidR="002D67E3" w:rsidRDefault="002D67E3">
      <w:pPr>
        <w:rPr>
          <w:b/>
          <w:bCs/>
          <w:sz w:val="24"/>
          <w:szCs w:val="24"/>
        </w:rPr>
      </w:pPr>
    </w:p>
    <w:p w14:paraId="26DD0FDD" w14:textId="77777777" w:rsidR="002D67E3" w:rsidRDefault="002D67E3">
      <w:pPr>
        <w:rPr>
          <w:b/>
          <w:bCs/>
          <w:sz w:val="24"/>
          <w:szCs w:val="24"/>
        </w:rPr>
      </w:pPr>
    </w:p>
    <w:p w14:paraId="09B66728" w14:textId="77777777" w:rsidR="002D67E3" w:rsidRDefault="002D67E3">
      <w:pPr>
        <w:rPr>
          <w:b/>
          <w:bCs/>
          <w:sz w:val="24"/>
          <w:szCs w:val="24"/>
        </w:rPr>
      </w:pPr>
    </w:p>
    <w:p w14:paraId="35A02327" w14:textId="77777777" w:rsidR="002D67E3" w:rsidRDefault="002D67E3">
      <w:pPr>
        <w:rPr>
          <w:b/>
          <w:bCs/>
          <w:sz w:val="24"/>
          <w:szCs w:val="24"/>
        </w:rPr>
      </w:pPr>
    </w:p>
    <w:p w14:paraId="5B715CCB" w14:textId="77777777" w:rsidR="002D67E3" w:rsidRDefault="002D67E3">
      <w:pPr>
        <w:spacing w:line="360" w:lineRule="auto"/>
        <w:jc w:val="both"/>
        <w:rPr>
          <w:rFonts w:ascii="Arial" w:hAnsi="Arial" w:cs="Arial"/>
          <w:b/>
          <w:bCs/>
          <w:sz w:val="24"/>
          <w:szCs w:val="24"/>
        </w:rPr>
      </w:pPr>
    </w:p>
    <w:p w14:paraId="3002706B" w14:textId="77777777" w:rsidR="00453B71" w:rsidRDefault="00453B71">
      <w:pPr>
        <w:spacing w:line="360" w:lineRule="auto"/>
        <w:jc w:val="both"/>
        <w:rPr>
          <w:rFonts w:ascii="Arial" w:hAnsi="Arial" w:cs="Arial"/>
          <w:b/>
          <w:bCs/>
          <w:sz w:val="24"/>
          <w:szCs w:val="24"/>
        </w:rPr>
      </w:pPr>
    </w:p>
    <w:p w14:paraId="2701B87B" w14:textId="3FF4DE56" w:rsidR="002D67E3" w:rsidRDefault="00000000">
      <w:pPr>
        <w:spacing w:line="360" w:lineRule="auto"/>
        <w:jc w:val="both"/>
        <w:rPr>
          <w:rFonts w:ascii="Arial" w:hAnsi="Arial" w:cs="Arial"/>
          <w:b/>
          <w:bCs/>
          <w:sz w:val="24"/>
          <w:szCs w:val="24"/>
          <w:lang w:val="en-US"/>
        </w:rPr>
      </w:pPr>
      <w:r>
        <w:rPr>
          <w:rFonts w:ascii="Arial" w:hAnsi="Arial" w:cs="Arial"/>
          <w:b/>
          <w:bCs/>
          <w:sz w:val="24"/>
          <w:szCs w:val="24"/>
        </w:rPr>
        <w:lastRenderedPageBreak/>
        <w:t>Executive Summary</w:t>
      </w:r>
      <w:r>
        <w:rPr>
          <w:rFonts w:ascii="Arial" w:hAnsi="Arial" w:cs="Arial"/>
          <w:b/>
          <w:bCs/>
          <w:sz w:val="24"/>
          <w:szCs w:val="24"/>
          <w:lang w:val="en-US"/>
        </w:rPr>
        <w:t xml:space="preserve"> </w:t>
      </w:r>
    </w:p>
    <w:p w14:paraId="080F0D45" w14:textId="77777777" w:rsidR="002D67E3" w:rsidRDefault="00000000">
      <w:pPr>
        <w:spacing w:line="360" w:lineRule="auto"/>
        <w:jc w:val="both"/>
        <w:rPr>
          <w:rFonts w:ascii="Arial" w:hAnsi="Arial"/>
          <w:sz w:val="24"/>
          <w:szCs w:val="24"/>
        </w:rPr>
      </w:pPr>
      <w:r>
        <w:rPr>
          <w:rFonts w:ascii="Arial" w:hAnsi="Arial"/>
          <w:sz w:val="24"/>
          <w:szCs w:val="24"/>
        </w:rPr>
        <w:t xml:space="preserve">The research examines two primary businesses in the Electric Vehicle market which are Tesla and BYD. Tesla functions as the first innovator while BYD operates as a rapidly advancing competitor. Our research examines two macro environmental factors which include technological innovation and governmental regulation. The International Energy Agency 2025 report together with Kotler and Keller 2016 findings show how these factors impact the competitive situation between both </w:t>
      </w:r>
      <w:proofErr w:type="spellStart"/>
      <w:proofErr w:type="gramStart"/>
      <w:r>
        <w:rPr>
          <w:rFonts w:ascii="Arial" w:hAnsi="Arial"/>
          <w:sz w:val="24"/>
          <w:szCs w:val="24"/>
        </w:rPr>
        <w:t>companies.Tesla</w:t>
      </w:r>
      <w:proofErr w:type="spellEnd"/>
      <w:proofErr w:type="gramEnd"/>
      <w:r>
        <w:rPr>
          <w:rFonts w:ascii="Arial" w:hAnsi="Arial"/>
          <w:sz w:val="24"/>
          <w:szCs w:val="24"/>
        </w:rPr>
        <w:t xml:space="preserve"> maintains its market position through technological innovation which enables the company to develop unique products via its advanced software systems and exceptional product performance (Tesla 2025). BYD achieves its technological benefits through vertical integration which allows the company to control costs while expanding its operations for cost leadership purposes (BYD Company Limited 2024).</w:t>
      </w:r>
      <w:r>
        <w:rPr>
          <w:rFonts w:ascii="Arial" w:hAnsi="Arial"/>
          <w:sz w:val="24"/>
          <w:szCs w:val="24"/>
          <w:lang w:val="en-US"/>
        </w:rPr>
        <w:t xml:space="preserve"> </w:t>
      </w:r>
      <w:r>
        <w:rPr>
          <w:rFonts w:ascii="Arial" w:hAnsi="Arial"/>
          <w:sz w:val="24"/>
          <w:szCs w:val="24"/>
        </w:rPr>
        <w:t>Both Tesla and BYD experience growth through government regulation incentives but current regulations and subsidy limitations create strategic threats for both companies (</w:t>
      </w:r>
      <w:proofErr w:type="spellStart"/>
      <w:r>
        <w:rPr>
          <w:rFonts w:ascii="Arial" w:hAnsi="Arial"/>
          <w:sz w:val="24"/>
          <w:szCs w:val="24"/>
        </w:rPr>
        <w:t>BloombergNEF</w:t>
      </w:r>
      <w:proofErr w:type="spellEnd"/>
      <w:r>
        <w:rPr>
          <w:rFonts w:ascii="Arial" w:hAnsi="Arial"/>
          <w:sz w:val="24"/>
          <w:szCs w:val="24"/>
        </w:rPr>
        <w:t xml:space="preserve"> 2024).</w:t>
      </w:r>
      <w:r>
        <w:rPr>
          <w:rFonts w:ascii="Arial" w:hAnsi="Arial"/>
          <w:sz w:val="24"/>
          <w:szCs w:val="24"/>
          <w:lang w:val="en-US"/>
        </w:rPr>
        <w:t xml:space="preserve"> </w:t>
      </w:r>
      <w:r>
        <w:rPr>
          <w:rFonts w:ascii="Arial" w:hAnsi="Arial"/>
          <w:sz w:val="24"/>
          <w:szCs w:val="24"/>
        </w:rPr>
        <w:t>The analysis conducted through Porter’s Generic Strategies framework and Ansoff’s Growth Matrix (Porter, 1985, Ansoff, 1987) supports that the capability of Tesla’s innovation driven model provides superior Brand Differentiation but at a higher risk compared to BYD’s Cost Driven Strategy which allows for a greater level of scalability and resilience.</w:t>
      </w:r>
      <w:r>
        <w:rPr>
          <w:rFonts w:ascii="Arial" w:hAnsi="Arial"/>
          <w:sz w:val="24"/>
          <w:szCs w:val="24"/>
          <w:lang w:val="en-US"/>
        </w:rPr>
        <w:t xml:space="preserve"> </w:t>
      </w:r>
      <w:r>
        <w:rPr>
          <w:rFonts w:ascii="Arial" w:hAnsi="Arial"/>
          <w:sz w:val="24"/>
          <w:szCs w:val="24"/>
        </w:rPr>
        <w:t>The companies require both technology innovation and cost efficiency together with regulatory compliance to establish their competitive strength in the electric vehicle market.</w:t>
      </w:r>
    </w:p>
    <w:p w14:paraId="447CC797"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Introduction</w:t>
      </w:r>
    </w:p>
    <w:p w14:paraId="0201B630" w14:textId="77777777" w:rsidR="002D67E3" w:rsidRDefault="00000000">
      <w:pPr>
        <w:spacing w:line="360" w:lineRule="auto"/>
        <w:jc w:val="both"/>
        <w:rPr>
          <w:rFonts w:ascii="Arial" w:hAnsi="Arial" w:cs="Arial"/>
          <w:sz w:val="24"/>
          <w:szCs w:val="24"/>
        </w:rPr>
      </w:pPr>
      <w:r>
        <w:rPr>
          <w:rFonts w:ascii="Arial" w:hAnsi="Arial" w:cs="Arial"/>
          <w:sz w:val="24"/>
          <w:szCs w:val="24"/>
        </w:rPr>
        <w:t xml:space="preserve">The automotive industry is undergoing rapid transformation because of three main factors which include technological advancements and increased environmentalist demands and changing consumer </w:t>
      </w:r>
      <w:proofErr w:type="spellStart"/>
      <w:r>
        <w:rPr>
          <w:rFonts w:ascii="Arial" w:hAnsi="Arial" w:cs="Arial"/>
          <w:sz w:val="24"/>
          <w:szCs w:val="24"/>
        </w:rPr>
        <w:t>behavior</w:t>
      </w:r>
      <w:proofErr w:type="spellEnd"/>
      <w:r>
        <w:rPr>
          <w:rFonts w:ascii="Arial" w:hAnsi="Arial" w:cs="Arial"/>
          <w:sz w:val="24"/>
          <w:szCs w:val="24"/>
        </w:rPr>
        <w:t>. The electric vehicle (EV) market is experiencing rapid growth which enables automotive manufacturers to establish their sustainable transport systems through various competitive market approaches.</w:t>
      </w:r>
      <w:r>
        <w:rPr>
          <w:rFonts w:ascii="Arial" w:hAnsi="Arial" w:cs="Arial"/>
          <w:sz w:val="24"/>
          <w:szCs w:val="24"/>
          <w:lang w:val="en-US"/>
        </w:rPr>
        <w:t xml:space="preserve"> </w:t>
      </w:r>
      <w:r>
        <w:rPr>
          <w:rFonts w:ascii="Arial" w:hAnsi="Arial" w:cs="Arial"/>
          <w:sz w:val="24"/>
          <w:szCs w:val="24"/>
        </w:rPr>
        <w:t xml:space="preserve">The report compares two electric vehicle companies which operate in different ways because of their macro-marketing environmental factors. The study </w:t>
      </w:r>
      <w:proofErr w:type="spellStart"/>
      <w:r>
        <w:rPr>
          <w:rFonts w:ascii="Arial" w:hAnsi="Arial" w:cs="Arial"/>
          <w:sz w:val="24"/>
          <w:szCs w:val="24"/>
        </w:rPr>
        <w:t>analyzes</w:t>
      </w:r>
      <w:proofErr w:type="spellEnd"/>
      <w:r>
        <w:rPr>
          <w:rFonts w:ascii="Arial" w:hAnsi="Arial" w:cs="Arial"/>
          <w:sz w:val="24"/>
          <w:szCs w:val="24"/>
        </w:rPr>
        <w:t xml:space="preserve"> both companies through two fundamental macro-environmental elements which include technological advancement and environmental protection laws established by governments. These elements create both opportunities and risks that determine how </w:t>
      </w:r>
      <w:r>
        <w:rPr>
          <w:rFonts w:ascii="Arial" w:hAnsi="Arial" w:cs="Arial"/>
          <w:sz w:val="24"/>
          <w:szCs w:val="24"/>
        </w:rPr>
        <w:lastRenderedPageBreak/>
        <w:t>each company competes in the market.</w:t>
      </w:r>
      <w:r>
        <w:rPr>
          <w:rFonts w:ascii="Arial" w:hAnsi="Arial" w:cs="Arial"/>
          <w:sz w:val="24"/>
          <w:szCs w:val="24"/>
          <w:lang w:val="en-US"/>
        </w:rPr>
        <w:t xml:space="preserve"> </w:t>
      </w:r>
      <w:r>
        <w:rPr>
          <w:rFonts w:ascii="Arial" w:hAnsi="Arial" w:cs="Arial"/>
          <w:sz w:val="24"/>
          <w:szCs w:val="24"/>
        </w:rPr>
        <w:t>The report assesses both organizations' strategic responses through the application of Porter's Generic Strategies and Ansoff's Growth Matrix which evaluates their ability to achieve growth and maintain their competitive edge.</w:t>
      </w:r>
    </w:p>
    <w:p w14:paraId="16B70A1C"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Industry Context - Electric Vehicle Market: </w:t>
      </w:r>
    </w:p>
    <w:p w14:paraId="070B9045" w14:textId="77777777" w:rsidR="002D67E3" w:rsidRDefault="00000000">
      <w:pPr>
        <w:spacing w:line="360" w:lineRule="auto"/>
        <w:jc w:val="both"/>
        <w:rPr>
          <w:rFonts w:ascii="Arial" w:hAnsi="Arial"/>
          <w:sz w:val="24"/>
          <w:szCs w:val="24"/>
          <w:lang w:val="en-US"/>
        </w:rPr>
      </w:pPr>
      <w:r>
        <w:rPr>
          <w:rFonts w:ascii="Arial" w:hAnsi="Arial"/>
          <w:sz w:val="24"/>
          <w:szCs w:val="24"/>
        </w:rPr>
        <w:t>The electric vehicle (EV) sector has shown remarkable growth because battery technologies continue to develop and production costs have decreased while environmental concerns become more important to people. Battery improvements enable EVs to drive longer distances and handle more demanding tasks which makes them suitable for consumer use while reduced production costs enable more people to buy EVs. The worldwide shift towards cleaner transportation methods has gained momentum through the establishment of governmental incentive programs and the enforcement of stricter environmental protection regulations. The electric vehicle market is becoming more competitive because established car manufacturers and electric vehicle companies and new entrants all fight to win customers through their product pricing and their vehicle performance and technological innovations. Companies now face pressure to develop new products which they must achieve while keeping their existing cost-effective business operations according to research on market competition trends. Companies need to monitor macro-environmental conditions because these factors will shape their strategic decisions which will determine their competitive advantages in the electric vehicle industry</w:t>
      </w:r>
      <w:r>
        <w:rPr>
          <w:rFonts w:ascii="Arial" w:hAnsi="Arial"/>
          <w:sz w:val="24"/>
          <w:szCs w:val="24"/>
          <w:lang w:val="en-US"/>
        </w:rPr>
        <w:t>.</w:t>
      </w:r>
    </w:p>
    <w:p w14:paraId="61AA651B"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Macro-Environmental Analysis (PESTLE focus)</w:t>
      </w:r>
    </w:p>
    <w:p w14:paraId="60F5A5EE" w14:textId="77777777" w:rsidR="002D67E3" w:rsidRDefault="00000000">
      <w:pPr>
        <w:spacing w:line="360" w:lineRule="auto"/>
        <w:jc w:val="both"/>
        <w:rPr>
          <w:rFonts w:ascii="Arial" w:eastAsia="sans-serif" w:hAnsi="Arial" w:cs="Arial"/>
          <w:color w:val="000000" w:themeColor="text1"/>
          <w:sz w:val="24"/>
          <w:szCs w:val="24"/>
          <w:shd w:val="clear" w:color="auto" w:fill="FFFFFF"/>
        </w:rPr>
      </w:pPr>
      <w:r>
        <w:rPr>
          <w:rFonts w:ascii="Arial" w:eastAsia="sans-serif" w:hAnsi="Arial" w:cs="Arial"/>
          <w:color w:val="000000" w:themeColor="text1"/>
          <w:sz w:val="24"/>
          <w:szCs w:val="24"/>
          <w:shd w:val="clear" w:color="auto" w:fill="FFFFFF"/>
        </w:rPr>
        <w:t>The role of macro-environmental forces is much more critical when it comes to making strategic decisions in the electric vehicle (EV) sector versus other sectors. This section describes technological innovation, as one of two key drivers of strategic decisions in terms of the EV industry, as well as the role of government environmental regulations in affecting EV strategic decisions, and places these two key drivers into the larger PESTLE country data context.</w:t>
      </w:r>
    </w:p>
    <w:p w14:paraId="4AEB9598" w14:textId="77777777" w:rsidR="002D67E3" w:rsidRDefault="002D67E3">
      <w:pPr>
        <w:spacing w:line="360" w:lineRule="auto"/>
        <w:jc w:val="both"/>
        <w:rPr>
          <w:rFonts w:ascii="Arial" w:hAnsi="Arial" w:cs="Arial"/>
          <w:b/>
          <w:bCs/>
          <w:sz w:val="24"/>
          <w:szCs w:val="24"/>
        </w:rPr>
      </w:pPr>
    </w:p>
    <w:p w14:paraId="2AF53EFB" w14:textId="77777777" w:rsidR="00453B71" w:rsidRDefault="00453B71">
      <w:pPr>
        <w:spacing w:line="360" w:lineRule="auto"/>
        <w:jc w:val="both"/>
        <w:rPr>
          <w:rFonts w:ascii="Arial" w:hAnsi="Arial" w:cs="Arial"/>
          <w:b/>
          <w:bCs/>
          <w:sz w:val="24"/>
          <w:szCs w:val="24"/>
        </w:rPr>
      </w:pPr>
    </w:p>
    <w:p w14:paraId="4D7B79E6" w14:textId="77777777" w:rsidR="00453B71" w:rsidRDefault="00453B71">
      <w:pPr>
        <w:spacing w:line="360" w:lineRule="auto"/>
        <w:jc w:val="both"/>
        <w:rPr>
          <w:rFonts w:ascii="Arial" w:hAnsi="Arial" w:cs="Arial"/>
          <w:b/>
          <w:bCs/>
          <w:sz w:val="24"/>
          <w:szCs w:val="24"/>
        </w:rPr>
      </w:pPr>
    </w:p>
    <w:p w14:paraId="4AD6C4E8" w14:textId="689F9747" w:rsidR="002D67E3" w:rsidRDefault="00000000">
      <w:pPr>
        <w:spacing w:line="360" w:lineRule="auto"/>
        <w:jc w:val="both"/>
        <w:rPr>
          <w:rFonts w:ascii="Arial" w:hAnsi="Arial" w:cs="Arial"/>
          <w:b/>
          <w:bCs/>
          <w:sz w:val="24"/>
          <w:szCs w:val="24"/>
        </w:rPr>
      </w:pPr>
      <w:r>
        <w:rPr>
          <w:rFonts w:ascii="Arial" w:hAnsi="Arial" w:cs="Arial"/>
          <w:b/>
          <w:bCs/>
          <w:sz w:val="24"/>
          <w:szCs w:val="24"/>
        </w:rPr>
        <w:lastRenderedPageBreak/>
        <w:t>Technological innovation</w:t>
      </w:r>
    </w:p>
    <w:p w14:paraId="2C4CC635" w14:textId="77777777" w:rsidR="002D67E3" w:rsidRDefault="00000000">
      <w:pPr>
        <w:spacing w:line="360" w:lineRule="auto"/>
        <w:jc w:val="both"/>
        <w:rPr>
          <w:rFonts w:ascii="Arial" w:eastAsia="sans-serif" w:hAnsi="Arial"/>
          <w:sz w:val="24"/>
          <w:szCs w:val="24"/>
          <w:shd w:val="clear" w:color="auto" w:fill="FFFFFF"/>
        </w:rPr>
      </w:pPr>
      <w:r>
        <w:rPr>
          <w:rFonts w:ascii="Arial" w:eastAsia="sans-serif" w:hAnsi="Arial"/>
          <w:sz w:val="24"/>
          <w:szCs w:val="24"/>
          <w:shd w:val="clear" w:color="auto" w:fill="FFFFFF"/>
        </w:rPr>
        <w:t>The electric vehicle (EV) industry establishes its competitive advantage through technological advancements which emerge from battery technology improvements and software system development and self-driving vehicle technology advancements. The new technologies improve vehicle function and performance capabilities while delivering extra services and superior user experiences. These technologies particularly help organizations when they establish their corporate strategies to gain market advantage.</w:t>
      </w:r>
      <w:r>
        <w:rPr>
          <w:rFonts w:ascii="Arial" w:eastAsia="sans-serif" w:hAnsi="Arial"/>
          <w:sz w:val="24"/>
          <w:szCs w:val="24"/>
          <w:shd w:val="clear" w:color="auto" w:fill="FFFFFF"/>
          <w:lang w:val="en-US"/>
        </w:rPr>
        <w:t xml:space="preserve"> </w:t>
      </w:r>
      <w:r>
        <w:rPr>
          <w:rFonts w:ascii="Arial" w:eastAsia="sans-serif" w:hAnsi="Arial"/>
          <w:sz w:val="24"/>
          <w:szCs w:val="24"/>
          <w:shd w:val="clear" w:color="auto" w:fill="FFFFFF"/>
        </w:rPr>
        <w:t xml:space="preserve">Tesla </w:t>
      </w:r>
      <w:proofErr w:type="spellStart"/>
      <w:r>
        <w:rPr>
          <w:rFonts w:ascii="Arial" w:eastAsia="sans-serif" w:hAnsi="Arial"/>
          <w:sz w:val="24"/>
          <w:szCs w:val="24"/>
          <w:shd w:val="clear" w:color="auto" w:fill="FFFFFF"/>
        </w:rPr>
        <w:t>centers</w:t>
      </w:r>
      <w:proofErr w:type="spellEnd"/>
      <w:r>
        <w:rPr>
          <w:rFonts w:ascii="Arial" w:eastAsia="sans-serif" w:hAnsi="Arial"/>
          <w:sz w:val="24"/>
          <w:szCs w:val="24"/>
          <w:shd w:val="clear" w:color="auto" w:fill="FFFFFF"/>
        </w:rPr>
        <w:t xml:space="preserve"> its business differentiation on technological innovation which helps the company create high-performance vehicles that come with sophisticated software and vehicle software updates that include self-driving capabilities. The company developed a premium brand identity which enables it to sell products at higher prices compared to competing automotive brands. The company's need for continual innovation creates a higher threat to its ability to maintain product distinction because new technologies spread rapidly and market competition intensifies.</w:t>
      </w:r>
    </w:p>
    <w:p w14:paraId="185CB580" w14:textId="77777777" w:rsidR="002D67E3" w:rsidRDefault="00000000">
      <w:pPr>
        <w:spacing w:line="360" w:lineRule="auto"/>
        <w:jc w:val="both"/>
        <w:rPr>
          <w:rFonts w:ascii="Arial" w:eastAsia="sans-serif" w:hAnsi="Arial"/>
          <w:sz w:val="24"/>
          <w:szCs w:val="24"/>
          <w:shd w:val="clear" w:color="auto" w:fill="FFFFFF"/>
        </w:rPr>
      </w:pPr>
      <w:r>
        <w:rPr>
          <w:rFonts w:ascii="Arial" w:eastAsia="sans-serif" w:hAnsi="Arial"/>
          <w:sz w:val="24"/>
          <w:szCs w:val="24"/>
          <w:shd w:val="clear" w:color="auto" w:fill="FFFFFF"/>
        </w:rPr>
        <w:t>BYD focuses on using technology to reduce costs and enhance operational efficiency. BYD establishes better control over its suppliers through its vertically integrated supply chain system which includes battery production and enables the company to cut down on outside supplier dependency while achieving cost advantages through increased production volume. BYD will maintain its market leadership by implementing these actions which enable the company to provide customers with a more affordable vehicle option. This situation shows its strongest impact in markets that lack economic resources.</w:t>
      </w:r>
    </w:p>
    <w:p w14:paraId="37ABA599" w14:textId="77777777" w:rsidR="002D67E3" w:rsidRDefault="00000000">
      <w:pPr>
        <w:spacing w:line="360" w:lineRule="auto"/>
        <w:jc w:val="both"/>
        <w:rPr>
          <w:rFonts w:ascii="Arial" w:eastAsia="sans-serif" w:hAnsi="Arial"/>
          <w:sz w:val="24"/>
          <w:szCs w:val="24"/>
          <w:shd w:val="clear" w:color="auto" w:fill="FFFFFF"/>
        </w:rPr>
      </w:pPr>
      <w:r>
        <w:rPr>
          <w:rFonts w:ascii="Arial" w:eastAsia="sans-serif" w:hAnsi="Arial"/>
          <w:sz w:val="24"/>
          <w:szCs w:val="24"/>
          <w:shd w:val="clear" w:color="auto" w:fill="FFFFFF"/>
        </w:rPr>
        <w:t>The EV industry uses two distinct strategies because Tesla depends on innovation to create products that serve high-end markets while BYD combines low-cost production with scalable manufacturing to reach widespread consumer markets. The analysis demonstrates how businesses select various technological methods as they employ these technologies for establishing and sustaining their market advantage.</w:t>
      </w:r>
    </w:p>
    <w:p w14:paraId="249ACA29" w14:textId="77777777" w:rsidR="00453B71" w:rsidRDefault="00453B71">
      <w:pPr>
        <w:spacing w:line="360" w:lineRule="auto"/>
        <w:jc w:val="both"/>
        <w:rPr>
          <w:rFonts w:ascii="Arial" w:eastAsia="SimSun" w:hAnsi="Arial" w:cs="Arial"/>
          <w:b/>
          <w:bCs/>
          <w:sz w:val="24"/>
          <w:szCs w:val="24"/>
        </w:rPr>
      </w:pPr>
    </w:p>
    <w:p w14:paraId="7B20987A" w14:textId="77777777" w:rsidR="00453B71" w:rsidRDefault="00453B71">
      <w:pPr>
        <w:spacing w:line="360" w:lineRule="auto"/>
        <w:jc w:val="both"/>
        <w:rPr>
          <w:rFonts w:ascii="Arial" w:eastAsia="SimSun" w:hAnsi="Arial" w:cs="Arial"/>
          <w:b/>
          <w:bCs/>
          <w:sz w:val="24"/>
          <w:szCs w:val="24"/>
        </w:rPr>
      </w:pPr>
    </w:p>
    <w:p w14:paraId="3F0BC5B5" w14:textId="77777777" w:rsidR="00453B71" w:rsidRDefault="00453B71">
      <w:pPr>
        <w:spacing w:line="360" w:lineRule="auto"/>
        <w:jc w:val="both"/>
        <w:rPr>
          <w:rFonts w:ascii="Arial" w:eastAsia="SimSun" w:hAnsi="Arial" w:cs="Arial"/>
          <w:b/>
          <w:bCs/>
          <w:sz w:val="24"/>
          <w:szCs w:val="24"/>
        </w:rPr>
      </w:pPr>
    </w:p>
    <w:p w14:paraId="4EFCBDF7" w14:textId="2C8680E6" w:rsidR="002D67E3" w:rsidRDefault="00000000">
      <w:pPr>
        <w:spacing w:line="360" w:lineRule="auto"/>
        <w:jc w:val="both"/>
        <w:rPr>
          <w:rFonts w:ascii="Arial" w:eastAsia="SimSun" w:hAnsi="Arial" w:cs="Arial"/>
          <w:b/>
          <w:bCs/>
          <w:sz w:val="24"/>
          <w:szCs w:val="24"/>
        </w:rPr>
      </w:pPr>
      <w:r>
        <w:rPr>
          <w:rFonts w:ascii="Arial" w:eastAsia="SimSun" w:hAnsi="Arial" w:cs="Arial"/>
          <w:b/>
          <w:bCs/>
          <w:sz w:val="24"/>
          <w:szCs w:val="24"/>
        </w:rPr>
        <w:lastRenderedPageBreak/>
        <w:t>Government Environmental Regulation</w:t>
      </w:r>
    </w:p>
    <w:p w14:paraId="51108F56" w14:textId="77777777" w:rsidR="002D67E3" w:rsidRDefault="00000000">
      <w:pPr>
        <w:spacing w:line="360" w:lineRule="auto"/>
        <w:jc w:val="both"/>
        <w:rPr>
          <w:rFonts w:ascii="Arial" w:hAnsi="Arial" w:cs="Arial"/>
          <w:sz w:val="24"/>
          <w:szCs w:val="24"/>
        </w:rPr>
      </w:pPr>
      <w:r>
        <w:rPr>
          <w:rFonts w:ascii="Arial" w:hAnsi="Arial" w:cs="Arial"/>
          <w:sz w:val="24"/>
          <w:szCs w:val="24"/>
        </w:rPr>
        <w:t>Government incentives, rules on emissions, and other regulations will have a large impact on the number of electric vehicles (EVs) sold.</w:t>
      </w:r>
    </w:p>
    <w:p w14:paraId="0357B195"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Effects of Government Policies on Tesla</w:t>
      </w:r>
    </w:p>
    <w:p w14:paraId="564464B7" w14:textId="77777777" w:rsidR="002D67E3" w:rsidRDefault="00000000">
      <w:pPr>
        <w:spacing w:line="360" w:lineRule="auto"/>
        <w:jc w:val="both"/>
        <w:rPr>
          <w:rFonts w:ascii="Arial" w:hAnsi="Arial" w:cs="Arial"/>
          <w:sz w:val="24"/>
          <w:szCs w:val="24"/>
        </w:rPr>
      </w:pPr>
      <w:r>
        <w:rPr>
          <w:rFonts w:ascii="Arial" w:hAnsi="Arial" w:cs="Arial"/>
          <w:sz w:val="24"/>
          <w:szCs w:val="24"/>
        </w:rPr>
        <w:t>Tesla received significant support from government programs which included tax credits and emissions trading during its initial development phase. The company now faces a dual threat from decreasing subsidies and increasing government regulation which directly impacts its expenses and restricts its market access.</w:t>
      </w:r>
    </w:p>
    <w:p w14:paraId="18D8942E"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Effects of Government Policies on BYD</w:t>
      </w:r>
    </w:p>
    <w:p w14:paraId="47B95811" w14:textId="77777777" w:rsidR="002D67E3" w:rsidRDefault="00000000">
      <w:pPr>
        <w:spacing w:line="360" w:lineRule="auto"/>
        <w:jc w:val="both"/>
        <w:rPr>
          <w:rFonts w:ascii="Arial" w:hAnsi="Arial" w:cs="Arial"/>
          <w:sz w:val="24"/>
          <w:szCs w:val="24"/>
        </w:rPr>
      </w:pPr>
      <w:r>
        <w:rPr>
          <w:rFonts w:ascii="Arial" w:hAnsi="Arial" w:cs="Arial"/>
          <w:sz w:val="24"/>
          <w:szCs w:val="24"/>
        </w:rPr>
        <w:t>The Chinese government has provided BYD with extensive support which enables the company to achieve faster expansion while reducing operational expenses. BYD faces critical danger because its subsidies continue to decrease and the company must compete without receiving government financial support.</w:t>
      </w:r>
    </w:p>
    <w:p w14:paraId="2C745639" w14:textId="77777777" w:rsidR="002D67E3" w:rsidRDefault="00000000">
      <w:pPr>
        <w:spacing w:line="360" w:lineRule="auto"/>
        <w:jc w:val="both"/>
        <w:rPr>
          <w:rFonts w:ascii="Arial" w:hAnsi="Arial" w:cs="Arial"/>
          <w:b/>
          <w:bCs/>
          <w:sz w:val="24"/>
          <w:szCs w:val="24"/>
        </w:rPr>
      </w:pPr>
      <w:r>
        <w:rPr>
          <w:rFonts w:ascii="Arial" w:hAnsi="Arial" w:cs="Arial"/>
          <w:sz w:val="24"/>
          <w:szCs w:val="24"/>
          <w:lang w:val="en-US"/>
        </w:rPr>
        <w:t xml:space="preserve">However, </w:t>
      </w:r>
      <w:r>
        <w:rPr>
          <w:rFonts w:ascii="Arial" w:hAnsi="Arial" w:cs="Arial"/>
          <w:sz w:val="24"/>
          <w:szCs w:val="24"/>
        </w:rPr>
        <w:t>Tesla is facing major regulatory challenges which affect all its international markets. On the flip side, BYD is heavily dependent on Chinese government policy creating an additional vulnerability. The two companies face identical risks from regulatory uncertainty but they experience these risks through different paths.</w:t>
      </w:r>
    </w:p>
    <w:p w14:paraId="379AF01D" w14:textId="77777777" w:rsidR="00453B71" w:rsidRDefault="00453B71">
      <w:pPr>
        <w:spacing w:line="360" w:lineRule="auto"/>
        <w:jc w:val="both"/>
        <w:rPr>
          <w:rFonts w:ascii="Arial" w:hAnsi="Arial"/>
          <w:b/>
          <w:bCs/>
          <w:sz w:val="24"/>
          <w:szCs w:val="24"/>
        </w:rPr>
      </w:pPr>
    </w:p>
    <w:p w14:paraId="061C9E94" w14:textId="72BC29C2" w:rsidR="002D67E3" w:rsidRDefault="00000000">
      <w:pPr>
        <w:spacing w:line="360" w:lineRule="auto"/>
        <w:jc w:val="both"/>
        <w:rPr>
          <w:rFonts w:ascii="Arial" w:hAnsi="Arial" w:cs="Arial"/>
          <w:b/>
          <w:bCs/>
          <w:sz w:val="24"/>
          <w:szCs w:val="24"/>
        </w:rPr>
      </w:pPr>
      <w:r>
        <w:rPr>
          <w:rFonts w:ascii="Arial" w:hAnsi="Arial"/>
          <w:b/>
          <w:bCs/>
          <w:sz w:val="24"/>
          <w:szCs w:val="24"/>
        </w:rPr>
        <w:t xml:space="preserve">Opportunities and Threats </w:t>
      </w:r>
      <w:r w:rsidR="00453B71">
        <w:rPr>
          <w:rFonts w:ascii="Arial" w:hAnsi="Arial"/>
          <w:b/>
          <w:bCs/>
          <w:sz w:val="24"/>
          <w:szCs w:val="24"/>
        </w:rPr>
        <w:t>S</w:t>
      </w:r>
      <w:r>
        <w:rPr>
          <w:rFonts w:ascii="Arial" w:hAnsi="Arial"/>
          <w:b/>
          <w:bCs/>
          <w:sz w:val="24"/>
          <w:szCs w:val="24"/>
        </w:rPr>
        <w:t>ection</w:t>
      </w:r>
      <w:r>
        <w:rPr>
          <w:rFonts w:ascii="Arial" w:hAnsi="Arial" w:cs="Arial"/>
          <w:b/>
          <w:bCs/>
          <w:sz w:val="24"/>
          <w:szCs w:val="24"/>
        </w:rPr>
        <w:t xml:space="preserve"> </w:t>
      </w:r>
    </w:p>
    <w:p w14:paraId="12FC4D63" w14:textId="77777777" w:rsidR="002D67E3" w:rsidRDefault="00000000">
      <w:pPr>
        <w:spacing w:line="360" w:lineRule="auto"/>
        <w:jc w:val="both"/>
        <w:rPr>
          <w:rFonts w:ascii="Arial" w:eastAsia="SimSun" w:hAnsi="Arial"/>
          <w:sz w:val="24"/>
          <w:szCs w:val="24"/>
        </w:rPr>
      </w:pPr>
      <w:r>
        <w:rPr>
          <w:rFonts w:ascii="Arial" w:eastAsia="SimSun" w:hAnsi="Arial"/>
          <w:sz w:val="24"/>
          <w:szCs w:val="24"/>
        </w:rPr>
        <w:t>The technological innovation and regulatory framework relationship creates various strategic outcomes.</w:t>
      </w:r>
    </w:p>
    <w:p w14:paraId="2E512D97" w14:textId="77777777" w:rsidR="002D67E3" w:rsidRDefault="00000000">
      <w:pPr>
        <w:pStyle w:val="ListParagraph"/>
        <w:spacing w:line="360" w:lineRule="auto"/>
        <w:ind w:left="0"/>
        <w:jc w:val="both"/>
        <w:rPr>
          <w:rFonts w:ascii="Arial" w:hAnsi="Arial" w:cs="Arial"/>
          <w:sz w:val="24"/>
          <w:szCs w:val="24"/>
        </w:rPr>
      </w:pPr>
      <w:r>
        <w:rPr>
          <w:rFonts w:ascii="Arial" w:hAnsi="Arial"/>
          <w:b/>
          <w:bCs/>
          <w:sz w:val="24"/>
          <w:szCs w:val="24"/>
        </w:rPr>
        <w:t>The Growth Prospects section</w:t>
      </w:r>
    </w:p>
    <w:p w14:paraId="7B4EC082" w14:textId="77777777" w:rsidR="002D67E3" w:rsidRDefault="00000000">
      <w:pPr>
        <w:pStyle w:val="ListParagraph"/>
        <w:numPr>
          <w:ilvl w:val="0"/>
          <w:numId w:val="2"/>
        </w:numPr>
        <w:spacing w:line="360" w:lineRule="auto"/>
        <w:jc w:val="both"/>
        <w:rPr>
          <w:rFonts w:ascii="Arial" w:hAnsi="Arial" w:cs="Arial"/>
          <w:sz w:val="24"/>
          <w:szCs w:val="24"/>
        </w:rPr>
      </w:pPr>
      <w:r>
        <w:rPr>
          <w:rFonts w:ascii="Arial" w:hAnsi="Arial"/>
          <w:sz w:val="24"/>
          <w:szCs w:val="24"/>
        </w:rPr>
        <w:t>The market will develop new segments which have potential for electric vehicle (EV) growth.</w:t>
      </w:r>
    </w:p>
    <w:p w14:paraId="173C4672" w14:textId="77777777" w:rsidR="002D67E3" w:rsidRDefault="00000000">
      <w:pPr>
        <w:pStyle w:val="ListParagraph"/>
        <w:numPr>
          <w:ilvl w:val="0"/>
          <w:numId w:val="2"/>
        </w:numPr>
        <w:spacing w:line="360" w:lineRule="auto"/>
        <w:jc w:val="both"/>
        <w:rPr>
          <w:rFonts w:ascii="Arial" w:hAnsi="Arial" w:cs="Arial"/>
          <w:b/>
          <w:bCs/>
          <w:sz w:val="24"/>
          <w:szCs w:val="24"/>
        </w:rPr>
      </w:pPr>
      <w:r>
        <w:rPr>
          <w:rFonts w:ascii="Arial" w:hAnsi="Arial"/>
          <w:sz w:val="24"/>
          <w:szCs w:val="24"/>
        </w:rPr>
        <w:t xml:space="preserve">The project will create an electric vehicle (EV) ecosystem through the development of charging stations storage facilities and software together with essential </w:t>
      </w:r>
      <w:proofErr w:type="spellStart"/>
      <w:proofErr w:type="gramStart"/>
      <w:r>
        <w:rPr>
          <w:rFonts w:ascii="Arial" w:hAnsi="Arial"/>
          <w:sz w:val="24"/>
          <w:szCs w:val="24"/>
        </w:rPr>
        <w:t>infrastructure.Battery</w:t>
      </w:r>
      <w:proofErr w:type="spellEnd"/>
      <w:proofErr w:type="gramEnd"/>
      <w:r>
        <w:rPr>
          <w:rFonts w:ascii="Arial" w:hAnsi="Arial"/>
          <w:sz w:val="24"/>
          <w:szCs w:val="24"/>
        </w:rPr>
        <w:t xml:space="preserve"> recycling and sustainability processes will achieve improvements through technological advances.</w:t>
      </w:r>
    </w:p>
    <w:p w14:paraId="7E6749C5"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Risks Facing the Business</w:t>
      </w:r>
    </w:p>
    <w:p w14:paraId="5B85F9E9" w14:textId="77777777" w:rsidR="002D67E3" w:rsidRDefault="00000000">
      <w:pPr>
        <w:pStyle w:val="ListParagraph"/>
        <w:numPr>
          <w:ilvl w:val="0"/>
          <w:numId w:val="3"/>
        </w:numPr>
        <w:spacing w:line="360" w:lineRule="auto"/>
        <w:jc w:val="both"/>
        <w:rPr>
          <w:rFonts w:ascii="Arial" w:hAnsi="Arial" w:cs="Arial"/>
          <w:sz w:val="24"/>
          <w:szCs w:val="24"/>
        </w:rPr>
      </w:pPr>
      <w:r>
        <w:rPr>
          <w:rFonts w:ascii="Arial" w:hAnsi="Arial" w:cs="Arial"/>
          <w:sz w:val="24"/>
          <w:szCs w:val="24"/>
        </w:rPr>
        <w:lastRenderedPageBreak/>
        <w:t>Commodity-like competition in EVs</w:t>
      </w:r>
    </w:p>
    <w:p w14:paraId="3DD1367D" w14:textId="77777777" w:rsidR="002D67E3" w:rsidRDefault="00000000">
      <w:pPr>
        <w:pStyle w:val="ListParagraph"/>
        <w:numPr>
          <w:ilvl w:val="0"/>
          <w:numId w:val="3"/>
        </w:numPr>
        <w:spacing w:line="360" w:lineRule="auto"/>
        <w:jc w:val="both"/>
        <w:rPr>
          <w:rFonts w:ascii="Arial" w:hAnsi="Arial" w:cs="Arial"/>
          <w:sz w:val="24"/>
          <w:szCs w:val="24"/>
        </w:rPr>
      </w:pPr>
      <w:r>
        <w:rPr>
          <w:rFonts w:ascii="Arial" w:hAnsi="Arial" w:cs="Arial"/>
          <w:sz w:val="24"/>
          <w:szCs w:val="24"/>
        </w:rPr>
        <w:t>Supply chain issues associated with the supply of battery raw materials</w:t>
      </w:r>
    </w:p>
    <w:p w14:paraId="1E2420E5" w14:textId="77777777" w:rsidR="002D67E3" w:rsidRDefault="00000000">
      <w:pPr>
        <w:pStyle w:val="ListParagraph"/>
        <w:numPr>
          <w:ilvl w:val="0"/>
          <w:numId w:val="3"/>
        </w:numPr>
        <w:spacing w:line="360" w:lineRule="auto"/>
        <w:jc w:val="both"/>
        <w:rPr>
          <w:rFonts w:ascii="Arial" w:hAnsi="Arial" w:cs="Arial"/>
          <w:sz w:val="24"/>
          <w:szCs w:val="24"/>
        </w:rPr>
      </w:pPr>
      <w:r>
        <w:rPr>
          <w:rFonts w:ascii="Arial" w:hAnsi="Arial" w:cs="Arial"/>
          <w:sz w:val="24"/>
          <w:szCs w:val="24"/>
        </w:rPr>
        <w:t>International regulatory opacity regarding the evolution of markets around the world</w:t>
      </w:r>
    </w:p>
    <w:p w14:paraId="6B0EAF9B" w14:textId="77777777" w:rsidR="002D67E3" w:rsidRDefault="00000000">
      <w:pPr>
        <w:pStyle w:val="ListParagraph"/>
        <w:numPr>
          <w:ilvl w:val="0"/>
          <w:numId w:val="3"/>
        </w:numPr>
        <w:spacing w:line="360" w:lineRule="auto"/>
        <w:jc w:val="both"/>
        <w:rPr>
          <w:rFonts w:ascii="Arial" w:hAnsi="Arial" w:cs="Arial"/>
          <w:sz w:val="24"/>
          <w:szCs w:val="24"/>
        </w:rPr>
      </w:pPr>
      <w:r>
        <w:rPr>
          <w:rFonts w:ascii="Arial" w:hAnsi="Arial" w:cs="Arial"/>
          <w:sz w:val="24"/>
          <w:szCs w:val="24"/>
        </w:rPr>
        <w:t>Tesla has an advantage over BYD in developing opportunities in an ecosystem-based manner. Conversely, BYD has an advantage over Tesla in terms of providing opportunities for entry into new markets based upon price.</w:t>
      </w:r>
    </w:p>
    <w:p w14:paraId="166C7347" w14:textId="77777777" w:rsidR="00453B71" w:rsidRDefault="00453B71">
      <w:pPr>
        <w:spacing w:line="360" w:lineRule="auto"/>
        <w:jc w:val="both"/>
        <w:rPr>
          <w:rFonts w:ascii="Arial" w:eastAsia="SimSun" w:hAnsi="Arial" w:cs="Arial"/>
          <w:b/>
          <w:bCs/>
          <w:sz w:val="24"/>
          <w:szCs w:val="24"/>
        </w:rPr>
      </w:pPr>
    </w:p>
    <w:p w14:paraId="2D73B2EA" w14:textId="4DFA4D18" w:rsidR="002D67E3" w:rsidRDefault="00000000">
      <w:pPr>
        <w:spacing w:line="360" w:lineRule="auto"/>
        <w:jc w:val="both"/>
        <w:rPr>
          <w:rFonts w:ascii="Arial" w:eastAsia="SimSun" w:hAnsi="Arial" w:cs="Arial"/>
          <w:b/>
          <w:bCs/>
          <w:sz w:val="24"/>
          <w:szCs w:val="24"/>
        </w:rPr>
      </w:pPr>
      <w:r>
        <w:rPr>
          <w:rFonts w:ascii="Arial" w:eastAsia="SimSun" w:hAnsi="Arial" w:cs="Arial"/>
          <w:b/>
          <w:bCs/>
          <w:sz w:val="24"/>
          <w:szCs w:val="24"/>
        </w:rPr>
        <w:t>Strategic Responses: Evaluation Using Frameworks</w:t>
      </w:r>
    </w:p>
    <w:p w14:paraId="4AA37A2C"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Porter’s Generic Strategies  </w:t>
      </w:r>
    </w:p>
    <w:p w14:paraId="7C92C88A"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Differentiating Tesla Strategy</w:t>
      </w:r>
    </w:p>
    <w:p w14:paraId="26245F2E" w14:textId="77777777" w:rsidR="002D67E3" w:rsidRDefault="00000000">
      <w:pPr>
        <w:spacing w:line="360" w:lineRule="auto"/>
        <w:jc w:val="both"/>
        <w:rPr>
          <w:rFonts w:ascii="Arial" w:hAnsi="Arial" w:cs="Arial"/>
          <w:sz w:val="24"/>
          <w:szCs w:val="24"/>
        </w:rPr>
      </w:pPr>
      <w:r>
        <w:rPr>
          <w:rFonts w:ascii="Arial" w:hAnsi="Arial" w:cs="Arial"/>
          <w:sz w:val="24"/>
          <w:szCs w:val="24"/>
        </w:rPr>
        <w:t>Tesla's differentiating strategy centres on creating unique products through innovation, performance and brand positioning that allows them to charge premium prices whilst maintaining customer loyalty.</w:t>
      </w:r>
    </w:p>
    <w:p w14:paraId="5C6423BA" w14:textId="77777777" w:rsidR="002D67E3" w:rsidRDefault="00000000">
      <w:pPr>
        <w:spacing w:line="360" w:lineRule="auto"/>
        <w:jc w:val="both"/>
        <w:rPr>
          <w:rFonts w:ascii="Arial" w:hAnsi="Arial" w:cs="Arial"/>
          <w:sz w:val="24"/>
          <w:szCs w:val="24"/>
        </w:rPr>
      </w:pPr>
      <w:r>
        <w:rPr>
          <w:rFonts w:ascii="Arial" w:hAnsi="Arial" w:cs="Arial"/>
          <w:sz w:val="24"/>
          <w:szCs w:val="24"/>
        </w:rPr>
        <w:t>The differentiating strategy depends heavily upon continued innovation; therefore, should a competitor be able to copy one of Tesla's technologies, their ability to differentiate from their competitors will diminish.</w:t>
      </w:r>
    </w:p>
    <w:p w14:paraId="08BB835F"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Cost Leadership Strategy BYD</w:t>
      </w:r>
    </w:p>
    <w:p w14:paraId="1CAB7D19" w14:textId="77777777" w:rsidR="002D67E3" w:rsidRDefault="00000000">
      <w:pPr>
        <w:spacing w:line="360" w:lineRule="auto"/>
        <w:jc w:val="both"/>
        <w:rPr>
          <w:rFonts w:ascii="Arial" w:hAnsi="Arial" w:cs="Arial"/>
          <w:sz w:val="24"/>
          <w:szCs w:val="24"/>
        </w:rPr>
      </w:pPr>
      <w:r>
        <w:rPr>
          <w:rFonts w:ascii="Arial" w:hAnsi="Arial" w:cs="Arial"/>
          <w:sz w:val="24"/>
          <w:szCs w:val="24"/>
        </w:rPr>
        <w:t>With their focus on vertical integration and economies of scale, BYD has developed a cost leadership strategy in order to provide competitive prices and achieve substantial penetration into multiple sectors.</w:t>
      </w:r>
    </w:p>
    <w:p w14:paraId="469EB8F3" w14:textId="77777777" w:rsidR="002D67E3" w:rsidRDefault="00000000">
      <w:pPr>
        <w:spacing w:line="360" w:lineRule="auto"/>
        <w:jc w:val="both"/>
        <w:rPr>
          <w:rFonts w:ascii="Arial" w:hAnsi="Arial" w:cs="Arial"/>
          <w:sz w:val="24"/>
          <w:szCs w:val="24"/>
        </w:rPr>
      </w:pPr>
      <w:r>
        <w:rPr>
          <w:rFonts w:ascii="Arial" w:hAnsi="Arial" w:cs="Arial"/>
          <w:sz w:val="24"/>
          <w:szCs w:val="24"/>
        </w:rPr>
        <w:t>While the cost leadership strategy is effective in mass-market segments, it restricts brand positioning for premium segments, which will ultimately constrain profit margins.</w:t>
      </w:r>
    </w:p>
    <w:p w14:paraId="522A2BDA"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Critical Analysis</w:t>
      </w:r>
    </w:p>
    <w:p w14:paraId="36E1216A" w14:textId="77777777" w:rsidR="002D67E3" w:rsidRDefault="00000000">
      <w:pPr>
        <w:spacing w:line="360" w:lineRule="auto"/>
        <w:jc w:val="both"/>
        <w:rPr>
          <w:rFonts w:ascii="Arial" w:hAnsi="Arial" w:cs="Arial"/>
          <w:sz w:val="24"/>
          <w:szCs w:val="24"/>
        </w:rPr>
      </w:pPr>
      <w:r>
        <w:rPr>
          <w:rFonts w:ascii="Arial" w:hAnsi="Arial" w:cs="Arial"/>
          <w:sz w:val="24"/>
          <w:szCs w:val="24"/>
        </w:rPr>
        <w:t xml:space="preserve">While Tesla's differentiation strategy will create long-term brand retail strength, it is exposed to higher risk because it cannot sustain the pricing levels needed to provide long-term retail sustaining profits due to cost pressures. Contrarily, BYD's cost leadership strategy will produce a stable and scalable position within the automotive industry, however, the brand positioning will likely limit the ability to successfully </w:t>
      </w:r>
      <w:r>
        <w:rPr>
          <w:rFonts w:ascii="Arial" w:hAnsi="Arial" w:cs="Arial"/>
          <w:sz w:val="24"/>
          <w:szCs w:val="24"/>
        </w:rPr>
        <w:lastRenderedPageBreak/>
        <w:t>penetrate premium segments. If the automotive industry matures, BYD will have a higher potential to take advantage of the cost leadership strategy.</w:t>
      </w:r>
    </w:p>
    <w:p w14:paraId="204B02C5"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Ansoff’s Growth Matrix  </w:t>
      </w:r>
    </w:p>
    <w:p w14:paraId="78B600D3"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Market penetration: </w:t>
      </w:r>
    </w:p>
    <w:p w14:paraId="794AA6DE" w14:textId="77777777" w:rsidR="002D67E3" w:rsidRDefault="00000000">
      <w:pPr>
        <w:spacing w:line="360" w:lineRule="auto"/>
        <w:jc w:val="both"/>
        <w:rPr>
          <w:rFonts w:ascii="Arial" w:hAnsi="Arial" w:cs="Arial"/>
          <w:sz w:val="24"/>
          <w:szCs w:val="24"/>
        </w:rPr>
      </w:pPr>
      <w:r>
        <w:rPr>
          <w:rFonts w:ascii="Arial" w:hAnsi="Arial" w:cs="Arial"/>
          <w:sz w:val="24"/>
          <w:szCs w:val="24"/>
        </w:rPr>
        <w:t>Both competitors are aiming to improve their market shares within the same segments by increasing their vehicles (Model 3/ Model Y), building out the charging stations or superchargers (Tesla) or increasing their sales (BYD) domestically (within the U.S., for example), expanding into fleets (also to both competitors) and offering new lines of affordable options (general types of product/service offerings that both companies will be offering).</w:t>
      </w:r>
    </w:p>
    <w:p w14:paraId="3FF09B8B"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Product Development: </w:t>
      </w:r>
    </w:p>
    <w:p w14:paraId="0C8BF7F2" w14:textId="77777777" w:rsidR="002D67E3" w:rsidRDefault="00000000">
      <w:pPr>
        <w:spacing w:line="360" w:lineRule="auto"/>
        <w:jc w:val="both"/>
        <w:rPr>
          <w:rFonts w:ascii="Arial" w:hAnsi="Arial" w:cs="Arial"/>
          <w:sz w:val="24"/>
          <w:szCs w:val="24"/>
        </w:rPr>
      </w:pPr>
      <w:r>
        <w:rPr>
          <w:rFonts w:ascii="Arial" w:hAnsi="Arial" w:cs="Arial"/>
          <w:sz w:val="24"/>
          <w:szCs w:val="24"/>
        </w:rPr>
        <w:t xml:space="preserve">Tesla has recently been showing upcoming products in the market, including the </w:t>
      </w:r>
      <w:proofErr w:type="spellStart"/>
      <w:r>
        <w:rPr>
          <w:rFonts w:ascii="Arial" w:hAnsi="Arial" w:cs="Arial"/>
          <w:sz w:val="24"/>
          <w:szCs w:val="24"/>
        </w:rPr>
        <w:t>Cybertruck</w:t>
      </w:r>
      <w:proofErr w:type="spellEnd"/>
      <w:r>
        <w:rPr>
          <w:rFonts w:ascii="Arial" w:hAnsi="Arial" w:cs="Arial"/>
          <w:sz w:val="24"/>
          <w:szCs w:val="24"/>
        </w:rPr>
        <w:t>, Semi and redesigned Roadster models, and developing energy storage products that connect to its software and other systems; BYD has also made upgrades to their models and has introduced new battery technologies (e.g., Blade Battery) to improve cost differentiation.</w:t>
      </w:r>
    </w:p>
    <w:p w14:paraId="70B3A739"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Market Development: </w:t>
      </w:r>
    </w:p>
    <w:p w14:paraId="37232B45" w14:textId="77777777" w:rsidR="002D67E3" w:rsidRDefault="00000000">
      <w:pPr>
        <w:spacing w:line="360" w:lineRule="auto"/>
        <w:jc w:val="both"/>
        <w:rPr>
          <w:rFonts w:ascii="Arial" w:hAnsi="Arial" w:cs="Arial"/>
          <w:sz w:val="24"/>
          <w:szCs w:val="24"/>
        </w:rPr>
      </w:pPr>
      <w:r>
        <w:rPr>
          <w:rFonts w:ascii="Arial" w:hAnsi="Arial" w:cs="Arial"/>
          <w:sz w:val="24"/>
          <w:szCs w:val="24"/>
        </w:rPr>
        <w:t xml:space="preserve">Tesla has opened several new Gigafactories as well as a number of new service </w:t>
      </w:r>
      <w:proofErr w:type="spellStart"/>
      <w:r>
        <w:rPr>
          <w:rFonts w:ascii="Arial" w:hAnsi="Arial" w:cs="Arial"/>
          <w:sz w:val="24"/>
          <w:szCs w:val="24"/>
        </w:rPr>
        <w:t>centers</w:t>
      </w:r>
      <w:proofErr w:type="spellEnd"/>
      <w:r>
        <w:rPr>
          <w:rFonts w:ascii="Arial" w:hAnsi="Arial" w:cs="Arial"/>
          <w:sz w:val="24"/>
          <w:szCs w:val="24"/>
        </w:rPr>
        <w:t xml:space="preserve"> in many new countries; BYD has expanded into new geographic regions </w:t>
      </w:r>
    </w:p>
    <w:p w14:paraId="3A120936" w14:textId="77777777" w:rsidR="002D67E3" w:rsidRDefault="00000000">
      <w:pPr>
        <w:spacing w:line="360" w:lineRule="auto"/>
        <w:jc w:val="both"/>
        <w:rPr>
          <w:rFonts w:ascii="Arial" w:hAnsi="Arial" w:cs="Arial"/>
          <w:sz w:val="24"/>
          <w:szCs w:val="24"/>
        </w:rPr>
      </w:pPr>
      <w:r>
        <w:rPr>
          <w:rFonts w:ascii="Arial" w:hAnsi="Arial" w:cs="Arial"/>
          <w:sz w:val="24"/>
          <w:szCs w:val="24"/>
        </w:rPr>
        <w:t>(Asia, Europe and Latin America), and is developing and modifying their products based on local market requirements.</w:t>
      </w:r>
    </w:p>
    <w:p w14:paraId="60F83E3F"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Diversification: </w:t>
      </w:r>
    </w:p>
    <w:p w14:paraId="2E78EABA" w14:textId="77777777" w:rsidR="002D67E3" w:rsidRDefault="00000000">
      <w:pPr>
        <w:spacing w:line="360" w:lineRule="auto"/>
        <w:jc w:val="both"/>
        <w:rPr>
          <w:rFonts w:ascii="Arial" w:hAnsi="Arial" w:cs="Arial"/>
          <w:sz w:val="24"/>
          <w:szCs w:val="24"/>
        </w:rPr>
      </w:pPr>
      <w:r>
        <w:rPr>
          <w:rFonts w:ascii="Arial" w:hAnsi="Arial" w:cs="Arial"/>
          <w:sz w:val="24"/>
          <w:szCs w:val="24"/>
        </w:rPr>
        <w:t>Tesla's solar panel and battery energy storage products fall under related diversification; BYD is also diversifying into other businesses (buses, commercial vehicles and energy solutions), making use of its existing engender electrification-based products and services (traditional electric vehicle systems) in other areas of the energy/</w:t>
      </w:r>
      <w:proofErr w:type="gramStart"/>
      <w:r>
        <w:rPr>
          <w:rFonts w:ascii="Arial" w:hAnsi="Arial" w:cs="Arial"/>
          <w:sz w:val="24"/>
          <w:szCs w:val="24"/>
        </w:rPr>
        <w:t>electricity based</w:t>
      </w:r>
      <w:proofErr w:type="gramEnd"/>
      <w:r>
        <w:rPr>
          <w:rFonts w:ascii="Arial" w:hAnsi="Arial" w:cs="Arial"/>
          <w:sz w:val="24"/>
          <w:szCs w:val="24"/>
        </w:rPr>
        <w:t xml:space="preserve"> industries.</w:t>
      </w:r>
    </w:p>
    <w:p w14:paraId="65632DE3" w14:textId="77777777" w:rsidR="00453B71" w:rsidRDefault="00453B71">
      <w:pPr>
        <w:spacing w:line="360" w:lineRule="auto"/>
        <w:jc w:val="both"/>
        <w:rPr>
          <w:rFonts w:ascii="Arial" w:hAnsi="Arial" w:cs="Arial"/>
          <w:b/>
          <w:bCs/>
          <w:sz w:val="24"/>
          <w:szCs w:val="24"/>
        </w:rPr>
      </w:pPr>
    </w:p>
    <w:p w14:paraId="1025FF3C" w14:textId="77777777" w:rsidR="00453B71" w:rsidRDefault="00453B71">
      <w:pPr>
        <w:spacing w:line="360" w:lineRule="auto"/>
        <w:jc w:val="both"/>
        <w:rPr>
          <w:rFonts w:ascii="Arial" w:hAnsi="Arial" w:cs="Arial"/>
          <w:b/>
          <w:bCs/>
          <w:sz w:val="24"/>
          <w:szCs w:val="24"/>
        </w:rPr>
      </w:pPr>
    </w:p>
    <w:p w14:paraId="6FD1B45D" w14:textId="41AC758A" w:rsidR="002D67E3" w:rsidRDefault="00000000">
      <w:pPr>
        <w:spacing w:line="360" w:lineRule="auto"/>
        <w:jc w:val="both"/>
        <w:rPr>
          <w:rFonts w:ascii="Arial" w:hAnsi="Arial" w:cs="Arial"/>
          <w:b/>
          <w:bCs/>
          <w:sz w:val="24"/>
          <w:szCs w:val="24"/>
        </w:rPr>
      </w:pPr>
      <w:r>
        <w:rPr>
          <w:rFonts w:ascii="Arial" w:hAnsi="Arial" w:cs="Arial"/>
          <w:b/>
          <w:bCs/>
          <w:sz w:val="24"/>
          <w:szCs w:val="24"/>
        </w:rPr>
        <w:lastRenderedPageBreak/>
        <w:t xml:space="preserve">Comprehensive Strategic Analysis and Financial Implications.  </w:t>
      </w:r>
    </w:p>
    <w:p w14:paraId="5B0148F9" w14:textId="77777777" w:rsidR="002D67E3" w:rsidRDefault="00000000">
      <w:pPr>
        <w:spacing w:line="360" w:lineRule="auto"/>
        <w:jc w:val="both"/>
        <w:rPr>
          <w:rFonts w:ascii="Arial" w:hAnsi="Arial" w:cs="Arial"/>
          <w:b/>
          <w:bCs/>
          <w:sz w:val="24"/>
          <w:szCs w:val="24"/>
        </w:rPr>
      </w:pPr>
      <w:r>
        <w:rPr>
          <w:rFonts w:ascii="Arial" w:hAnsi="Arial" w:cs="Arial"/>
          <w:sz w:val="24"/>
          <w:szCs w:val="24"/>
        </w:rPr>
        <w:t xml:space="preserve">Knowing Tesla's finances is critical. The company is cutting back on R&amp;D and software expenses that maintain its premium advantage; however, those reductions put significant pressure on fixed costs that will need to be offset by high volume sales. While Gigafactories will provide additional capacity and electrical supply, if there's a drop in demand, it will put the company at risk. BYD has a different approach to capital; they have taken a very aggressive approach to investment in battery and component factories, leading to </w:t>
      </w:r>
      <w:proofErr w:type="spellStart"/>
      <w:r>
        <w:rPr>
          <w:rFonts w:ascii="Arial" w:hAnsi="Arial" w:cs="Arial"/>
          <w:sz w:val="24"/>
          <w:szCs w:val="24"/>
        </w:rPr>
        <w:t>increased</w:t>
      </w:r>
      <w:proofErr w:type="spellEnd"/>
      <w:r>
        <w:rPr>
          <w:rFonts w:ascii="Arial" w:hAnsi="Arial" w:cs="Arial"/>
          <w:sz w:val="24"/>
          <w:szCs w:val="24"/>
        </w:rPr>
        <w:t xml:space="preserve"> per-unit manufacturing costs but lower overall manufacturing costs per unit. BYD's aggressive strategy has also helped them reduce the cost of manufacturing through higher economies of scale than their competition; this has enabled them to aggressively market their product. BYD has to balance their capital expenditures with the returns they receive from their exports, as they will incur additional compliance and service costs when exporting. </w:t>
      </w:r>
    </w:p>
    <w:p w14:paraId="5B595597"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Product: </w:t>
      </w:r>
      <w:r>
        <w:rPr>
          <w:rFonts w:ascii="Arial" w:hAnsi="Arial" w:cs="Arial"/>
          <w:sz w:val="24"/>
          <w:szCs w:val="24"/>
        </w:rPr>
        <w:t>Tesla's strategy is to offer high-performance automobiles with a heavy reliance on software, autonomy and energy-service overlays; in contrast, BYD produces a variety of products from low-end to mid-range through commercial buses/trucks, maintaining platform similarities in order to reduce costs</w:t>
      </w:r>
      <w:r>
        <w:rPr>
          <w:rFonts w:ascii="Arial" w:hAnsi="Arial" w:cs="Arial"/>
          <w:sz w:val="24"/>
          <w:szCs w:val="24"/>
          <w:lang w:val="en-US"/>
        </w:rPr>
        <w:t>.</w:t>
      </w:r>
    </w:p>
    <w:p w14:paraId="0D357998"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The objectives of the Implementation </w:t>
      </w:r>
    </w:p>
    <w:p w14:paraId="578679BC" w14:textId="77777777" w:rsidR="002D67E3" w:rsidRDefault="00000000">
      <w:pPr>
        <w:spacing w:line="360" w:lineRule="auto"/>
        <w:jc w:val="both"/>
        <w:rPr>
          <w:rFonts w:ascii="Arial" w:hAnsi="Arial" w:cs="Arial"/>
          <w:b/>
          <w:bCs/>
          <w:sz w:val="24"/>
          <w:szCs w:val="24"/>
        </w:rPr>
      </w:pPr>
      <w:r>
        <w:rPr>
          <w:rFonts w:ascii="Arial" w:hAnsi="Arial" w:cs="Arial"/>
          <w:sz w:val="24"/>
          <w:szCs w:val="24"/>
        </w:rPr>
        <w:t>Roadmap and KPIs are to apply your strategies in actual terms to productivity (e.g., Tesla will measure their return on investment from research and development, their ARPU from software and charging network usage as well as the cost of producing a kilowatt an hour of electricity). Separately, BYD will track its inventory turnover, number of defective batteries, export share and margin on product lines (segment). Both manufacturers have to monitor three sustainability KPIs; carbon intensity per unit for vehicle lifecycle, % recyclable battery material and % renewable energy used to generate power at their respective production facilities.</w:t>
      </w:r>
    </w:p>
    <w:p w14:paraId="5CF90001" w14:textId="77777777" w:rsidR="002D67E3" w:rsidRPr="00453B71" w:rsidRDefault="00000000">
      <w:pPr>
        <w:spacing w:line="360" w:lineRule="auto"/>
        <w:jc w:val="both"/>
        <w:rPr>
          <w:rFonts w:ascii="Arial" w:eastAsia="sans-serif" w:hAnsi="Arial" w:cs="Arial"/>
          <w:b/>
          <w:bCs/>
          <w:color w:val="000000" w:themeColor="text1"/>
          <w:sz w:val="24"/>
          <w:szCs w:val="24"/>
          <w:shd w:val="clear" w:color="auto" w:fill="FFFFFF"/>
        </w:rPr>
      </w:pPr>
      <w:r w:rsidRPr="00453B71">
        <w:rPr>
          <w:rFonts w:ascii="Arial" w:eastAsia="sans-serif" w:hAnsi="Arial" w:cs="Arial"/>
          <w:b/>
          <w:bCs/>
          <w:color w:val="000000" w:themeColor="text1"/>
          <w:sz w:val="24"/>
          <w:szCs w:val="24"/>
          <w:shd w:val="clear" w:color="auto" w:fill="FFFFFF"/>
        </w:rPr>
        <w:t xml:space="preserve">Ethical and Sustainability Issues: </w:t>
      </w:r>
    </w:p>
    <w:p w14:paraId="578216FB" w14:textId="77777777" w:rsidR="002D67E3" w:rsidRDefault="00000000">
      <w:pPr>
        <w:spacing w:line="360" w:lineRule="auto"/>
        <w:jc w:val="both"/>
        <w:rPr>
          <w:rFonts w:ascii="Arial" w:hAnsi="Arial"/>
          <w:sz w:val="24"/>
          <w:szCs w:val="24"/>
        </w:rPr>
      </w:pPr>
      <w:r>
        <w:rPr>
          <w:rFonts w:ascii="Arial" w:hAnsi="Arial"/>
          <w:sz w:val="24"/>
          <w:szCs w:val="24"/>
        </w:rPr>
        <w:t xml:space="preserve">The operations of companies require them to implement ethical business practices and sustainable environmental practices because these practices create better outcomes than the single goal of increasing profits through cost-saving measures and environmentally sustainable product development. Ethical practices include such </w:t>
      </w:r>
      <w:r>
        <w:rPr>
          <w:rFonts w:ascii="Arial" w:hAnsi="Arial"/>
          <w:sz w:val="24"/>
          <w:szCs w:val="24"/>
        </w:rPr>
        <w:lastRenderedPageBreak/>
        <w:t xml:space="preserve">things as sourcing minerals used in the manufacture of electric batteries, ensuring that workers in battery plants are treated fairly, and developing processes to recycle batteries when their useful life has ended while avoiding </w:t>
      </w:r>
      <w:proofErr w:type="spellStart"/>
      <w:r>
        <w:rPr>
          <w:rFonts w:ascii="Arial" w:hAnsi="Arial"/>
          <w:sz w:val="24"/>
          <w:szCs w:val="24"/>
        </w:rPr>
        <w:t>labor</w:t>
      </w:r>
      <w:proofErr w:type="spellEnd"/>
      <w:r>
        <w:rPr>
          <w:rFonts w:ascii="Arial" w:hAnsi="Arial"/>
          <w:sz w:val="24"/>
          <w:szCs w:val="24"/>
        </w:rPr>
        <w:t xml:space="preserve"> exploitation. The reputational and regulatory risks faced by Tesla and BYD will decrease if the companies continue their work to complete and share their findings from life-cycle assessments and supply chain audits and community impact studies. Organizations must establish partnerships and maintain effective communication with international standards and guidelines which include TCFD guidelines and emerging circular economy frameworks to achieve their ethical and sustainable operational goals. Companies can achieve effective customer segmentation by developing detailed customer segments which enable them to identify their target market personal.</w:t>
      </w:r>
    </w:p>
    <w:p w14:paraId="34B87540"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 xml:space="preserve">For example, </w:t>
      </w:r>
      <w:r>
        <w:rPr>
          <w:rFonts w:ascii="Arial" w:hAnsi="Arial" w:cs="Arial"/>
          <w:sz w:val="24"/>
          <w:szCs w:val="24"/>
        </w:rPr>
        <w:t>Tesla targets high-end urban professionals, early adopters of technology, and fleet owners who tend to purchase high-performance energy products. Meanwhile, BYD has identified low-income personal customers, city bus and taxi operators, and large corporate fleets (those pursuing a total cost of ownership strategy) as target segments for their products. Companies may wish to create individualized propositions (e.g., funding arrangements, software subscriptions, bundled energy offerings) to provide customers with a more compelling reason to stay with them and increase revenue per customer.</w:t>
      </w:r>
    </w:p>
    <w:p w14:paraId="2376D877" w14:textId="77777777" w:rsidR="002D67E3" w:rsidRDefault="00000000">
      <w:pPr>
        <w:spacing w:line="360" w:lineRule="auto"/>
        <w:jc w:val="both"/>
        <w:rPr>
          <w:rFonts w:ascii="Arial" w:hAnsi="Arial" w:cs="Arial"/>
          <w:sz w:val="24"/>
          <w:szCs w:val="24"/>
        </w:rPr>
      </w:pPr>
      <w:r>
        <w:rPr>
          <w:rFonts w:ascii="Arial" w:hAnsi="Arial" w:cs="Arial"/>
          <w:b/>
          <w:bCs/>
          <w:sz w:val="24"/>
          <w:szCs w:val="24"/>
        </w:rPr>
        <w:t xml:space="preserve">Alliance and Ecosystem Building: </w:t>
      </w:r>
      <w:r>
        <w:rPr>
          <w:rFonts w:ascii="Arial" w:hAnsi="Arial" w:cs="Arial"/>
          <w:sz w:val="24"/>
          <w:szCs w:val="24"/>
        </w:rPr>
        <w:t>Strategic partnerships can be advantageous for both organizations. The efforts of Tesla with their utility partners, charge-point providers, and software companies will help to build V2G &amp; residential energy consumption capabilities. Additionally, BYD's partnerships with city transit agencies will speed up implementation of bus fleets. Through collaboration with educational</w:t>
      </w:r>
      <w:r>
        <w:rPr>
          <w:rFonts w:ascii="Arial" w:hAnsi="Arial" w:cs="Arial"/>
          <w:sz w:val="24"/>
          <w:szCs w:val="24"/>
          <w:lang w:val="en-US"/>
        </w:rPr>
        <w:t xml:space="preserve"> </w:t>
      </w:r>
      <w:r>
        <w:rPr>
          <w:rFonts w:ascii="Arial" w:hAnsi="Arial" w:cs="Arial"/>
          <w:sz w:val="24"/>
          <w:szCs w:val="24"/>
        </w:rPr>
        <w:t>institutions and logistics pilots, product modifications &amp; market acceptance can be facilitated.</w:t>
      </w:r>
    </w:p>
    <w:p w14:paraId="215B1A42" w14:textId="77777777" w:rsidR="002D67E3" w:rsidRDefault="00000000">
      <w:pPr>
        <w:spacing w:line="360" w:lineRule="auto"/>
        <w:jc w:val="both"/>
        <w:rPr>
          <w:rFonts w:ascii="Arial" w:eastAsia="sans-serif" w:hAnsi="Arial" w:cs="Arial"/>
          <w:b/>
          <w:bCs/>
          <w:sz w:val="24"/>
          <w:szCs w:val="24"/>
          <w:shd w:val="clear" w:color="auto" w:fill="FFFFFF"/>
        </w:rPr>
      </w:pPr>
      <w:r>
        <w:rPr>
          <w:rFonts w:ascii="Arial" w:hAnsi="Arial" w:cs="Arial"/>
          <w:b/>
          <w:bCs/>
          <w:sz w:val="24"/>
          <w:szCs w:val="24"/>
        </w:rPr>
        <w:t xml:space="preserve">Risk Management and Regulatory Engagement: </w:t>
      </w:r>
      <w:r>
        <w:rPr>
          <w:rFonts w:ascii="Arial" w:eastAsia="sans-serif" w:hAnsi="Arial" w:cs="Arial"/>
          <w:sz w:val="24"/>
          <w:szCs w:val="24"/>
          <w:shd w:val="clear" w:color="auto" w:fill="FFFFFF"/>
        </w:rPr>
        <w:t>Regulatory Engagement &amp; Risk Management: Maintaining contact with policymakers and organizations within one’s industry is a smart practice. Tesla must do more to communicate the safety</w:t>
      </w:r>
      <w:r>
        <w:rPr>
          <w:rFonts w:ascii="Arial" w:eastAsia="sans-serif" w:hAnsi="Arial" w:cs="Arial"/>
          <w:sz w:val="24"/>
          <w:szCs w:val="24"/>
          <w:shd w:val="clear" w:color="auto" w:fill="FFFFFF"/>
          <w:lang w:val="en-US"/>
        </w:rPr>
        <w:t xml:space="preserve"> </w:t>
      </w:r>
      <w:r>
        <w:rPr>
          <w:rFonts w:ascii="Arial" w:eastAsia="sans-serif" w:hAnsi="Arial" w:cs="Arial"/>
          <w:sz w:val="24"/>
          <w:szCs w:val="24"/>
          <w:shd w:val="clear" w:color="auto" w:fill="FFFFFF"/>
        </w:rPr>
        <w:t xml:space="preserve">measures for self-driving technologies and how it adheres to those measures to provide regulators assurance that they are not cheating by making claims about these technologies. BYD must also overcome the homologation, emissions testing, and </w:t>
      </w:r>
      <w:r>
        <w:rPr>
          <w:rFonts w:ascii="Arial" w:eastAsia="sans-serif" w:hAnsi="Arial" w:cs="Arial"/>
          <w:sz w:val="24"/>
          <w:szCs w:val="24"/>
          <w:shd w:val="clear" w:color="auto" w:fill="FFFFFF"/>
        </w:rPr>
        <w:lastRenderedPageBreak/>
        <w:t>cyber-security regulation barriers of connected cars in major export markets by creating and establishing compliance departments within these markets.</w:t>
      </w:r>
    </w:p>
    <w:p w14:paraId="3F0B2553" w14:textId="4A0F77C1" w:rsidR="002D67E3" w:rsidRDefault="00000000">
      <w:pPr>
        <w:spacing w:line="360" w:lineRule="auto"/>
        <w:jc w:val="both"/>
        <w:rPr>
          <w:rFonts w:ascii="Arial" w:eastAsia="sans-serif" w:hAnsi="Arial" w:cs="Arial"/>
          <w:b/>
          <w:bCs/>
          <w:sz w:val="24"/>
          <w:szCs w:val="24"/>
          <w:shd w:val="clear" w:color="auto" w:fill="FFFFFF"/>
        </w:rPr>
      </w:pPr>
      <w:r>
        <w:rPr>
          <w:rFonts w:ascii="Arial" w:eastAsia="sans-serif" w:hAnsi="Arial" w:cs="Arial"/>
          <w:b/>
          <w:bCs/>
          <w:sz w:val="24"/>
          <w:szCs w:val="24"/>
          <w:shd w:val="clear" w:color="auto" w:fill="FFFFFF"/>
          <w:lang w:val="en-US"/>
        </w:rPr>
        <w:t>Conclusion</w:t>
      </w:r>
      <w:r>
        <w:rPr>
          <w:rFonts w:ascii="Arial" w:eastAsia="sans-serif" w:hAnsi="Arial" w:cs="Arial"/>
          <w:b/>
          <w:bCs/>
          <w:sz w:val="24"/>
          <w:szCs w:val="24"/>
          <w:shd w:val="clear" w:color="auto" w:fill="FFFFFF"/>
        </w:rPr>
        <w:t>:</w:t>
      </w:r>
    </w:p>
    <w:p w14:paraId="29A3C8B4" w14:textId="77777777" w:rsidR="002D67E3" w:rsidRDefault="00000000">
      <w:pPr>
        <w:spacing w:line="360" w:lineRule="auto"/>
        <w:jc w:val="both"/>
        <w:rPr>
          <w:rFonts w:ascii="Arial" w:eastAsia="sans-serif" w:hAnsi="Arial" w:cs="Arial"/>
          <w:sz w:val="24"/>
          <w:szCs w:val="24"/>
          <w:shd w:val="clear" w:color="auto" w:fill="FFFFFF"/>
        </w:rPr>
      </w:pPr>
      <w:r>
        <w:rPr>
          <w:rFonts w:ascii="Arial" w:eastAsia="sans-serif" w:hAnsi="Arial" w:cs="Arial"/>
          <w:sz w:val="24"/>
          <w:szCs w:val="24"/>
          <w:shd w:val="clear" w:color="auto" w:fill="FFFFFF"/>
        </w:rPr>
        <w:t>Technological innovation and government regulation function as macro-environmental factors which shape the competitive landscape of the EV market. The strategies adopted by both BYD and Tesla highlight this aspect of competition in the industry. The Tesla differentiation strategy lets the company dominate premium market segments yet creates higher risk exposure for the business while BYD selected a cost leadership approach which enables the company to expand production capacity while succeeding in budget-conscious electric vehicle markets.</w:t>
      </w:r>
      <w:r>
        <w:rPr>
          <w:rFonts w:ascii="Arial" w:eastAsia="sans-serif" w:hAnsi="Arial" w:cs="Arial"/>
          <w:sz w:val="24"/>
          <w:szCs w:val="24"/>
          <w:shd w:val="clear" w:color="auto" w:fill="FFFFFF"/>
          <w:lang w:val="en-US"/>
        </w:rPr>
        <w:t xml:space="preserve"> </w:t>
      </w:r>
      <w:r>
        <w:rPr>
          <w:rFonts w:ascii="Arial" w:eastAsia="sans-serif" w:hAnsi="Arial" w:cs="Arial"/>
          <w:sz w:val="24"/>
          <w:szCs w:val="24"/>
          <w:shd w:val="clear" w:color="auto" w:fill="FFFFFF"/>
        </w:rPr>
        <w:t>Tesla leads the field of technological innovation but BYD will establish better long-term market power through its capacity to scale operations than Tesla will achieve.</w:t>
      </w:r>
    </w:p>
    <w:p w14:paraId="0B577C48" w14:textId="77777777" w:rsidR="002D67E3" w:rsidRDefault="002D67E3">
      <w:pPr>
        <w:spacing w:line="360" w:lineRule="auto"/>
        <w:jc w:val="both"/>
        <w:rPr>
          <w:rFonts w:ascii="Arial" w:eastAsia="sans-serif" w:hAnsi="Arial" w:cs="Arial"/>
          <w:sz w:val="24"/>
          <w:szCs w:val="24"/>
          <w:shd w:val="clear" w:color="auto" w:fill="FFFFFF"/>
        </w:rPr>
      </w:pPr>
    </w:p>
    <w:p w14:paraId="3647964C" w14:textId="77777777" w:rsidR="002D67E3" w:rsidRDefault="00000000">
      <w:pPr>
        <w:spacing w:line="360" w:lineRule="auto"/>
        <w:jc w:val="both"/>
        <w:rPr>
          <w:rFonts w:ascii="Arial" w:hAnsi="Arial" w:cs="Arial"/>
          <w:b/>
          <w:bCs/>
          <w:sz w:val="24"/>
          <w:szCs w:val="24"/>
        </w:rPr>
      </w:pPr>
      <w:r>
        <w:rPr>
          <w:rFonts w:ascii="Arial" w:hAnsi="Arial" w:cs="Arial"/>
          <w:b/>
          <w:bCs/>
          <w:sz w:val="24"/>
          <w:szCs w:val="24"/>
        </w:rPr>
        <w:t>References</w:t>
      </w:r>
    </w:p>
    <w:p w14:paraId="735DA7AA"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International Energy Agency (2025) </w:t>
      </w:r>
      <w:r>
        <w:rPr>
          <w:rFonts w:ascii="Arial" w:hAnsi="Arial" w:cs="Arial"/>
          <w:i/>
          <w:iCs/>
          <w:sz w:val="24"/>
          <w:szCs w:val="24"/>
        </w:rPr>
        <w:t>Global EV Outlook 2025</w:t>
      </w:r>
      <w:r>
        <w:rPr>
          <w:rFonts w:ascii="Arial" w:hAnsi="Arial" w:cs="Arial"/>
          <w:sz w:val="24"/>
          <w:szCs w:val="24"/>
        </w:rPr>
        <w:t xml:space="preserve">. Paris: IEA. Available at: </w:t>
      </w:r>
      <w:hyperlink r:id="rId8" w:tgtFrame="_new" w:history="1">
        <w:r>
          <w:rPr>
            <w:rStyle w:val="Hyperlink"/>
            <w:rFonts w:ascii="Arial" w:hAnsi="Arial" w:cs="Arial"/>
            <w:sz w:val="24"/>
            <w:szCs w:val="24"/>
          </w:rPr>
          <w:t>https://www.iea.org</w:t>
        </w:r>
      </w:hyperlink>
      <w:r>
        <w:rPr>
          <w:rFonts w:ascii="Arial" w:hAnsi="Arial" w:cs="Arial"/>
          <w:sz w:val="24"/>
          <w:szCs w:val="24"/>
        </w:rPr>
        <w:t xml:space="preserve"> (Accessed: 24 March 2026). </w:t>
      </w:r>
    </w:p>
    <w:p w14:paraId="6AF61E97"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International Energy Agency (2024) </w:t>
      </w:r>
      <w:r>
        <w:rPr>
          <w:rFonts w:ascii="Arial" w:hAnsi="Arial" w:cs="Arial"/>
          <w:i/>
          <w:iCs/>
          <w:sz w:val="24"/>
          <w:szCs w:val="24"/>
        </w:rPr>
        <w:t>Global EV Outlook 2024</w:t>
      </w:r>
      <w:r>
        <w:rPr>
          <w:rFonts w:ascii="Arial" w:hAnsi="Arial" w:cs="Arial"/>
          <w:sz w:val="24"/>
          <w:szCs w:val="24"/>
        </w:rPr>
        <w:t xml:space="preserve">. Paris: IEA. </w:t>
      </w:r>
    </w:p>
    <w:p w14:paraId="7F006E2E"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Tesla Inc. (2025) </w:t>
      </w:r>
      <w:r>
        <w:rPr>
          <w:rFonts w:ascii="Arial" w:hAnsi="Arial" w:cs="Arial"/>
          <w:i/>
          <w:iCs/>
          <w:sz w:val="24"/>
          <w:szCs w:val="24"/>
        </w:rPr>
        <w:t>Annual Report 2024 (Form 10-K)</w:t>
      </w:r>
      <w:r>
        <w:rPr>
          <w:rFonts w:ascii="Arial" w:hAnsi="Arial" w:cs="Arial"/>
          <w:sz w:val="24"/>
          <w:szCs w:val="24"/>
        </w:rPr>
        <w:t xml:space="preserve">. Available at: </w:t>
      </w:r>
      <w:hyperlink r:id="rId9" w:tgtFrame="_new" w:history="1">
        <w:r>
          <w:rPr>
            <w:rStyle w:val="Hyperlink"/>
            <w:rFonts w:ascii="Arial" w:hAnsi="Arial" w:cs="Arial"/>
            <w:sz w:val="24"/>
            <w:szCs w:val="24"/>
          </w:rPr>
          <w:t>https://www.tesla.com</w:t>
        </w:r>
      </w:hyperlink>
      <w:r>
        <w:rPr>
          <w:rFonts w:ascii="Arial" w:hAnsi="Arial" w:cs="Arial"/>
          <w:sz w:val="24"/>
          <w:szCs w:val="24"/>
        </w:rPr>
        <w:t xml:space="preserve"> (Accessed: 24 March 2026). </w:t>
      </w:r>
    </w:p>
    <w:p w14:paraId="4E8FC722"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BYD Company Ltd. (2024) </w:t>
      </w:r>
      <w:r>
        <w:rPr>
          <w:rFonts w:ascii="Arial" w:hAnsi="Arial" w:cs="Arial"/>
          <w:i/>
          <w:iCs/>
          <w:sz w:val="24"/>
          <w:szCs w:val="24"/>
        </w:rPr>
        <w:t>Annual Report 2023</w:t>
      </w:r>
      <w:r>
        <w:rPr>
          <w:rFonts w:ascii="Arial" w:hAnsi="Arial" w:cs="Arial"/>
          <w:sz w:val="24"/>
          <w:szCs w:val="24"/>
        </w:rPr>
        <w:t xml:space="preserve">. Shenzhen: BYD. </w:t>
      </w:r>
    </w:p>
    <w:p w14:paraId="7CD736E5"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Statista (2025) </w:t>
      </w:r>
      <w:r>
        <w:rPr>
          <w:rFonts w:ascii="Arial" w:hAnsi="Arial" w:cs="Arial"/>
          <w:i/>
          <w:iCs/>
          <w:sz w:val="24"/>
          <w:szCs w:val="24"/>
        </w:rPr>
        <w:t>Electric Vehicles Market Statistics Worldwide</w:t>
      </w:r>
      <w:r>
        <w:rPr>
          <w:rFonts w:ascii="Arial" w:hAnsi="Arial" w:cs="Arial"/>
          <w:sz w:val="24"/>
          <w:szCs w:val="24"/>
        </w:rPr>
        <w:t xml:space="preserve">. Available at: </w:t>
      </w:r>
      <w:hyperlink r:id="rId10" w:tgtFrame="_new" w:history="1">
        <w:r>
          <w:rPr>
            <w:rStyle w:val="Hyperlink"/>
            <w:rFonts w:ascii="Arial" w:hAnsi="Arial" w:cs="Arial"/>
            <w:sz w:val="24"/>
            <w:szCs w:val="24"/>
          </w:rPr>
          <w:t>https://www.statista.com</w:t>
        </w:r>
      </w:hyperlink>
      <w:r>
        <w:rPr>
          <w:rFonts w:ascii="Arial" w:hAnsi="Arial" w:cs="Arial"/>
          <w:sz w:val="24"/>
          <w:szCs w:val="24"/>
        </w:rPr>
        <w:t xml:space="preserve"> (Accessed: 24 March 2026). </w:t>
      </w:r>
    </w:p>
    <w:p w14:paraId="6761DD55"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McKinsey &amp; Company (2023) </w:t>
      </w:r>
      <w:r>
        <w:rPr>
          <w:rFonts w:ascii="Arial" w:hAnsi="Arial" w:cs="Arial"/>
          <w:i/>
          <w:iCs/>
          <w:sz w:val="24"/>
          <w:szCs w:val="24"/>
        </w:rPr>
        <w:t>The Future of Mobility: Electric Vehicles and Sustainability Trends</w:t>
      </w:r>
      <w:r>
        <w:rPr>
          <w:rFonts w:ascii="Arial" w:hAnsi="Arial" w:cs="Arial"/>
          <w:sz w:val="24"/>
          <w:szCs w:val="24"/>
        </w:rPr>
        <w:t xml:space="preserve">. Available at: </w:t>
      </w:r>
      <w:hyperlink r:id="rId11" w:tgtFrame="_new" w:history="1">
        <w:r>
          <w:rPr>
            <w:rStyle w:val="Hyperlink"/>
            <w:rFonts w:ascii="Arial" w:hAnsi="Arial" w:cs="Arial"/>
            <w:sz w:val="24"/>
            <w:szCs w:val="24"/>
          </w:rPr>
          <w:t>https://www.mckinsey.com</w:t>
        </w:r>
      </w:hyperlink>
      <w:r>
        <w:rPr>
          <w:rFonts w:ascii="Arial" w:hAnsi="Arial" w:cs="Arial"/>
          <w:sz w:val="24"/>
          <w:szCs w:val="24"/>
        </w:rPr>
        <w:t xml:space="preserve"> </w:t>
      </w:r>
    </w:p>
    <w:p w14:paraId="307506AF"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Deloitte (2024) </w:t>
      </w:r>
      <w:r>
        <w:rPr>
          <w:rFonts w:ascii="Arial" w:hAnsi="Arial" w:cs="Arial"/>
          <w:i/>
          <w:iCs/>
          <w:sz w:val="24"/>
          <w:szCs w:val="24"/>
        </w:rPr>
        <w:t>Global Automotive Consumer Study 2024</w:t>
      </w:r>
      <w:r>
        <w:rPr>
          <w:rFonts w:ascii="Arial" w:hAnsi="Arial" w:cs="Arial"/>
          <w:sz w:val="24"/>
          <w:szCs w:val="24"/>
        </w:rPr>
        <w:t xml:space="preserve">. Available at: </w:t>
      </w:r>
      <w:hyperlink r:id="rId12" w:tgtFrame="_new" w:history="1">
        <w:r>
          <w:rPr>
            <w:rStyle w:val="Hyperlink"/>
            <w:rFonts w:ascii="Arial" w:hAnsi="Arial" w:cs="Arial"/>
            <w:sz w:val="24"/>
            <w:szCs w:val="24"/>
          </w:rPr>
          <w:t>https://www.deloitte.com</w:t>
        </w:r>
      </w:hyperlink>
      <w:r>
        <w:rPr>
          <w:rFonts w:ascii="Arial" w:hAnsi="Arial" w:cs="Arial"/>
          <w:sz w:val="24"/>
          <w:szCs w:val="24"/>
        </w:rPr>
        <w:t xml:space="preserve"> </w:t>
      </w:r>
    </w:p>
    <w:p w14:paraId="148E2445" w14:textId="77777777" w:rsidR="002D67E3" w:rsidRDefault="00000000">
      <w:pPr>
        <w:pStyle w:val="ListParagraph"/>
        <w:numPr>
          <w:ilvl w:val="0"/>
          <w:numId w:val="1"/>
        </w:numPr>
        <w:spacing w:line="360" w:lineRule="auto"/>
        <w:jc w:val="both"/>
        <w:rPr>
          <w:rFonts w:ascii="Arial" w:hAnsi="Arial" w:cs="Arial"/>
          <w:sz w:val="24"/>
          <w:szCs w:val="24"/>
        </w:rPr>
      </w:pPr>
      <w:proofErr w:type="spellStart"/>
      <w:r>
        <w:rPr>
          <w:rFonts w:ascii="Arial" w:hAnsi="Arial" w:cs="Arial"/>
          <w:sz w:val="24"/>
          <w:szCs w:val="24"/>
        </w:rPr>
        <w:t>BloombergNEF</w:t>
      </w:r>
      <w:proofErr w:type="spellEnd"/>
      <w:r>
        <w:rPr>
          <w:rFonts w:ascii="Arial" w:hAnsi="Arial" w:cs="Arial"/>
          <w:sz w:val="24"/>
          <w:szCs w:val="24"/>
        </w:rPr>
        <w:t xml:space="preserve"> (2024) </w:t>
      </w:r>
      <w:r>
        <w:rPr>
          <w:rFonts w:ascii="Arial" w:hAnsi="Arial" w:cs="Arial"/>
          <w:i/>
          <w:iCs/>
          <w:sz w:val="24"/>
          <w:szCs w:val="24"/>
        </w:rPr>
        <w:t>Electric Vehicle Outlook 2024</w:t>
      </w:r>
      <w:r>
        <w:rPr>
          <w:rFonts w:ascii="Arial" w:hAnsi="Arial" w:cs="Arial"/>
          <w:sz w:val="24"/>
          <w:szCs w:val="24"/>
        </w:rPr>
        <w:t xml:space="preserve">. Available at: </w:t>
      </w:r>
      <w:hyperlink r:id="rId13" w:tgtFrame="_new" w:history="1">
        <w:r>
          <w:rPr>
            <w:rStyle w:val="Hyperlink"/>
            <w:rFonts w:ascii="Arial" w:hAnsi="Arial" w:cs="Arial"/>
            <w:sz w:val="24"/>
            <w:szCs w:val="24"/>
          </w:rPr>
          <w:t>https://about.bnef.com</w:t>
        </w:r>
      </w:hyperlink>
      <w:r>
        <w:rPr>
          <w:rFonts w:ascii="Arial" w:hAnsi="Arial" w:cs="Arial"/>
          <w:sz w:val="24"/>
          <w:szCs w:val="24"/>
        </w:rPr>
        <w:t xml:space="preserve"> </w:t>
      </w:r>
    </w:p>
    <w:p w14:paraId="2C12237D" w14:textId="77777777" w:rsidR="002D67E3" w:rsidRDefault="0000000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Journal of Cleaner Production – Wang, H., Zhang, Y. &amp; Li, X. (2023) ‘Technological innovation and sustainability in electric vehicles’, </w:t>
      </w:r>
      <w:r>
        <w:rPr>
          <w:rFonts w:ascii="Arial" w:hAnsi="Arial" w:cs="Arial"/>
          <w:i/>
          <w:iCs/>
          <w:sz w:val="24"/>
          <w:szCs w:val="24"/>
        </w:rPr>
        <w:t>Journal of Cleaner Production</w:t>
      </w:r>
      <w:r>
        <w:rPr>
          <w:rFonts w:ascii="Arial" w:hAnsi="Arial" w:cs="Arial"/>
          <w:sz w:val="24"/>
          <w:szCs w:val="24"/>
        </w:rPr>
        <w:t>, 385, pp. 1–12.</w:t>
      </w:r>
    </w:p>
    <w:sectPr w:rsidR="002D67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F3A0D" w14:textId="77777777" w:rsidR="008769D4" w:rsidRDefault="008769D4">
      <w:pPr>
        <w:spacing w:line="240" w:lineRule="auto"/>
      </w:pPr>
      <w:r>
        <w:separator/>
      </w:r>
    </w:p>
  </w:endnote>
  <w:endnote w:type="continuationSeparator" w:id="0">
    <w:p w14:paraId="23F472A3" w14:textId="77777777" w:rsidR="008769D4" w:rsidRDefault="008769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sans-serif">
    <w:altName w:val="Segoe Print"/>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D7E25" w14:textId="77777777" w:rsidR="008769D4" w:rsidRDefault="008769D4">
      <w:pPr>
        <w:spacing w:after="0"/>
      </w:pPr>
      <w:r>
        <w:separator/>
      </w:r>
    </w:p>
  </w:footnote>
  <w:footnote w:type="continuationSeparator" w:id="0">
    <w:p w14:paraId="38A24B62" w14:textId="77777777" w:rsidR="008769D4" w:rsidRDefault="008769D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55F80"/>
    <w:multiLevelType w:val="multilevel"/>
    <w:tmpl w:val="0D855F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3862CA7"/>
    <w:multiLevelType w:val="hybridMultilevel"/>
    <w:tmpl w:val="779029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18D542F"/>
    <w:multiLevelType w:val="hybridMultilevel"/>
    <w:tmpl w:val="97D082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C7E0815"/>
    <w:multiLevelType w:val="multilevel"/>
    <w:tmpl w:val="5C7E08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B6F58F8"/>
    <w:multiLevelType w:val="hybridMultilevel"/>
    <w:tmpl w:val="C84C9F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BFE4BBF"/>
    <w:multiLevelType w:val="multilevel"/>
    <w:tmpl w:val="6BFE4BB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50235269">
    <w:abstractNumId w:val="3"/>
  </w:num>
  <w:num w:numId="2" w16cid:durableId="549151057">
    <w:abstractNumId w:val="5"/>
  </w:num>
  <w:num w:numId="3" w16cid:durableId="2124490847">
    <w:abstractNumId w:val="0"/>
  </w:num>
  <w:num w:numId="4" w16cid:durableId="419983240">
    <w:abstractNumId w:val="1"/>
  </w:num>
  <w:num w:numId="5" w16cid:durableId="2050834034">
    <w:abstractNumId w:val="2"/>
  </w:num>
  <w:num w:numId="6" w16cid:durableId="6644340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19"/>
    <w:rsid w:val="000B61FC"/>
    <w:rsid w:val="00187CC0"/>
    <w:rsid w:val="001D46F1"/>
    <w:rsid w:val="001E6FAD"/>
    <w:rsid w:val="001F257B"/>
    <w:rsid w:val="001F3B7D"/>
    <w:rsid w:val="002D67E3"/>
    <w:rsid w:val="002F058C"/>
    <w:rsid w:val="003E28D7"/>
    <w:rsid w:val="003F1807"/>
    <w:rsid w:val="00453B71"/>
    <w:rsid w:val="00482FB6"/>
    <w:rsid w:val="0050030A"/>
    <w:rsid w:val="00500368"/>
    <w:rsid w:val="00520392"/>
    <w:rsid w:val="005B4451"/>
    <w:rsid w:val="00606B89"/>
    <w:rsid w:val="0065129C"/>
    <w:rsid w:val="00723DAE"/>
    <w:rsid w:val="0077285F"/>
    <w:rsid w:val="00776652"/>
    <w:rsid w:val="007B453B"/>
    <w:rsid w:val="00822917"/>
    <w:rsid w:val="00844B7B"/>
    <w:rsid w:val="008769D4"/>
    <w:rsid w:val="0087711E"/>
    <w:rsid w:val="008C5D34"/>
    <w:rsid w:val="00936A19"/>
    <w:rsid w:val="009964F3"/>
    <w:rsid w:val="00A17D6D"/>
    <w:rsid w:val="00A451C0"/>
    <w:rsid w:val="00A50042"/>
    <w:rsid w:val="00A81156"/>
    <w:rsid w:val="00B33BC8"/>
    <w:rsid w:val="00B45EC0"/>
    <w:rsid w:val="00B45ED6"/>
    <w:rsid w:val="00BD6BDD"/>
    <w:rsid w:val="00C0176C"/>
    <w:rsid w:val="00C01DBA"/>
    <w:rsid w:val="00CA5BA8"/>
    <w:rsid w:val="00CB1FFC"/>
    <w:rsid w:val="00DA4553"/>
    <w:rsid w:val="00E61C3F"/>
    <w:rsid w:val="00F064DB"/>
    <w:rsid w:val="00F25369"/>
    <w:rsid w:val="00F822E7"/>
    <w:rsid w:val="00FB0A7A"/>
    <w:rsid w:val="00FC1A7D"/>
    <w:rsid w:val="00FE4E19"/>
    <w:rsid w:val="22412F25"/>
    <w:rsid w:val="22D62602"/>
    <w:rsid w:val="4B901606"/>
    <w:rsid w:val="5DDC2115"/>
    <w:rsid w:val="6D6B029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0089"/>
  <w15:docId w15:val="{FBF68FA6-151C-44DF-9CCA-5DC49FC74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B71"/>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UnresolvedMention2">
    <w:name w:val="Unresolved Mention2"/>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ea.org" TargetMode="External"/><Relationship Id="rId13" Type="http://schemas.openxmlformats.org/officeDocument/2006/relationships/hyperlink" Target="https://about.bnef.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eloitt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tista.com" TargetMode="External"/><Relationship Id="rId4" Type="http://schemas.openxmlformats.org/officeDocument/2006/relationships/webSettings" Target="webSettings.xml"/><Relationship Id="rId9" Type="http://schemas.openxmlformats.org/officeDocument/2006/relationships/hyperlink" Target="https://www.tesla.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2943</Words>
  <Characters>16776</Characters>
  <Application>Microsoft Office Word</Application>
  <DocSecurity>0</DocSecurity>
  <Lines>139</Lines>
  <Paragraphs>39</Paragraphs>
  <ScaleCrop>false</ScaleCrop>
  <Company/>
  <LinksUpToDate>false</LinksUpToDate>
  <CharactersWithSpaces>19680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SHLOK CHOUDHARY</dc:creator>
  <cp:lastModifiedBy>SHLOK CHOUDHARY</cp:lastModifiedBy>
  <cp:revision>2</cp:revision>
  <dcterms:created xsi:type="dcterms:W3CDTF">2026-03-25T10:54:00Z</dcterms:created>
  <dcterms:modified xsi:type="dcterms:W3CDTF">2026-03-25T10:54:00Z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9F6C9CFDC9124B17B61A1A025A07285E_12</vt:lpwstr>
  </property>
</Properties>
</file>