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B4751" w14:textId="796CA00C" w:rsidR="00171CE4" w:rsidRPr="000307BB" w:rsidRDefault="00171CE4" w:rsidP="000307BB">
      <w:pPr>
        <w:pStyle w:val="Title"/>
        <w:jc w:val="center"/>
        <w:rPr>
          <w:sz w:val="40"/>
          <w:szCs w:val="40"/>
        </w:rPr>
      </w:pPr>
      <w:r w:rsidRPr="000307BB">
        <w:rPr>
          <w:sz w:val="40"/>
          <w:szCs w:val="40"/>
        </w:rPr>
        <w:t xml:space="preserve">You will </w:t>
      </w:r>
      <w:proofErr w:type="gramStart"/>
      <w:r w:rsidRPr="000307BB">
        <w:rPr>
          <w:sz w:val="40"/>
          <w:szCs w:val="40"/>
        </w:rPr>
        <w:t>compare and contrast</w:t>
      </w:r>
      <w:proofErr w:type="gramEnd"/>
      <w:r w:rsidRPr="000307BB">
        <w:rPr>
          <w:sz w:val="40"/>
          <w:szCs w:val="40"/>
        </w:rPr>
        <w:t xml:space="preserve"> the methodologies used in TWO research papers and discuss the position of the researchers in relation to their fields of research.</w:t>
      </w:r>
    </w:p>
    <w:p w14:paraId="15741AC4" w14:textId="52F2B17A" w:rsidR="00171CE4" w:rsidRPr="000307BB" w:rsidRDefault="00171CE4" w:rsidP="00B75708">
      <w:pPr>
        <w:rPr>
          <w:rFonts w:cstheme="minorHAnsi"/>
          <w:sz w:val="24"/>
          <w:szCs w:val="24"/>
        </w:rPr>
      </w:pPr>
    </w:p>
    <w:p w14:paraId="25CF4560" w14:textId="25C2FE90" w:rsidR="00B75708" w:rsidRPr="000307BB" w:rsidRDefault="00B75708" w:rsidP="000307BB">
      <w:pPr>
        <w:pStyle w:val="Heading1"/>
      </w:pPr>
      <w:r w:rsidRPr="000307BB">
        <w:t>Introduction</w:t>
      </w:r>
    </w:p>
    <w:p w14:paraId="5BF4B5D7" w14:textId="019F0623" w:rsidR="00B635F9" w:rsidRPr="000307BB" w:rsidRDefault="00171CE4" w:rsidP="000307BB">
      <w:pPr>
        <w:rPr>
          <w:rFonts w:cstheme="minorHAnsi"/>
          <w:sz w:val="24"/>
          <w:szCs w:val="24"/>
        </w:rPr>
      </w:pPr>
      <w:r w:rsidRPr="000307BB">
        <w:rPr>
          <w:rFonts w:cstheme="minorHAnsi"/>
          <w:sz w:val="24"/>
          <w:szCs w:val="24"/>
        </w:rPr>
        <w:t>This essay</w:t>
      </w:r>
      <w:r w:rsidR="00A62D37" w:rsidRPr="000307BB">
        <w:rPr>
          <w:rFonts w:cstheme="minorHAnsi"/>
          <w:sz w:val="24"/>
          <w:szCs w:val="24"/>
        </w:rPr>
        <w:t xml:space="preserve"> will</w:t>
      </w:r>
      <w:r w:rsidRPr="000307BB">
        <w:rPr>
          <w:rFonts w:cstheme="minorHAnsi"/>
          <w:sz w:val="24"/>
          <w:szCs w:val="24"/>
        </w:rPr>
        <w:t xml:space="preserve"> </w:t>
      </w:r>
      <w:r w:rsidR="00B75708" w:rsidRPr="000307BB">
        <w:rPr>
          <w:rFonts w:cstheme="minorHAnsi"/>
          <w:sz w:val="24"/>
          <w:szCs w:val="24"/>
        </w:rPr>
        <w:t>compare</w:t>
      </w:r>
      <w:r w:rsidRPr="000307BB">
        <w:rPr>
          <w:rFonts w:cstheme="minorHAnsi"/>
          <w:sz w:val="24"/>
          <w:szCs w:val="24"/>
        </w:rPr>
        <w:t xml:space="preserve"> T L </w:t>
      </w:r>
      <w:r w:rsidR="000307BB" w:rsidRPr="000307BB">
        <w:rPr>
          <w:rFonts w:cstheme="minorHAnsi"/>
          <w:sz w:val="24"/>
          <w:szCs w:val="24"/>
        </w:rPr>
        <w:t>Brink’s ‘</w:t>
      </w:r>
      <w:r w:rsidRPr="000307BB">
        <w:rPr>
          <w:rFonts w:cstheme="minorHAnsi"/>
          <w:sz w:val="24"/>
          <w:szCs w:val="24"/>
        </w:rPr>
        <w:t>Inconsistency of Belief among Roman Catholic Girls: Concerning Religion, Astrology, Reincarnation’</w:t>
      </w:r>
      <w:r w:rsidR="00BF2C9D" w:rsidRPr="000307BB">
        <w:rPr>
          <w:rFonts w:cstheme="minorHAnsi"/>
          <w:sz w:val="24"/>
          <w:szCs w:val="24"/>
        </w:rPr>
        <w:t>,</w:t>
      </w:r>
      <w:r w:rsidRPr="000307BB">
        <w:rPr>
          <w:rFonts w:cstheme="minorHAnsi"/>
          <w:sz w:val="24"/>
          <w:szCs w:val="24"/>
        </w:rPr>
        <w:t xml:space="preserve"> published in </w:t>
      </w:r>
      <w:r w:rsidR="00B635F9" w:rsidRPr="000307BB">
        <w:rPr>
          <w:rFonts w:cstheme="minorHAnsi"/>
          <w:sz w:val="24"/>
          <w:szCs w:val="24"/>
        </w:rPr>
        <w:t xml:space="preserve">Rice University’s </w:t>
      </w:r>
      <w:r w:rsidRPr="000307BB">
        <w:rPr>
          <w:rFonts w:cstheme="minorHAnsi"/>
          <w:sz w:val="24"/>
          <w:szCs w:val="24"/>
        </w:rPr>
        <w:t>Review of Religious Research</w:t>
      </w:r>
      <w:r w:rsidR="00BF2C9D" w:rsidRPr="000307BB">
        <w:rPr>
          <w:rFonts w:cstheme="minorHAnsi"/>
          <w:sz w:val="24"/>
          <w:szCs w:val="24"/>
        </w:rPr>
        <w:t xml:space="preserve"> </w:t>
      </w:r>
      <w:r w:rsidRPr="000307BB">
        <w:rPr>
          <w:rFonts w:cstheme="minorHAnsi"/>
          <w:sz w:val="24"/>
          <w:szCs w:val="24"/>
        </w:rPr>
        <w:t xml:space="preserve">1978, with Tony Walter and Helen Waterhouse’s </w:t>
      </w:r>
      <w:proofErr w:type="gramStart"/>
      <w:r w:rsidRPr="000307BB">
        <w:rPr>
          <w:rFonts w:cstheme="minorHAnsi"/>
          <w:sz w:val="24"/>
          <w:szCs w:val="24"/>
        </w:rPr>
        <w:t>paper  ‘</w:t>
      </w:r>
      <w:proofErr w:type="gramEnd"/>
      <w:r w:rsidRPr="000307BB">
        <w:rPr>
          <w:rFonts w:cstheme="minorHAnsi"/>
          <w:sz w:val="24"/>
          <w:szCs w:val="24"/>
        </w:rPr>
        <w:t>A Very Private Belief: Reincarnation in Contemporary England’</w:t>
      </w:r>
      <w:r w:rsidR="00BF2C9D" w:rsidRPr="000307BB">
        <w:rPr>
          <w:rFonts w:cstheme="minorHAnsi"/>
          <w:sz w:val="24"/>
          <w:szCs w:val="24"/>
        </w:rPr>
        <w:t>,</w:t>
      </w:r>
      <w:r w:rsidRPr="000307BB">
        <w:rPr>
          <w:rFonts w:cstheme="minorHAnsi"/>
          <w:sz w:val="24"/>
          <w:szCs w:val="24"/>
        </w:rPr>
        <w:t xml:space="preserve"> published in Sociology of Religion 1999.</w:t>
      </w:r>
      <w:r w:rsidR="000307BB">
        <w:rPr>
          <w:rFonts w:cstheme="minorHAnsi"/>
          <w:sz w:val="24"/>
          <w:szCs w:val="24"/>
        </w:rPr>
        <w:t xml:space="preserve"> </w:t>
      </w:r>
      <w:r w:rsidR="0098121D" w:rsidRPr="000307BB">
        <w:rPr>
          <w:rFonts w:cstheme="minorHAnsi"/>
          <w:sz w:val="24"/>
          <w:szCs w:val="24"/>
        </w:rPr>
        <w:t>Brink</w:t>
      </w:r>
      <w:r w:rsidR="00B635F9" w:rsidRPr="000307BB">
        <w:rPr>
          <w:rFonts w:cstheme="minorHAnsi"/>
          <w:sz w:val="24"/>
          <w:szCs w:val="24"/>
        </w:rPr>
        <w:t>’s</w:t>
      </w:r>
      <w:r w:rsidR="0098121D" w:rsidRPr="000307BB">
        <w:rPr>
          <w:rFonts w:cstheme="minorHAnsi"/>
          <w:sz w:val="24"/>
          <w:szCs w:val="24"/>
        </w:rPr>
        <w:t xml:space="preserve"> paper was published</w:t>
      </w:r>
      <w:r w:rsidR="00B635F9" w:rsidRPr="000307BB">
        <w:rPr>
          <w:rFonts w:cstheme="minorHAnsi"/>
          <w:sz w:val="24"/>
          <w:szCs w:val="24"/>
        </w:rPr>
        <w:t xml:space="preserve"> early in his career, </w:t>
      </w:r>
      <w:r w:rsidR="0098121D" w:rsidRPr="000307BB">
        <w:rPr>
          <w:rFonts w:cstheme="minorHAnsi"/>
          <w:sz w:val="24"/>
          <w:szCs w:val="24"/>
        </w:rPr>
        <w:t xml:space="preserve">shortly after he </w:t>
      </w:r>
      <w:r w:rsidR="00245C73" w:rsidRPr="000307BB">
        <w:rPr>
          <w:rFonts w:cstheme="minorHAnsi"/>
          <w:sz w:val="24"/>
          <w:szCs w:val="24"/>
        </w:rPr>
        <w:t>was awarded</w:t>
      </w:r>
      <w:r w:rsidR="0098121D" w:rsidRPr="000307BB">
        <w:rPr>
          <w:rFonts w:cstheme="minorHAnsi"/>
          <w:sz w:val="24"/>
          <w:szCs w:val="24"/>
        </w:rPr>
        <w:t xml:space="preserve"> his PhD</w:t>
      </w:r>
      <w:r w:rsidR="00B635F9" w:rsidRPr="000307BB">
        <w:rPr>
          <w:rFonts w:cstheme="minorHAnsi"/>
          <w:sz w:val="24"/>
          <w:szCs w:val="24"/>
        </w:rPr>
        <w:t>.</w:t>
      </w:r>
      <w:r w:rsidR="00E704B5" w:rsidRPr="000307BB">
        <w:rPr>
          <w:rFonts w:cstheme="minorHAnsi"/>
          <w:sz w:val="24"/>
          <w:szCs w:val="24"/>
        </w:rPr>
        <w:t xml:space="preserve"> </w:t>
      </w:r>
      <w:r w:rsidR="00B635F9" w:rsidRPr="000307BB">
        <w:rPr>
          <w:rFonts w:cstheme="minorHAnsi"/>
          <w:sz w:val="24"/>
          <w:szCs w:val="24"/>
        </w:rPr>
        <w:t xml:space="preserve"> Walter and Waterhouse</w:t>
      </w:r>
      <w:r w:rsidR="000307BB">
        <w:rPr>
          <w:rFonts w:cstheme="minorHAnsi"/>
          <w:sz w:val="24"/>
          <w:szCs w:val="24"/>
        </w:rPr>
        <w:t>’s</w:t>
      </w:r>
      <w:r w:rsidR="00B635F9" w:rsidRPr="000307BB">
        <w:rPr>
          <w:rFonts w:cstheme="minorHAnsi"/>
          <w:sz w:val="24"/>
          <w:szCs w:val="24"/>
        </w:rPr>
        <w:t xml:space="preserve"> paper was</w:t>
      </w:r>
      <w:r w:rsidR="00365DDA" w:rsidRPr="000307BB">
        <w:rPr>
          <w:rFonts w:cstheme="minorHAnsi"/>
          <w:sz w:val="24"/>
          <w:szCs w:val="24"/>
          <w:lang w:val="en-US"/>
        </w:rPr>
        <w:t xml:space="preserve"> p</w:t>
      </w:r>
      <w:r w:rsidR="00B635F9" w:rsidRPr="000307BB">
        <w:rPr>
          <w:rFonts w:cstheme="minorHAnsi"/>
          <w:sz w:val="24"/>
          <w:szCs w:val="24"/>
          <w:lang w:val="en-US"/>
        </w:rPr>
        <w:t xml:space="preserve">ublished </w:t>
      </w:r>
      <w:r w:rsidR="00365DDA" w:rsidRPr="000307BB">
        <w:rPr>
          <w:rFonts w:cstheme="minorHAnsi"/>
          <w:sz w:val="24"/>
          <w:szCs w:val="24"/>
          <w:lang w:val="en-US"/>
        </w:rPr>
        <w:t xml:space="preserve">when Tony Walters </w:t>
      </w:r>
      <w:r w:rsidR="00B635F9" w:rsidRPr="000307BB">
        <w:rPr>
          <w:rFonts w:cstheme="minorHAnsi"/>
          <w:sz w:val="24"/>
          <w:szCs w:val="24"/>
          <w:lang w:val="en-US"/>
        </w:rPr>
        <w:t>was</w:t>
      </w:r>
      <w:r w:rsidR="00BF2C9D" w:rsidRPr="000307BB">
        <w:rPr>
          <w:rFonts w:cstheme="minorHAnsi"/>
          <w:sz w:val="24"/>
          <w:szCs w:val="24"/>
          <w:lang w:val="en-US"/>
        </w:rPr>
        <w:t xml:space="preserve"> a</w:t>
      </w:r>
      <w:r w:rsidR="00B635F9" w:rsidRPr="000307BB">
        <w:rPr>
          <w:rFonts w:cstheme="minorHAnsi"/>
          <w:sz w:val="24"/>
          <w:szCs w:val="24"/>
          <w:lang w:val="en-US"/>
        </w:rPr>
        <w:t xml:space="preserve"> lectur</w:t>
      </w:r>
      <w:r w:rsidR="00BF2C9D" w:rsidRPr="000307BB">
        <w:rPr>
          <w:rFonts w:cstheme="minorHAnsi"/>
          <w:sz w:val="24"/>
          <w:szCs w:val="24"/>
          <w:lang w:val="en-US"/>
        </w:rPr>
        <w:t>er of</w:t>
      </w:r>
      <w:r w:rsidR="00B635F9" w:rsidRPr="000307BB">
        <w:rPr>
          <w:rFonts w:cstheme="minorHAnsi"/>
          <w:sz w:val="24"/>
          <w:szCs w:val="24"/>
          <w:lang w:val="en-US"/>
        </w:rPr>
        <w:t xml:space="preserve"> Sociology at University of Reading</w:t>
      </w:r>
      <w:r w:rsidR="00365DDA" w:rsidRPr="000307BB">
        <w:rPr>
          <w:rFonts w:cstheme="minorHAnsi"/>
          <w:sz w:val="24"/>
          <w:szCs w:val="24"/>
          <w:lang w:val="en-US"/>
        </w:rPr>
        <w:t xml:space="preserve"> and shortly after </w:t>
      </w:r>
      <w:r w:rsidR="00B635F9" w:rsidRPr="000307BB">
        <w:rPr>
          <w:rFonts w:cstheme="minorHAnsi"/>
          <w:sz w:val="24"/>
          <w:szCs w:val="24"/>
          <w:lang w:val="en-US"/>
        </w:rPr>
        <w:t xml:space="preserve">Helen Waterhouse </w:t>
      </w:r>
      <w:r w:rsidR="00365DDA" w:rsidRPr="000307BB">
        <w:rPr>
          <w:rFonts w:cstheme="minorHAnsi"/>
          <w:sz w:val="24"/>
          <w:szCs w:val="24"/>
          <w:lang w:val="en-US"/>
        </w:rPr>
        <w:t xml:space="preserve">was awarded her </w:t>
      </w:r>
      <w:r w:rsidR="00B635F9" w:rsidRPr="000307BB">
        <w:rPr>
          <w:rFonts w:cstheme="minorHAnsi"/>
          <w:sz w:val="24"/>
          <w:szCs w:val="24"/>
          <w:lang w:val="en-US"/>
        </w:rPr>
        <w:t xml:space="preserve">PhD </w:t>
      </w:r>
      <w:r w:rsidR="00365DDA" w:rsidRPr="000307BB">
        <w:rPr>
          <w:rFonts w:cstheme="minorHAnsi"/>
          <w:sz w:val="24"/>
          <w:szCs w:val="24"/>
          <w:lang w:val="en-US"/>
        </w:rPr>
        <w:t>(</w:t>
      </w:r>
      <w:r w:rsidR="00B635F9" w:rsidRPr="000307BB">
        <w:rPr>
          <w:rFonts w:cstheme="minorHAnsi"/>
          <w:sz w:val="24"/>
          <w:szCs w:val="24"/>
          <w:lang w:val="en-US"/>
        </w:rPr>
        <w:t>1997</w:t>
      </w:r>
      <w:r w:rsidR="00365DDA" w:rsidRPr="000307BB">
        <w:rPr>
          <w:rFonts w:cstheme="minorHAnsi"/>
          <w:sz w:val="24"/>
          <w:szCs w:val="24"/>
          <w:lang w:val="en-US"/>
        </w:rPr>
        <w:t>).</w:t>
      </w:r>
      <w:r w:rsidR="00BF2C9D" w:rsidRPr="000307BB">
        <w:rPr>
          <w:rFonts w:cstheme="minorHAnsi"/>
          <w:sz w:val="24"/>
          <w:szCs w:val="24"/>
          <w:lang w:val="en-US"/>
        </w:rPr>
        <w:t xml:space="preserve"> </w:t>
      </w:r>
      <w:r w:rsidR="00AE437D" w:rsidRPr="000307BB">
        <w:rPr>
          <w:rFonts w:cstheme="minorHAnsi"/>
          <w:sz w:val="24"/>
          <w:szCs w:val="24"/>
        </w:rPr>
        <w:t xml:space="preserve">The papers are similar in </w:t>
      </w:r>
      <w:r w:rsidR="00F5049D">
        <w:rPr>
          <w:rFonts w:cstheme="minorHAnsi"/>
          <w:sz w:val="24"/>
          <w:szCs w:val="24"/>
        </w:rPr>
        <w:t>theme</w:t>
      </w:r>
      <w:r w:rsidR="00BF2C9D" w:rsidRPr="000307BB">
        <w:rPr>
          <w:rFonts w:cstheme="minorHAnsi"/>
          <w:sz w:val="24"/>
          <w:szCs w:val="24"/>
        </w:rPr>
        <w:t>,</w:t>
      </w:r>
      <w:r w:rsidR="00AE437D" w:rsidRPr="000307BB">
        <w:rPr>
          <w:rFonts w:cstheme="minorHAnsi"/>
          <w:sz w:val="24"/>
          <w:szCs w:val="24"/>
        </w:rPr>
        <w:t xml:space="preserve"> </w:t>
      </w:r>
      <w:r w:rsidR="00F5049D">
        <w:rPr>
          <w:rFonts w:cstheme="minorHAnsi"/>
          <w:sz w:val="24"/>
          <w:szCs w:val="24"/>
        </w:rPr>
        <w:t>as</w:t>
      </w:r>
      <w:r w:rsidR="00AE437D" w:rsidRPr="000307BB">
        <w:rPr>
          <w:rFonts w:cstheme="minorHAnsi"/>
          <w:sz w:val="24"/>
          <w:szCs w:val="24"/>
        </w:rPr>
        <w:t xml:space="preserve"> they both explore belief in reincarnation in western society, although Brink’s focus is not belief in reincarnation per se. His paper is interested in </w:t>
      </w:r>
      <w:r w:rsidR="00B75708" w:rsidRPr="000307BB">
        <w:rPr>
          <w:rFonts w:cstheme="minorHAnsi"/>
          <w:sz w:val="24"/>
          <w:szCs w:val="24"/>
        </w:rPr>
        <w:t>inconsistent beliefs generally.</w:t>
      </w:r>
    </w:p>
    <w:p w14:paraId="6325F763" w14:textId="3C85BF4A" w:rsidR="00BF2C9D" w:rsidRPr="000307BB" w:rsidRDefault="00BF2C9D" w:rsidP="00365DDA">
      <w:pPr>
        <w:tabs>
          <w:tab w:val="num" w:pos="720"/>
        </w:tabs>
        <w:rPr>
          <w:rFonts w:cstheme="minorHAnsi"/>
          <w:sz w:val="24"/>
          <w:szCs w:val="24"/>
        </w:rPr>
      </w:pPr>
      <w:r w:rsidRPr="000307BB">
        <w:rPr>
          <w:rFonts w:cstheme="minorHAnsi"/>
          <w:sz w:val="24"/>
          <w:szCs w:val="24"/>
        </w:rPr>
        <w:t>This essay will examine the authors’ methodology, their position</w:t>
      </w:r>
      <w:r w:rsidR="00F5049D">
        <w:rPr>
          <w:rFonts w:cstheme="minorHAnsi"/>
          <w:sz w:val="24"/>
          <w:szCs w:val="24"/>
        </w:rPr>
        <w:t>ality,</w:t>
      </w:r>
      <w:r w:rsidR="001C2906" w:rsidRPr="000307BB">
        <w:rPr>
          <w:rFonts w:cstheme="minorHAnsi"/>
          <w:sz w:val="24"/>
          <w:szCs w:val="24"/>
        </w:rPr>
        <w:t xml:space="preserve"> before going on to look at how effectively the</w:t>
      </w:r>
      <w:r w:rsidR="00F5049D">
        <w:rPr>
          <w:rFonts w:cstheme="minorHAnsi"/>
          <w:sz w:val="24"/>
          <w:szCs w:val="24"/>
        </w:rPr>
        <w:t>y</w:t>
      </w:r>
      <w:r w:rsidR="001C2906" w:rsidRPr="000307BB">
        <w:rPr>
          <w:rFonts w:cstheme="minorHAnsi"/>
          <w:sz w:val="24"/>
          <w:szCs w:val="24"/>
        </w:rPr>
        <w:t xml:space="preserve"> related their </w:t>
      </w:r>
      <w:r w:rsidR="00F5049D">
        <w:rPr>
          <w:rFonts w:cstheme="minorHAnsi"/>
          <w:sz w:val="24"/>
          <w:szCs w:val="24"/>
        </w:rPr>
        <w:t>fieldwork</w:t>
      </w:r>
      <w:r w:rsidR="001C2906" w:rsidRPr="000307BB">
        <w:rPr>
          <w:rFonts w:cstheme="minorHAnsi"/>
          <w:sz w:val="24"/>
          <w:szCs w:val="24"/>
        </w:rPr>
        <w:t xml:space="preserve"> data to</w:t>
      </w:r>
      <w:r w:rsidR="00F5049D">
        <w:rPr>
          <w:rFonts w:cstheme="minorHAnsi"/>
          <w:sz w:val="24"/>
          <w:szCs w:val="24"/>
        </w:rPr>
        <w:t xml:space="preserve"> </w:t>
      </w:r>
      <w:r w:rsidR="001C2906" w:rsidRPr="000307BB">
        <w:rPr>
          <w:rFonts w:cstheme="minorHAnsi"/>
          <w:sz w:val="24"/>
          <w:szCs w:val="24"/>
        </w:rPr>
        <w:t>relevant academic literature.</w:t>
      </w:r>
    </w:p>
    <w:p w14:paraId="31EDAB1B" w14:textId="7BC59BB9" w:rsidR="00245C73" w:rsidRPr="000307BB" w:rsidRDefault="00245C73" w:rsidP="00B75708">
      <w:pPr>
        <w:rPr>
          <w:rFonts w:cstheme="minorHAnsi"/>
          <w:sz w:val="24"/>
          <w:szCs w:val="24"/>
        </w:rPr>
      </w:pPr>
    </w:p>
    <w:p w14:paraId="3083373E" w14:textId="77777777" w:rsidR="00696499" w:rsidRPr="000307BB" w:rsidRDefault="00696499" w:rsidP="000307BB">
      <w:pPr>
        <w:pStyle w:val="Heading1"/>
      </w:pPr>
      <w:r w:rsidRPr="000307BB">
        <w:t>Methodology</w:t>
      </w:r>
    </w:p>
    <w:p w14:paraId="34EB1D1E" w14:textId="1F72AA4A" w:rsidR="00696499" w:rsidRPr="000307BB" w:rsidRDefault="00696499" w:rsidP="00696499">
      <w:pPr>
        <w:rPr>
          <w:rFonts w:cstheme="minorHAnsi"/>
          <w:sz w:val="24"/>
          <w:szCs w:val="24"/>
        </w:rPr>
      </w:pPr>
      <w:r w:rsidRPr="000307BB">
        <w:rPr>
          <w:rFonts w:cstheme="minorHAnsi"/>
          <w:sz w:val="24"/>
          <w:szCs w:val="24"/>
        </w:rPr>
        <w:t>This essay will now examine the methods used</w:t>
      </w:r>
      <w:r w:rsidR="000307BB">
        <w:rPr>
          <w:rFonts w:cstheme="minorHAnsi"/>
          <w:sz w:val="24"/>
          <w:szCs w:val="24"/>
        </w:rPr>
        <w:t xml:space="preserve"> in each paper</w:t>
      </w:r>
      <w:r w:rsidRPr="000307BB">
        <w:rPr>
          <w:rFonts w:cstheme="minorHAnsi"/>
          <w:sz w:val="24"/>
          <w:szCs w:val="24"/>
        </w:rPr>
        <w:t xml:space="preserve"> in terms of: </w:t>
      </w:r>
    </w:p>
    <w:p w14:paraId="3AC8C856" w14:textId="21FB5404" w:rsidR="00696499" w:rsidRPr="000307BB" w:rsidRDefault="00696499" w:rsidP="00696499">
      <w:pPr>
        <w:pStyle w:val="ListParagraph"/>
        <w:numPr>
          <w:ilvl w:val="0"/>
          <w:numId w:val="2"/>
        </w:numPr>
        <w:rPr>
          <w:rFonts w:cstheme="minorHAnsi"/>
          <w:sz w:val="24"/>
          <w:szCs w:val="24"/>
        </w:rPr>
      </w:pPr>
      <w:r w:rsidRPr="000307BB">
        <w:rPr>
          <w:rFonts w:cstheme="minorHAnsi"/>
          <w:i/>
          <w:iCs/>
          <w:sz w:val="24"/>
          <w:szCs w:val="24"/>
        </w:rPr>
        <w:t xml:space="preserve">Recruiting </w:t>
      </w:r>
      <w:proofErr w:type="gramStart"/>
      <w:r w:rsidRPr="000307BB">
        <w:rPr>
          <w:rFonts w:cstheme="minorHAnsi"/>
          <w:i/>
          <w:iCs/>
          <w:sz w:val="24"/>
          <w:szCs w:val="24"/>
        </w:rPr>
        <w:t>participants</w:t>
      </w:r>
      <w:r w:rsidRPr="000307BB">
        <w:rPr>
          <w:rFonts w:cstheme="minorHAnsi"/>
          <w:sz w:val="24"/>
          <w:szCs w:val="24"/>
        </w:rPr>
        <w:t>;</w:t>
      </w:r>
      <w:proofErr w:type="gramEnd"/>
      <w:r w:rsidRPr="000307BB">
        <w:rPr>
          <w:rFonts w:cstheme="minorHAnsi"/>
          <w:sz w:val="24"/>
          <w:szCs w:val="24"/>
        </w:rPr>
        <w:t xml:space="preserve">  </w:t>
      </w:r>
    </w:p>
    <w:p w14:paraId="43BA6D2C" w14:textId="0A8C3AD2" w:rsidR="00696499" w:rsidRDefault="00696499" w:rsidP="00696499">
      <w:pPr>
        <w:pStyle w:val="ListParagraph"/>
        <w:numPr>
          <w:ilvl w:val="0"/>
          <w:numId w:val="2"/>
        </w:numPr>
        <w:rPr>
          <w:rFonts w:cstheme="minorHAnsi"/>
          <w:sz w:val="24"/>
          <w:szCs w:val="24"/>
        </w:rPr>
      </w:pPr>
      <w:r w:rsidRPr="000307BB">
        <w:rPr>
          <w:rFonts w:cstheme="minorHAnsi"/>
          <w:i/>
          <w:iCs/>
          <w:sz w:val="24"/>
          <w:szCs w:val="24"/>
        </w:rPr>
        <w:t>Gathering data</w:t>
      </w:r>
      <w:r w:rsidR="00F5049D">
        <w:rPr>
          <w:rFonts w:cstheme="minorHAnsi"/>
          <w:sz w:val="24"/>
          <w:szCs w:val="24"/>
        </w:rPr>
        <w:t>.</w:t>
      </w:r>
    </w:p>
    <w:p w14:paraId="0AFE0DEF" w14:textId="77777777" w:rsidR="000307BB" w:rsidRPr="000307BB" w:rsidRDefault="000307BB" w:rsidP="000307BB">
      <w:pPr>
        <w:pStyle w:val="ListParagraph"/>
        <w:rPr>
          <w:rFonts w:cstheme="minorHAnsi"/>
          <w:sz w:val="24"/>
          <w:szCs w:val="24"/>
        </w:rPr>
      </w:pPr>
    </w:p>
    <w:p w14:paraId="792E178D" w14:textId="563B43D4" w:rsidR="00696499" w:rsidRPr="000307BB" w:rsidRDefault="00696499" w:rsidP="000307BB">
      <w:pPr>
        <w:pStyle w:val="Heading2"/>
      </w:pPr>
      <w:r w:rsidRPr="000307BB">
        <w:t>Recruiting participants</w:t>
      </w:r>
    </w:p>
    <w:p w14:paraId="0E541650" w14:textId="00DC7A2E" w:rsidR="000307BB" w:rsidRDefault="00696499" w:rsidP="00696499">
      <w:pPr>
        <w:rPr>
          <w:rFonts w:cstheme="minorHAnsi"/>
          <w:sz w:val="24"/>
          <w:szCs w:val="24"/>
        </w:rPr>
      </w:pPr>
      <w:r w:rsidRPr="000307BB">
        <w:rPr>
          <w:rFonts w:cstheme="minorHAnsi"/>
          <w:sz w:val="24"/>
          <w:szCs w:val="24"/>
        </w:rPr>
        <w:t>Brink aimed to test the hypothesis that ‘a study of adolescent girls will show an acceptance of only one of these three belief sets (Roman Catholic, astrology reincarnation) accompanied by a rejection of the others.’</w:t>
      </w:r>
      <w:r w:rsidRPr="000307BB">
        <w:rPr>
          <w:rStyle w:val="FootnoteReference"/>
          <w:rFonts w:cstheme="minorHAnsi"/>
          <w:sz w:val="24"/>
          <w:szCs w:val="24"/>
        </w:rPr>
        <w:footnoteReference w:id="1"/>
      </w:r>
      <w:r w:rsidRPr="000307BB">
        <w:rPr>
          <w:rFonts w:cstheme="minorHAnsi"/>
          <w:sz w:val="24"/>
          <w:szCs w:val="24"/>
        </w:rPr>
        <w:t xml:space="preserve"> </w:t>
      </w:r>
      <w:r w:rsidR="00F5049D">
        <w:rPr>
          <w:rFonts w:cstheme="minorHAnsi"/>
          <w:sz w:val="24"/>
          <w:szCs w:val="24"/>
        </w:rPr>
        <w:t>T</w:t>
      </w:r>
      <w:r w:rsidRPr="000307BB">
        <w:rPr>
          <w:rFonts w:cstheme="minorHAnsi"/>
          <w:sz w:val="24"/>
          <w:szCs w:val="24"/>
        </w:rPr>
        <w:t>esting</w:t>
      </w:r>
      <w:r w:rsidR="000307BB">
        <w:rPr>
          <w:rFonts w:cstheme="minorHAnsi"/>
          <w:sz w:val="24"/>
          <w:szCs w:val="24"/>
        </w:rPr>
        <w:t xml:space="preserve"> </w:t>
      </w:r>
      <w:r w:rsidRPr="000307BB">
        <w:rPr>
          <w:rFonts w:cstheme="minorHAnsi"/>
          <w:sz w:val="24"/>
          <w:szCs w:val="24"/>
        </w:rPr>
        <w:t xml:space="preserve">congruency </w:t>
      </w:r>
      <w:r w:rsidR="000307BB">
        <w:rPr>
          <w:rFonts w:cstheme="minorHAnsi"/>
          <w:sz w:val="24"/>
          <w:szCs w:val="24"/>
        </w:rPr>
        <w:t>of</w:t>
      </w:r>
      <w:r w:rsidRPr="000307BB">
        <w:rPr>
          <w:rFonts w:cstheme="minorHAnsi"/>
          <w:sz w:val="24"/>
          <w:szCs w:val="24"/>
        </w:rPr>
        <w:t xml:space="preserve"> belief</w:t>
      </w:r>
      <w:r w:rsidR="00F5049D">
        <w:rPr>
          <w:rFonts w:cstheme="minorHAnsi"/>
          <w:sz w:val="24"/>
          <w:szCs w:val="24"/>
        </w:rPr>
        <w:t>, Brink</w:t>
      </w:r>
      <w:r w:rsidRPr="000307BB">
        <w:rPr>
          <w:rFonts w:cstheme="minorHAnsi"/>
          <w:sz w:val="24"/>
          <w:szCs w:val="24"/>
        </w:rPr>
        <w:t xml:space="preserve"> assumed their apparent Catholicism would prove his hypothesis. He recruited 227 students from a girls’ Catholic high school in Chicago. </w:t>
      </w:r>
    </w:p>
    <w:p w14:paraId="1D7B0169" w14:textId="04962EDE" w:rsidR="00D17ECF" w:rsidRDefault="00696499" w:rsidP="00696499">
      <w:pPr>
        <w:rPr>
          <w:rFonts w:cstheme="minorHAnsi"/>
          <w:sz w:val="24"/>
          <w:szCs w:val="24"/>
        </w:rPr>
      </w:pPr>
      <w:r w:rsidRPr="000307BB">
        <w:rPr>
          <w:rFonts w:cstheme="minorHAnsi"/>
          <w:sz w:val="24"/>
          <w:szCs w:val="24"/>
        </w:rPr>
        <w:t xml:space="preserve">Walter and Waterhouse recruited a smaller sample </w:t>
      </w:r>
      <w:r w:rsidR="00463F60">
        <w:rPr>
          <w:rFonts w:cstheme="minorHAnsi"/>
          <w:sz w:val="24"/>
          <w:szCs w:val="24"/>
        </w:rPr>
        <w:t>group</w:t>
      </w:r>
      <w:r w:rsidRPr="000307BB">
        <w:rPr>
          <w:rFonts w:cstheme="minorHAnsi"/>
          <w:sz w:val="24"/>
          <w:szCs w:val="24"/>
        </w:rPr>
        <w:t>. Identifying SW England as their target area, they state, ‘The intention was not to assemble a representative sample.’</w:t>
      </w:r>
      <w:r w:rsidRPr="000307BB">
        <w:rPr>
          <w:rStyle w:val="FootnoteReference"/>
          <w:rFonts w:cstheme="minorHAnsi"/>
          <w:sz w:val="24"/>
          <w:szCs w:val="24"/>
        </w:rPr>
        <w:footnoteReference w:id="2"/>
      </w:r>
      <w:r w:rsidRPr="000307BB">
        <w:rPr>
          <w:rFonts w:cstheme="minorHAnsi"/>
          <w:sz w:val="24"/>
          <w:szCs w:val="24"/>
        </w:rPr>
        <w:t xml:space="preserve">  Unlike Brink’s positivist, </w:t>
      </w:r>
      <w:r w:rsidR="000307BB" w:rsidRPr="000307BB">
        <w:rPr>
          <w:rFonts w:cstheme="minorHAnsi"/>
          <w:sz w:val="24"/>
          <w:szCs w:val="24"/>
        </w:rPr>
        <w:t>probability</w:t>
      </w:r>
      <w:r w:rsidRPr="000307BB">
        <w:rPr>
          <w:rFonts w:cstheme="minorHAnsi"/>
          <w:sz w:val="24"/>
          <w:szCs w:val="24"/>
        </w:rPr>
        <w:t xml:space="preserve"> approach</w:t>
      </w:r>
      <w:r w:rsidR="00463F60">
        <w:rPr>
          <w:rFonts w:cstheme="minorHAnsi"/>
          <w:sz w:val="24"/>
          <w:szCs w:val="24"/>
        </w:rPr>
        <w:t>,</w:t>
      </w:r>
      <w:r w:rsidRPr="000307BB">
        <w:rPr>
          <w:rFonts w:cstheme="minorHAnsi"/>
          <w:sz w:val="24"/>
          <w:szCs w:val="24"/>
        </w:rPr>
        <w:t xml:space="preserve"> whereby he chose his sample based on the assumption that the</w:t>
      </w:r>
      <w:r w:rsidR="00D17ECF">
        <w:rPr>
          <w:rFonts w:cstheme="minorHAnsi"/>
          <w:sz w:val="24"/>
          <w:szCs w:val="24"/>
        </w:rPr>
        <w:t xml:space="preserve"> girls</w:t>
      </w:r>
      <w:r w:rsidRPr="000307BB">
        <w:rPr>
          <w:rFonts w:cstheme="minorHAnsi"/>
          <w:sz w:val="24"/>
          <w:szCs w:val="24"/>
        </w:rPr>
        <w:t xml:space="preserve"> were likely to believe that Catholicism was ‘the one for them’</w:t>
      </w:r>
      <w:r w:rsidRPr="000307BB">
        <w:rPr>
          <w:rStyle w:val="FootnoteReference"/>
          <w:rFonts w:cstheme="minorHAnsi"/>
          <w:sz w:val="24"/>
          <w:szCs w:val="24"/>
        </w:rPr>
        <w:footnoteReference w:id="3"/>
      </w:r>
      <w:r w:rsidRPr="000307BB">
        <w:rPr>
          <w:rFonts w:cstheme="minorHAnsi"/>
          <w:sz w:val="24"/>
          <w:szCs w:val="24"/>
        </w:rPr>
        <w:t xml:space="preserve">, </w:t>
      </w:r>
      <w:r w:rsidR="00D17ECF">
        <w:rPr>
          <w:rFonts w:cstheme="minorHAnsi"/>
          <w:sz w:val="24"/>
          <w:szCs w:val="24"/>
        </w:rPr>
        <w:lastRenderedPageBreak/>
        <w:t>Walter and Waterhouse</w:t>
      </w:r>
      <w:r w:rsidRPr="000307BB">
        <w:rPr>
          <w:rFonts w:cstheme="minorHAnsi"/>
          <w:sz w:val="24"/>
          <w:szCs w:val="24"/>
        </w:rPr>
        <w:t xml:space="preserve"> were not looking to extrapolate general characteristics of a particular </w:t>
      </w:r>
      <w:r w:rsidR="00D17ECF">
        <w:rPr>
          <w:rFonts w:cstheme="minorHAnsi"/>
          <w:sz w:val="24"/>
          <w:szCs w:val="24"/>
        </w:rPr>
        <w:t xml:space="preserve">representative </w:t>
      </w:r>
      <w:r w:rsidRPr="000307BB">
        <w:rPr>
          <w:rFonts w:cstheme="minorHAnsi"/>
          <w:sz w:val="24"/>
          <w:szCs w:val="24"/>
        </w:rPr>
        <w:t>group</w:t>
      </w:r>
      <w:r w:rsidR="00D17ECF">
        <w:rPr>
          <w:rFonts w:cstheme="minorHAnsi"/>
          <w:sz w:val="24"/>
          <w:szCs w:val="24"/>
        </w:rPr>
        <w:t xml:space="preserve">. </w:t>
      </w:r>
    </w:p>
    <w:p w14:paraId="784A72E8" w14:textId="1BAAA383" w:rsidR="00696499" w:rsidRPr="000307BB" w:rsidRDefault="00696499" w:rsidP="00696499">
      <w:pPr>
        <w:rPr>
          <w:rFonts w:cstheme="minorHAnsi"/>
          <w:sz w:val="24"/>
          <w:szCs w:val="24"/>
        </w:rPr>
      </w:pPr>
      <w:r w:rsidRPr="000307BB">
        <w:rPr>
          <w:rFonts w:cstheme="minorHAnsi"/>
          <w:sz w:val="24"/>
          <w:szCs w:val="24"/>
        </w:rPr>
        <w:t xml:space="preserve">Like Brink, </w:t>
      </w:r>
      <w:r w:rsidR="00D17ECF">
        <w:rPr>
          <w:rFonts w:cstheme="minorHAnsi"/>
          <w:sz w:val="24"/>
          <w:szCs w:val="24"/>
        </w:rPr>
        <w:t xml:space="preserve">Walter and Waterhouse </w:t>
      </w:r>
      <w:r w:rsidRPr="000307BB">
        <w:rPr>
          <w:rFonts w:cstheme="minorHAnsi"/>
          <w:sz w:val="24"/>
          <w:szCs w:val="24"/>
        </w:rPr>
        <w:t>included young people in their research, but they also interviewed adults</w:t>
      </w:r>
      <w:r w:rsidR="00D17ECF">
        <w:rPr>
          <w:rFonts w:cstheme="minorHAnsi"/>
          <w:sz w:val="24"/>
          <w:szCs w:val="24"/>
        </w:rPr>
        <w:t xml:space="preserve">. This </w:t>
      </w:r>
      <w:r w:rsidRPr="000307BB">
        <w:rPr>
          <w:rFonts w:cstheme="minorHAnsi"/>
          <w:sz w:val="24"/>
          <w:szCs w:val="24"/>
        </w:rPr>
        <w:t xml:space="preserve">gave them a wider spectrum of views, despite being a smaller sample group. Walter and Waterhouse were also more selective in their recruitment of </w:t>
      </w:r>
      <w:r w:rsidR="00D17ECF" w:rsidRPr="000307BB">
        <w:rPr>
          <w:rFonts w:cstheme="minorHAnsi"/>
          <w:sz w:val="24"/>
          <w:szCs w:val="24"/>
        </w:rPr>
        <w:t>participants</w:t>
      </w:r>
      <w:r w:rsidRPr="000307BB">
        <w:rPr>
          <w:rFonts w:cstheme="minorHAnsi"/>
          <w:sz w:val="24"/>
          <w:szCs w:val="24"/>
        </w:rPr>
        <w:t xml:space="preserve"> than Brink</w:t>
      </w:r>
      <w:r w:rsidR="00463F60">
        <w:rPr>
          <w:rFonts w:cstheme="minorHAnsi"/>
          <w:sz w:val="24"/>
          <w:szCs w:val="24"/>
        </w:rPr>
        <w:t>, excluding</w:t>
      </w:r>
      <w:r w:rsidRPr="000307BB">
        <w:rPr>
          <w:rFonts w:cstheme="minorHAnsi"/>
          <w:sz w:val="24"/>
          <w:szCs w:val="24"/>
        </w:rPr>
        <w:t xml:space="preserve"> Hindu, Sikh and Buddhist, as well as ‘obvious New Agers’.</w:t>
      </w:r>
      <w:r w:rsidRPr="000307BB">
        <w:rPr>
          <w:rStyle w:val="FootnoteReference"/>
          <w:rFonts w:cstheme="minorHAnsi"/>
          <w:sz w:val="24"/>
          <w:szCs w:val="24"/>
        </w:rPr>
        <w:footnoteReference w:id="4"/>
      </w:r>
      <w:r w:rsidRPr="000307BB">
        <w:rPr>
          <w:rFonts w:cstheme="minorHAnsi"/>
          <w:sz w:val="24"/>
          <w:szCs w:val="24"/>
        </w:rPr>
        <w:t xml:space="preserve">  </w:t>
      </w:r>
      <w:proofErr w:type="spellStart"/>
      <w:r w:rsidRPr="000307BB">
        <w:rPr>
          <w:rFonts w:cstheme="minorHAnsi"/>
          <w:sz w:val="24"/>
          <w:szCs w:val="24"/>
        </w:rPr>
        <w:t>Hennink</w:t>
      </w:r>
      <w:proofErr w:type="spellEnd"/>
      <w:r w:rsidRPr="000307BB">
        <w:rPr>
          <w:rFonts w:cstheme="minorHAnsi"/>
          <w:sz w:val="24"/>
          <w:szCs w:val="24"/>
        </w:rPr>
        <w:t xml:space="preserve">, </w:t>
      </w:r>
      <w:proofErr w:type="spellStart"/>
      <w:r w:rsidRPr="000307BB">
        <w:rPr>
          <w:rFonts w:cstheme="minorHAnsi"/>
          <w:sz w:val="24"/>
          <w:szCs w:val="24"/>
        </w:rPr>
        <w:t>Hutter</w:t>
      </w:r>
      <w:proofErr w:type="spellEnd"/>
      <w:r w:rsidRPr="000307BB">
        <w:rPr>
          <w:rFonts w:cstheme="minorHAnsi"/>
          <w:sz w:val="24"/>
          <w:szCs w:val="24"/>
        </w:rPr>
        <w:t xml:space="preserve"> and Bailey suggest that </w:t>
      </w:r>
      <w:r w:rsidR="00D17ECF">
        <w:rPr>
          <w:rFonts w:cstheme="minorHAnsi"/>
          <w:sz w:val="24"/>
          <w:szCs w:val="24"/>
        </w:rPr>
        <w:t>a</w:t>
      </w:r>
      <w:r w:rsidRPr="000307BB">
        <w:rPr>
          <w:rFonts w:cstheme="minorHAnsi"/>
          <w:sz w:val="24"/>
          <w:szCs w:val="24"/>
        </w:rPr>
        <w:t xml:space="preserve"> ‘study population needs to be clearly defined so that you can determine who is eligible to participate in the study.’</w:t>
      </w:r>
      <w:r w:rsidRPr="000307BB">
        <w:rPr>
          <w:rStyle w:val="FootnoteReference"/>
          <w:rFonts w:cstheme="minorHAnsi"/>
          <w:sz w:val="24"/>
          <w:szCs w:val="24"/>
        </w:rPr>
        <w:footnoteReference w:id="5"/>
      </w:r>
      <w:r w:rsidRPr="000307BB">
        <w:rPr>
          <w:rFonts w:cstheme="minorHAnsi"/>
          <w:sz w:val="24"/>
          <w:szCs w:val="24"/>
        </w:rPr>
        <w:t xml:space="preserve"> As Walter and Waterhouse are able to link their rationale for </w:t>
      </w:r>
      <w:r w:rsidR="00463F60">
        <w:rPr>
          <w:rFonts w:cstheme="minorHAnsi"/>
          <w:sz w:val="24"/>
          <w:szCs w:val="24"/>
        </w:rPr>
        <w:t>exclusion very</w:t>
      </w:r>
      <w:r w:rsidRPr="000307BB">
        <w:rPr>
          <w:rFonts w:cstheme="minorHAnsi"/>
          <w:sz w:val="24"/>
          <w:szCs w:val="24"/>
        </w:rPr>
        <w:t xml:space="preserve"> clearly to their original research topi</w:t>
      </w:r>
      <w:r w:rsidR="00D17ECF">
        <w:rPr>
          <w:rFonts w:cstheme="minorHAnsi"/>
          <w:sz w:val="24"/>
          <w:szCs w:val="24"/>
        </w:rPr>
        <w:t>c</w:t>
      </w:r>
      <w:r w:rsidRPr="000307BB">
        <w:rPr>
          <w:rFonts w:cstheme="minorHAnsi"/>
          <w:sz w:val="24"/>
          <w:szCs w:val="24"/>
        </w:rPr>
        <w:t>, it suggests that that they have defined their study population more clearly than Brink, with his convenience sampling.</w:t>
      </w:r>
    </w:p>
    <w:p w14:paraId="45585100" w14:textId="165C65F7" w:rsidR="00696499" w:rsidRPr="000307BB" w:rsidRDefault="00696499" w:rsidP="00696499">
      <w:pPr>
        <w:rPr>
          <w:rFonts w:cstheme="minorHAnsi"/>
          <w:sz w:val="24"/>
          <w:szCs w:val="24"/>
        </w:rPr>
      </w:pPr>
      <w:r w:rsidRPr="000307BB">
        <w:rPr>
          <w:rFonts w:cstheme="minorHAnsi"/>
          <w:sz w:val="24"/>
          <w:szCs w:val="24"/>
        </w:rPr>
        <w:t>The two papers describe very different methods for recruiting their participants.</w:t>
      </w:r>
      <w:r w:rsidR="00942210">
        <w:rPr>
          <w:rFonts w:cstheme="minorHAnsi"/>
          <w:sz w:val="24"/>
          <w:szCs w:val="24"/>
        </w:rPr>
        <w:t xml:space="preserve"> </w:t>
      </w:r>
      <w:r w:rsidRPr="000307BB">
        <w:rPr>
          <w:rFonts w:cstheme="minorHAnsi"/>
          <w:sz w:val="24"/>
          <w:szCs w:val="24"/>
        </w:rPr>
        <w:t xml:space="preserve">Brink’s survey was administered in school, during class, and whoever was present in class that day received the questionnaire. This suggests that Brink’s </w:t>
      </w:r>
      <w:r w:rsidR="00463F60">
        <w:rPr>
          <w:rFonts w:cstheme="minorHAnsi"/>
          <w:sz w:val="24"/>
          <w:szCs w:val="24"/>
        </w:rPr>
        <w:t>group</w:t>
      </w:r>
      <w:r w:rsidRPr="000307BB">
        <w:rPr>
          <w:rFonts w:cstheme="minorHAnsi"/>
          <w:sz w:val="24"/>
          <w:szCs w:val="24"/>
        </w:rPr>
        <w:t xml:space="preserve"> was a form of “opportunity” sampling. </w:t>
      </w:r>
      <w:r w:rsidR="00942210">
        <w:rPr>
          <w:rFonts w:cstheme="minorHAnsi"/>
          <w:sz w:val="24"/>
          <w:szCs w:val="24"/>
        </w:rPr>
        <w:t xml:space="preserve"> </w:t>
      </w:r>
      <w:r w:rsidRPr="000307BB">
        <w:rPr>
          <w:rFonts w:cstheme="minorHAnsi"/>
          <w:sz w:val="24"/>
          <w:szCs w:val="24"/>
        </w:rPr>
        <w:t xml:space="preserve">Bell and Waters </w:t>
      </w:r>
      <w:r w:rsidR="00942210">
        <w:rPr>
          <w:rFonts w:cstheme="minorHAnsi"/>
          <w:sz w:val="24"/>
          <w:szCs w:val="24"/>
        </w:rPr>
        <w:t>explain</w:t>
      </w:r>
      <w:r w:rsidRPr="000307BB">
        <w:rPr>
          <w:rFonts w:cstheme="minorHAnsi"/>
          <w:sz w:val="24"/>
          <w:szCs w:val="24"/>
        </w:rPr>
        <w:t xml:space="preserve"> that such samples are ‘generally acceptable, as long as the make-up of the sample is clearly </w:t>
      </w:r>
      <w:proofErr w:type="gramStart"/>
      <w:r w:rsidRPr="000307BB">
        <w:rPr>
          <w:rFonts w:cstheme="minorHAnsi"/>
          <w:sz w:val="24"/>
          <w:szCs w:val="24"/>
        </w:rPr>
        <w:t>stated</w:t>
      </w:r>
      <w:proofErr w:type="gramEnd"/>
      <w:r w:rsidRPr="000307BB">
        <w:rPr>
          <w:rFonts w:cstheme="minorHAnsi"/>
          <w:sz w:val="24"/>
          <w:szCs w:val="24"/>
        </w:rPr>
        <w:t xml:space="preserve"> and the limitations of the data are realized.’</w:t>
      </w:r>
      <w:r w:rsidRPr="000307BB">
        <w:rPr>
          <w:rStyle w:val="FootnoteReference"/>
          <w:rFonts w:cstheme="minorHAnsi"/>
          <w:sz w:val="24"/>
          <w:szCs w:val="24"/>
        </w:rPr>
        <w:footnoteReference w:id="6"/>
      </w:r>
      <w:r w:rsidRPr="000307BB">
        <w:rPr>
          <w:rFonts w:cstheme="minorHAnsi"/>
          <w:sz w:val="24"/>
          <w:szCs w:val="24"/>
        </w:rPr>
        <w:t xml:space="preserve">  Brink does describe the make-up of the sample group </w:t>
      </w:r>
      <w:r w:rsidR="00942210">
        <w:rPr>
          <w:rFonts w:cstheme="minorHAnsi"/>
          <w:sz w:val="24"/>
          <w:szCs w:val="24"/>
        </w:rPr>
        <w:t>–</w:t>
      </w:r>
      <w:r w:rsidRPr="000307BB">
        <w:rPr>
          <w:rFonts w:cstheme="minorHAnsi"/>
          <w:sz w:val="24"/>
          <w:szCs w:val="24"/>
        </w:rPr>
        <w:t xml:space="preserve"> girls from working-class Polish and Italian families from Chicago. He does not, however, explore the limitations that using such a convenience sample might have had on data collect</w:t>
      </w:r>
      <w:r w:rsidR="00463F60">
        <w:rPr>
          <w:rFonts w:cstheme="minorHAnsi"/>
          <w:sz w:val="24"/>
          <w:szCs w:val="24"/>
        </w:rPr>
        <w:t>ion</w:t>
      </w:r>
      <w:r w:rsidRPr="000307BB">
        <w:rPr>
          <w:rFonts w:cstheme="minorHAnsi"/>
          <w:sz w:val="24"/>
          <w:szCs w:val="24"/>
        </w:rPr>
        <w:t xml:space="preserve">. For example, when his survey produces unexpected data, Brink cites findings of sociologists like Robert </w:t>
      </w:r>
      <w:proofErr w:type="spellStart"/>
      <w:r w:rsidR="00942210" w:rsidRPr="000307BB">
        <w:rPr>
          <w:rFonts w:cstheme="minorHAnsi"/>
          <w:sz w:val="24"/>
          <w:szCs w:val="24"/>
        </w:rPr>
        <w:t>Wuthnow</w:t>
      </w:r>
      <w:proofErr w:type="spellEnd"/>
      <w:r w:rsidR="00942210" w:rsidRPr="000307BB">
        <w:rPr>
          <w:rFonts w:cstheme="minorHAnsi"/>
          <w:sz w:val="24"/>
          <w:szCs w:val="24"/>
        </w:rPr>
        <w:t xml:space="preserve"> (</w:t>
      </w:r>
      <w:r w:rsidRPr="000307BB">
        <w:rPr>
          <w:rFonts w:cstheme="minorHAnsi"/>
          <w:sz w:val="24"/>
          <w:szCs w:val="24"/>
        </w:rPr>
        <w:t xml:space="preserve">who attributes changes in belief to social changes) rather than exploring the limitations of the fact that he had sampled a very homogeneous group. </w:t>
      </w:r>
    </w:p>
    <w:p w14:paraId="682842A4" w14:textId="0D7C1293" w:rsidR="00696499" w:rsidRPr="000307BB" w:rsidRDefault="00696499" w:rsidP="00696499">
      <w:pPr>
        <w:rPr>
          <w:rFonts w:cstheme="minorHAnsi"/>
          <w:sz w:val="24"/>
          <w:szCs w:val="24"/>
        </w:rPr>
      </w:pPr>
      <w:r w:rsidRPr="000307BB">
        <w:rPr>
          <w:rFonts w:cstheme="minorHAnsi"/>
          <w:sz w:val="24"/>
          <w:szCs w:val="24"/>
        </w:rPr>
        <w:t>Walter and Waterhouse give more details about their recruitment methods</w:t>
      </w:r>
      <w:r w:rsidR="00856F6E">
        <w:rPr>
          <w:rFonts w:cstheme="minorHAnsi"/>
          <w:sz w:val="24"/>
          <w:szCs w:val="24"/>
        </w:rPr>
        <w:t xml:space="preserve"> than Brink</w:t>
      </w:r>
      <w:r w:rsidRPr="000307BB">
        <w:rPr>
          <w:rFonts w:cstheme="minorHAnsi"/>
          <w:sz w:val="24"/>
          <w:szCs w:val="24"/>
        </w:rPr>
        <w:t xml:space="preserve">. They recruited using a combination of personal contacts, local gatekeepers, such as the local radio presenters, and a snowballing effect. </w:t>
      </w:r>
      <w:proofErr w:type="spellStart"/>
      <w:r w:rsidRPr="000307BB">
        <w:rPr>
          <w:rFonts w:cstheme="minorHAnsi"/>
          <w:sz w:val="24"/>
          <w:szCs w:val="24"/>
        </w:rPr>
        <w:t>Hennink</w:t>
      </w:r>
      <w:proofErr w:type="spellEnd"/>
      <w:r w:rsidRPr="000307BB">
        <w:rPr>
          <w:rFonts w:cstheme="minorHAnsi"/>
          <w:sz w:val="24"/>
          <w:szCs w:val="24"/>
        </w:rPr>
        <w:t xml:space="preserve">, </w:t>
      </w:r>
      <w:proofErr w:type="spellStart"/>
      <w:r w:rsidRPr="000307BB">
        <w:rPr>
          <w:rFonts w:cstheme="minorHAnsi"/>
          <w:sz w:val="24"/>
          <w:szCs w:val="24"/>
        </w:rPr>
        <w:t>Hutter</w:t>
      </w:r>
      <w:proofErr w:type="spellEnd"/>
      <w:r w:rsidRPr="000307BB">
        <w:rPr>
          <w:rFonts w:cstheme="minorHAnsi"/>
          <w:sz w:val="24"/>
          <w:szCs w:val="24"/>
        </w:rPr>
        <w:t xml:space="preserve"> and Bailey (2020) suggest that using gatekeepers and the snowballing method helps researchers gain the trust of participants, as well encouraging participants who might not have responded to a more anonymised call to engagement</w:t>
      </w:r>
      <w:r w:rsidRPr="000307BB">
        <w:rPr>
          <w:rStyle w:val="FootnoteReference"/>
          <w:rFonts w:cstheme="minorHAnsi"/>
          <w:sz w:val="24"/>
          <w:szCs w:val="24"/>
        </w:rPr>
        <w:footnoteReference w:id="7"/>
      </w:r>
      <w:r w:rsidRPr="000307BB">
        <w:rPr>
          <w:rFonts w:cstheme="minorHAnsi"/>
          <w:sz w:val="24"/>
          <w:szCs w:val="24"/>
        </w:rPr>
        <w:t xml:space="preserve">. </w:t>
      </w:r>
    </w:p>
    <w:p w14:paraId="6B917F04" w14:textId="6CC5BC46" w:rsidR="00696499" w:rsidRPr="000307BB" w:rsidRDefault="00696499" w:rsidP="00696499">
      <w:pPr>
        <w:rPr>
          <w:rFonts w:cstheme="minorHAnsi"/>
          <w:sz w:val="24"/>
          <w:szCs w:val="24"/>
        </w:rPr>
      </w:pPr>
      <w:proofErr w:type="spellStart"/>
      <w:r w:rsidRPr="000307BB">
        <w:rPr>
          <w:rFonts w:cstheme="minorHAnsi"/>
          <w:sz w:val="24"/>
          <w:szCs w:val="24"/>
        </w:rPr>
        <w:t>Hen</w:t>
      </w:r>
      <w:r w:rsidR="00856F6E">
        <w:rPr>
          <w:rFonts w:cstheme="minorHAnsi"/>
          <w:sz w:val="24"/>
          <w:szCs w:val="24"/>
        </w:rPr>
        <w:t>n</w:t>
      </w:r>
      <w:r w:rsidRPr="000307BB">
        <w:rPr>
          <w:rFonts w:cstheme="minorHAnsi"/>
          <w:sz w:val="24"/>
          <w:szCs w:val="24"/>
        </w:rPr>
        <w:t>ink</w:t>
      </w:r>
      <w:proofErr w:type="spellEnd"/>
      <w:r w:rsidRPr="000307BB">
        <w:rPr>
          <w:rFonts w:cstheme="minorHAnsi"/>
          <w:sz w:val="24"/>
          <w:szCs w:val="24"/>
        </w:rPr>
        <w:t xml:space="preserve">, </w:t>
      </w:r>
      <w:proofErr w:type="spellStart"/>
      <w:r w:rsidRPr="000307BB">
        <w:rPr>
          <w:rFonts w:cstheme="minorHAnsi"/>
          <w:sz w:val="24"/>
          <w:szCs w:val="24"/>
        </w:rPr>
        <w:t>Hutter</w:t>
      </w:r>
      <w:proofErr w:type="spellEnd"/>
      <w:r w:rsidRPr="000307BB">
        <w:rPr>
          <w:rFonts w:cstheme="minorHAnsi"/>
          <w:sz w:val="24"/>
          <w:szCs w:val="24"/>
        </w:rPr>
        <w:t xml:space="preserve"> and Bailey suggest that diversity of participants helps researchers understand ‘the study issues in all their dimensions and contextual nuances’.</w:t>
      </w:r>
      <w:r w:rsidRPr="000307BB">
        <w:rPr>
          <w:rStyle w:val="FootnoteReference"/>
          <w:rFonts w:cstheme="minorHAnsi"/>
          <w:sz w:val="24"/>
          <w:szCs w:val="24"/>
        </w:rPr>
        <w:footnoteReference w:id="8"/>
      </w:r>
      <w:r w:rsidRPr="000307BB">
        <w:rPr>
          <w:rFonts w:cstheme="minorHAnsi"/>
          <w:sz w:val="24"/>
          <w:szCs w:val="24"/>
        </w:rPr>
        <w:t xml:space="preserve"> This depth of nuance is especially important when studying only a small sampl</w:t>
      </w:r>
      <w:r w:rsidR="00FF5ADD">
        <w:rPr>
          <w:rFonts w:cstheme="minorHAnsi"/>
          <w:sz w:val="24"/>
          <w:szCs w:val="24"/>
        </w:rPr>
        <w:t>e</w:t>
      </w:r>
      <w:r w:rsidRPr="000307BB">
        <w:rPr>
          <w:rFonts w:cstheme="minorHAnsi"/>
          <w:sz w:val="24"/>
          <w:szCs w:val="24"/>
        </w:rPr>
        <w:t xml:space="preserve">. </w:t>
      </w:r>
      <w:r w:rsidR="00856F6E">
        <w:rPr>
          <w:rFonts w:cstheme="minorHAnsi"/>
          <w:sz w:val="24"/>
          <w:szCs w:val="24"/>
        </w:rPr>
        <w:t>Although b</w:t>
      </w:r>
      <w:r w:rsidRPr="000307BB">
        <w:rPr>
          <w:rFonts w:cstheme="minorHAnsi"/>
          <w:sz w:val="24"/>
          <w:szCs w:val="24"/>
        </w:rPr>
        <w:t>oth studies included young people</w:t>
      </w:r>
      <w:r w:rsidR="00856F6E">
        <w:rPr>
          <w:rFonts w:cstheme="minorHAnsi"/>
          <w:sz w:val="24"/>
          <w:szCs w:val="24"/>
        </w:rPr>
        <w:t>,</w:t>
      </w:r>
      <w:r w:rsidRPr="000307BB">
        <w:rPr>
          <w:rFonts w:cstheme="minorHAnsi"/>
          <w:sz w:val="24"/>
          <w:szCs w:val="24"/>
        </w:rPr>
        <w:t xml:space="preserve"> Walter and Waterhouse also included adults. This added more diversity to their sample group</w:t>
      </w:r>
      <w:r w:rsidR="00856F6E">
        <w:rPr>
          <w:rFonts w:cstheme="minorHAnsi"/>
          <w:sz w:val="24"/>
          <w:szCs w:val="24"/>
        </w:rPr>
        <w:t>. F</w:t>
      </w:r>
      <w:r w:rsidRPr="000307BB">
        <w:rPr>
          <w:rFonts w:cstheme="minorHAnsi"/>
          <w:sz w:val="24"/>
          <w:szCs w:val="24"/>
        </w:rPr>
        <w:t xml:space="preserve">or example, they interviewed Christians, </w:t>
      </w:r>
      <w:proofErr w:type="gramStart"/>
      <w:r w:rsidRPr="000307BB">
        <w:rPr>
          <w:rFonts w:cstheme="minorHAnsi"/>
          <w:sz w:val="24"/>
          <w:szCs w:val="24"/>
        </w:rPr>
        <w:t>Quakers</w:t>
      </w:r>
      <w:proofErr w:type="gramEnd"/>
      <w:r w:rsidRPr="000307BB">
        <w:rPr>
          <w:rFonts w:cstheme="minorHAnsi"/>
          <w:sz w:val="24"/>
          <w:szCs w:val="24"/>
        </w:rPr>
        <w:t xml:space="preserve"> and people from a range of socio-economic groups, compared to Brink’s working-class Catholic school girls. However, Walter and Waterhouse’s research might have struggled with homogeneity of belief in the same way that Brink’s sample does. </w:t>
      </w:r>
      <w:r w:rsidR="00FF5ADD">
        <w:rPr>
          <w:rFonts w:cstheme="minorHAnsi"/>
          <w:sz w:val="24"/>
          <w:szCs w:val="24"/>
        </w:rPr>
        <w:t xml:space="preserve">Assuming </w:t>
      </w:r>
      <w:r w:rsidRPr="000307BB">
        <w:rPr>
          <w:rFonts w:cstheme="minorHAnsi"/>
          <w:sz w:val="24"/>
          <w:szCs w:val="24"/>
        </w:rPr>
        <w:t>that</w:t>
      </w:r>
      <w:r w:rsidR="00FF5ADD">
        <w:rPr>
          <w:rFonts w:cstheme="minorHAnsi"/>
          <w:sz w:val="24"/>
          <w:szCs w:val="24"/>
        </w:rPr>
        <w:t xml:space="preserve"> their</w:t>
      </w:r>
      <w:r w:rsidRPr="000307BB">
        <w:rPr>
          <w:rFonts w:cstheme="minorHAnsi"/>
          <w:sz w:val="24"/>
          <w:szCs w:val="24"/>
        </w:rPr>
        <w:t xml:space="preserve"> personal contacts are pulling in their own personal contacts, then</w:t>
      </w:r>
      <w:r w:rsidR="00856F6E">
        <w:rPr>
          <w:rFonts w:cstheme="minorHAnsi"/>
          <w:sz w:val="24"/>
          <w:szCs w:val="24"/>
        </w:rPr>
        <w:t>,</w:t>
      </w:r>
      <w:r w:rsidRPr="000307BB">
        <w:rPr>
          <w:rFonts w:cstheme="minorHAnsi"/>
          <w:sz w:val="24"/>
          <w:szCs w:val="24"/>
        </w:rPr>
        <w:t xml:space="preserve"> potentially</w:t>
      </w:r>
      <w:r w:rsidR="00856F6E">
        <w:rPr>
          <w:rFonts w:cstheme="minorHAnsi"/>
          <w:sz w:val="24"/>
          <w:szCs w:val="24"/>
        </w:rPr>
        <w:t>,</w:t>
      </w:r>
      <w:r w:rsidRPr="000307BB">
        <w:rPr>
          <w:rFonts w:cstheme="minorHAnsi"/>
          <w:sz w:val="24"/>
          <w:szCs w:val="24"/>
        </w:rPr>
        <w:t xml:space="preserve"> they all </w:t>
      </w:r>
      <w:r w:rsidRPr="000307BB">
        <w:rPr>
          <w:rFonts w:cstheme="minorHAnsi"/>
          <w:sz w:val="24"/>
          <w:szCs w:val="24"/>
        </w:rPr>
        <w:lastRenderedPageBreak/>
        <w:t xml:space="preserve">believe similar things. This would affect the data in the same way as it would Brink’s in that the research would not have generated a wide spectrum of belief. </w:t>
      </w:r>
    </w:p>
    <w:p w14:paraId="58EA686E" w14:textId="3D76B5E5" w:rsidR="00696499" w:rsidRPr="000307BB" w:rsidRDefault="00696499" w:rsidP="00696499">
      <w:pPr>
        <w:rPr>
          <w:rFonts w:cstheme="minorHAnsi"/>
          <w:sz w:val="24"/>
          <w:szCs w:val="24"/>
        </w:rPr>
      </w:pPr>
      <w:proofErr w:type="spellStart"/>
      <w:r w:rsidRPr="000307BB">
        <w:rPr>
          <w:rFonts w:cstheme="minorHAnsi"/>
          <w:sz w:val="24"/>
          <w:szCs w:val="24"/>
        </w:rPr>
        <w:t>Hennink</w:t>
      </w:r>
      <w:proofErr w:type="spellEnd"/>
      <w:r w:rsidRPr="000307BB">
        <w:rPr>
          <w:rFonts w:cstheme="minorHAnsi"/>
          <w:sz w:val="24"/>
          <w:szCs w:val="24"/>
        </w:rPr>
        <w:t xml:space="preserve">, </w:t>
      </w:r>
      <w:proofErr w:type="spellStart"/>
      <w:r w:rsidRPr="000307BB">
        <w:rPr>
          <w:rFonts w:cstheme="minorHAnsi"/>
          <w:sz w:val="24"/>
          <w:szCs w:val="24"/>
        </w:rPr>
        <w:t>Hutter</w:t>
      </w:r>
      <w:proofErr w:type="spellEnd"/>
      <w:r w:rsidRPr="000307BB">
        <w:rPr>
          <w:rFonts w:cstheme="minorHAnsi"/>
          <w:sz w:val="24"/>
          <w:szCs w:val="24"/>
        </w:rPr>
        <w:t xml:space="preserve"> and Bailey advise ‘it is usual to inform participants about the research objectives, how the data will be used, and the outcomes of the study’ and </w:t>
      </w:r>
      <w:r w:rsidR="00856F6E" w:rsidRPr="000307BB">
        <w:rPr>
          <w:rFonts w:cstheme="minorHAnsi"/>
          <w:sz w:val="24"/>
          <w:szCs w:val="24"/>
        </w:rPr>
        <w:t>that ‘</w:t>
      </w:r>
      <w:r w:rsidRPr="000307BB">
        <w:rPr>
          <w:rFonts w:cstheme="minorHAnsi"/>
          <w:sz w:val="24"/>
          <w:szCs w:val="24"/>
        </w:rPr>
        <w:t>While introducing your research to participants, you must also seek their consent to participate in the study.</w:t>
      </w:r>
      <w:r w:rsidRPr="000307BB">
        <w:rPr>
          <w:rStyle w:val="FootnoteReference"/>
          <w:rFonts w:cstheme="minorHAnsi"/>
          <w:sz w:val="24"/>
          <w:szCs w:val="24"/>
        </w:rPr>
        <w:footnoteReference w:id="9"/>
      </w:r>
      <w:r w:rsidRPr="000307BB">
        <w:rPr>
          <w:rFonts w:cstheme="minorHAnsi"/>
          <w:sz w:val="24"/>
          <w:szCs w:val="24"/>
        </w:rPr>
        <w:t>’</w:t>
      </w:r>
      <w:r w:rsidR="00FF5ADD">
        <w:rPr>
          <w:rFonts w:cstheme="minorHAnsi"/>
          <w:sz w:val="24"/>
          <w:szCs w:val="24"/>
        </w:rPr>
        <w:t xml:space="preserve"> </w:t>
      </w:r>
      <w:r w:rsidRPr="000307BB">
        <w:rPr>
          <w:rFonts w:cstheme="minorHAnsi"/>
          <w:sz w:val="24"/>
          <w:szCs w:val="24"/>
        </w:rPr>
        <w:t>Brink does not mention whether he had secured consent from the girls’ parents for their involvement in the survey.  T</w:t>
      </w:r>
      <w:r w:rsidR="00856F6E">
        <w:rPr>
          <w:rFonts w:cstheme="minorHAnsi"/>
          <w:sz w:val="24"/>
          <w:szCs w:val="24"/>
        </w:rPr>
        <w:t>oday,</w:t>
      </w:r>
      <w:r w:rsidRPr="000307BB">
        <w:rPr>
          <w:rFonts w:cstheme="minorHAnsi"/>
          <w:sz w:val="24"/>
          <w:szCs w:val="24"/>
        </w:rPr>
        <w:t xml:space="preserve"> </w:t>
      </w:r>
      <w:r w:rsidR="00856F6E">
        <w:rPr>
          <w:rFonts w:cstheme="minorHAnsi"/>
          <w:sz w:val="24"/>
          <w:szCs w:val="24"/>
        </w:rPr>
        <w:t xml:space="preserve">seeking </w:t>
      </w:r>
      <w:r w:rsidRPr="000307BB">
        <w:rPr>
          <w:rFonts w:cstheme="minorHAnsi"/>
          <w:sz w:val="24"/>
          <w:szCs w:val="24"/>
        </w:rPr>
        <w:t>consent from the parents would be</w:t>
      </w:r>
      <w:r w:rsidR="00856F6E">
        <w:rPr>
          <w:rFonts w:cstheme="minorHAnsi"/>
          <w:sz w:val="24"/>
          <w:szCs w:val="24"/>
        </w:rPr>
        <w:t xml:space="preserve"> </w:t>
      </w:r>
      <w:r w:rsidRPr="000307BB">
        <w:rPr>
          <w:rFonts w:cstheme="minorHAnsi"/>
          <w:sz w:val="24"/>
          <w:szCs w:val="24"/>
        </w:rPr>
        <w:t xml:space="preserve">expected but Brink’s paper is from 1978 and is, therefore, prior to United Nations Convention on the Rights </w:t>
      </w:r>
      <w:r w:rsidRPr="000307BB">
        <w:rPr>
          <w:rFonts w:cstheme="minorHAnsi"/>
          <w:color w:val="FF0000"/>
          <w:sz w:val="24"/>
          <w:szCs w:val="24"/>
        </w:rPr>
        <w:t>of the Child (UNCRC) 1989</w:t>
      </w:r>
      <w:r w:rsidRPr="000307BB">
        <w:rPr>
          <w:rStyle w:val="FootnoteReference"/>
          <w:rFonts w:cstheme="minorHAnsi"/>
          <w:color w:val="FF0000"/>
          <w:sz w:val="24"/>
          <w:szCs w:val="24"/>
        </w:rPr>
        <w:footnoteReference w:id="10"/>
      </w:r>
      <w:r w:rsidRPr="000307BB">
        <w:rPr>
          <w:rFonts w:cstheme="minorHAnsi"/>
          <w:sz w:val="24"/>
          <w:szCs w:val="24"/>
        </w:rPr>
        <w:t xml:space="preserve">. The UNCRC changed the way adults work with children and now any activity involving young people needs to show that it has considered the impact of that activity on the child’s welfare. Although modern readers can identify ethical concerns about the way Brink engaged his sample group, it is important to recognise that this is a paper of its time, following different protocols to those </w:t>
      </w:r>
      <w:r w:rsidR="0090555B">
        <w:rPr>
          <w:rFonts w:cstheme="minorHAnsi"/>
          <w:sz w:val="24"/>
          <w:szCs w:val="24"/>
        </w:rPr>
        <w:t xml:space="preserve">of </w:t>
      </w:r>
      <w:r w:rsidRPr="000307BB">
        <w:rPr>
          <w:rFonts w:cstheme="minorHAnsi"/>
          <w:sz w:val="24"/>
          <w:szCs w:val="24"/>
        </w:rPr>
        <w:t xml:space="preserve">today. Although most of the Walter and Waterhouse sample were adult, they did interview young people as well, but, like Brink, they do not explain how they accessed them and what safeguarding protocols were followed. But, again, their paper was published in 1999 and should also be considered in terms of what the ethical expectations of that time were, as opposed to judging the paper on current ethical expectations. </w:t>
      </w:r>
    </w:p>
    <w:p w14:paraId="571370DB" w14:textId="77777777" w:rsidR="0090555B" w:rsidRDefault="0090555B" w:rsidP="00942210">
      <w:pPr>
        <w:pStyle w:val="Heading1"/>
      </w:pPr>
    </w:p>
    <w:p w14:paraId="40945F51" w14:textId="51C6EA32" w:rsidR="006C3E11" w:rsidRPr="000307BB" w:rsidRDefault="006C3E11" w:rsidP="00942210">
      <w:pPr>
        <w:pStyle w:val="Heading1"/>
      </w:pPr>
      <w:r w:rsidRPr="000307BB">
        <w:t>Data Gathering</w:t>
      </w:r>
    </w:p>
    <w:p w14:paraId="03DE0F46" w14:textId="6EE16A60" w:rsidR="0007016B" w:rsidRPr="000307BB" w:rsidRDefault="0007016B" w:rsidP="0007016B">
      <w:pPr>
        <w:rPr>
          <w:rFonts w:cstheme="minorHAnsi"/>
          <w:sz w:val="24"/>
          <w:szCs w:val="24"/>
        </w:rPr>
      </w:pPr>
      <w:r>
        <w:rPr>
          <w:rFonts w:cstheme="minorHAnsi"/>
          <w:sz w:val="24"/>
          <w:szCs w:val="24"/>
        </w:rPr>
        <w:t xml:space="preserve">Brink’s study raises some ethical concerns. </w:t>
      </w:r>
      <w:proofErr w:type="spellStart"/>
      <w:r w:rsidRPr="000307BB">
        <w:rPr>
          <w:rFonts w:cstheme="minorHAnsi"/>
          <w:sz w:val="24"/>
          <w:szCs w:val="24"/>
        </w:rPr>
        <w:t>Hennink</w:t>
      </w:r>
      <w:proofErr w:type="spellEnd"/>
      <w:r w:rsidRPr="000307BB">
        <w:rPr>
          <w:rFonts w:cstheme="minorHAnsi"/>
          <w:sz w:val="24"/>
          <w:szCs w:val="24"/>
        </w:rPr>
        <w:t xml:space="preserve">, </w:t>
      </w:r>
      <w:proofErr w:type="spellStart"/>
      <w:r w:rsidRPr="000307BB">
        <w:rPr>
          <w:rFonts w:cstheme="minorHAnsi"/>
          <w:sz w:val="24"/>
          <w:szCs w:val="24"/>
        </w:rPr>
        <w:t>Hutter</w:t>
      </w:r>
      <w:proofErr w:type="spellEnd"/>
      <w:r w:rsidRPr="000307BB">
        <w:rPr>
          <w:rFonts w:cstheme="minorHAnsi"/>
          <w:sz w:val="24"/>
          <w:szCs w:val="24"/>
        </w:rPr>
        <w:t xml:space="preserve"> and Bailey remind us that a ‘participant can … withdraw consent…at any point’</w:t>
      </w:r>
      <w:r w:rsidRPr="000307BB">
        <w:rPr>
          <w:rStyle w:val="FootnoteReference"/>
          <w:rFonts w:cstheme="minorHAnsi"/>
          <w:sz w:val="24"/>
          <w:szCs w:val="24"/>
        </w:rPr>
        <w:footnoteReference w:id="11"/>
      </w:r>
      <w:r>
        <w:rPr>
          <w:rFonts w:cstheme="minorHAnsi"/>
          <w:sz w:val="24"/>
          <w:szCs w:val="24"/>
        </w:rPr>
        <w:t xml:space="preserve">, meaning </w:t>
      </w:r>
      <w:r w:rsidRPr="000307BB">
        <w:rPr>
          <w:rFonts w:cstheme="minorHAnsi"/>
          <w:sz w:val="24"/>
          <w:szCs w:val="24"/>
        </w:rPr>
        <w:t xml:space="preserve">participants should be told they can refuse to answer </w:t>
      </w:r>
      <w:proofErr w:type="gramStart"/>
      <w:r w:rsidRPr="000307BB">
        <w:rPr>
          <w:rFonts w:cstheme="minorHAnsi"/>
          <w:sz w:val="24"/>
          <w:szCs w:val="24"/>
        </w:rPr>
        <w:t>particular questions</w:t>
      </w:r>
      <w:proofErr w:type="gramEnd"/>
      <w:r w:rsidRPr="000307BB">
        <w:rPr>
          <w:rFonts w:cstheme="minorHAnsi"/>
          <w:sz w:val="24"/>
          <w:szCs w:val="24"/>
        </w:rPr>
        <w:t xml:space="preserve"> or withdraw from a study. Brink does not explain whether the girls </w:t>
      </w:r>
      <w:r>
        <w:rPr>
          <w:rFonts w:cstheme="minorHAnsi"/>
          <w:sz w:val="24"/>
          <w:szCs w:val="24"/>
        </w:rPr>
        <w:t xml:space="preserve">were given the choice of participating. </w:t>
      </w:r>
      <w:r w:rsidRPr="000307BB">
        <w:rPr>
          <w:rFonts w:cstheme="minorHAnsi"/>
          <w:sz w:val="24"/>
          <w:szCs w:val="24"/>
        </w:rPr>
        <w:t>If the girls had not been told this, they might have felt obliged to answer questions with which they did not feel comfortable and that would be considered unethical today. As Walter and Waterhouse give us very little information about the young people’s involvement in their study, it is impossible to say whether they followed ethical guidelines in their interviews with young people</w:t>
      </w:r>
      <w:r>
        <w:rPr>
          <w:rFonts w:cstheme="minorHAnsi"/>
          <w:sz w:val="24"/>
          <w:szCs w:val="24"/>
        </w:rPr>
        <w:t xml:space="preserve"> either</w:t>
      </w:r>
      <w:r w:rsidRPr="000307BB">
        <w:rPr>
          <w:rFonts w:cstheme="minorHAnsi"/>
          <w:sz w:val="24"/>
          <w:szCs w:val="24"/>
        </w:rPr>
        <w:t>.</w:t>
      </w:r>
    </w:p>
    <w:p w14:paraId="2E00DF6F" w14:textId="0DBB50CC" w:rsidR="006D0E1A" w:rsidRDefault="006C3E11" w:rsidP="006D0E1A">
      <w:pPr>
        <w:rPr>
          <w:rFonts w:cstheme="minorHAnsi"/>
          <w:sz w:val="24"/>
          <w:szCs w:val="24"/>
        </w:rPr>
      </w:pPr>
      <w:r w:rsidRPr="000307BB">
        <w:rPr>
          <w:rFonts w:cstheme="minorHAnsi"/>
          <w:sz w:val="24"/>
          <w:szCs w:val="24"/>
        </w:rPr>
        <w:t>Brink’s study embodies a positivist approach in that he is seeking to test a hypothesis about congruity of belief. He selected survey</w:t>
      </w:r>
      <w:r w:rsidR="0090555B">
        <w:rPr>
          <w:rFonts w:cstheme="minorHAnsi"/>
          <w:sz w:val="24"/>
          <w:szCs w:val="24"/>
        </w:rPr>
        <w:t>s</w:t>
      </w:r>
      <w:r w:rsidRPr="000307BB">
        <w:rPr>
          <w:rFonts w:cstheme="minorHAnsi"/>
          <w:sz w:val="24"/>
          <w:szCs w:val="24"/>
        </w:rPr>
        <w:t xml:space="preserve"> as his method of data gathering and his paper </w:t>
      </w:r>
      <w:r w:rsidR="00670F10">
        <w:rPr>
          <w:rFonts w:cstheme="minorHAnsi"/>
          <w:sz w:val="24"/>
          <w:szCs w:val="24"/>
        </w:rPr>
        <w:t>sets out</w:t>
      </w:r>
      <w:r w:rsidRPr="000307BB">
        <w:rPr>
          <w:rFonts w:cstheme="minorHAnsi"/>
          <w:sz w:val="24"/>
          <w:szCs w:val="24"/>
        </w:rPr>
        <w:t xml:space="preserve"> a </w:t>
      </w:r>
      <w:r w:rsidR="00670F10">
        <w:rPr>
          <w:rFonts w:cstheme="minorHAnsi"/>
          <w:sz w:val="24"/>
          <w:szCs w:val="24"/>
        </w:rPr>
        <w:t>list</w:t>
      </w:r>
      <w:r w:rsidRPr="000307BB">
        <w:rPr>
          <w:rFonts w:cstheme="minorHAnsi"/>
          <w:sz w:val="24"/>
          <w:szCs w:val="24"/>
        </w:rPr>
        <w:t xml:space="preserve"> of statements given to his respondents. </w:t>
      </w:r>
      <w:r w:rsidR="0090555B">
        <w:rPr>
          <w:rFonts w:cstheme="minorHAnsi"/>
          <w:sz w:val="24"/>
          <w:szCs w:val="24"/>
        </w:rPr>
        <w:t>T</w:t>
      </w:r>
      <w:r w:rsidRPr="000307BB">
        <w:rPr>
          <w:rFonts w:cstheme="minorHAnsi"/>
          <w:sz w:val="24"/>
          <w:szCs w:val="24"/>
        </w:rPr>
        <w:t>he wording of the statements seem</w:t>
      </w:r>
      <w:r w:rsidR="00670F10">
        <w:rPr>
          <w:rFonts w:cstheme="minorHAnsi"/>
          <w:sz w:val="24"/>
          <w:szCs w:val="24"/>
        </w:rPr>
        <w:t>s</w:t>
      </w:r>
      <w:r w:rsidR="0090555B">
        <w:rPr>
          <w:rFonts w:cstheme="minorHAnsi"/>
          <w:sz w:val="24"/>
          <w:szCs w:val="24"/>
        </w:rPr>
        <w:t xml:space="preserve"> age-</w:t>
      </w:r>
      <w:r w:rsidRPr="000307BB">
        <w:rPr>
          <w:rFonts w:cstheme="minorHAnsi"/>
          <w:sz w:val="24"/>
          <w:szCs w:val="24"/>
        </w:rPr>
        <w:t>appropriate</w:t>
      </w:r>
      <w:r w:rsidR="0090555B">
        <w:rPr>
          <w:rFonts w:cstheme="minorHAnsi"/>
          <w:sz w:val="24"/>
          <w:szCs w:val="24"/>
        </w:rPr>
        <w:t>,</w:t>
      </w:r>
      <w:r w:rsidRPr="000307BB">
        <w:rPr>
          <w:rFonts w:cstheme="minorHAnsi"/>
          <w:sz w:val="24"/>
          <w:szCs w:val="24"/>
        </w:rPr>
        <w:t xml:space="preserve"> </w:t>
      </w:r>
      <w:proofErr w:type="gramStart"/>
      <w:r w:rsidRPr="000307BB">
        <w:rPr>
          <w:rFonts w:cstheme="minorHAnsi"/>
          <w:sz w:val="24"/>
          <w:szCs w:val="24"/>
        </w:rPr>
        <w:t>clear</w:t>
      </w:r>
      <w:proofErr w:type="gramEnd"/>
      <w:r w:rsidRPr="000307BB">
        <w:rPr>
          <w:rFonts w:cstheme="minorHAnsi"/>
          <w:sz w:val="24"/>
          <w:szCs w:val="24"/>
        </w:rPr>
        <w:t xml:space="preserve"> and easy to understand. To a certain extent, they address Brink’s broad remit of exploring congruity of belief, as the data </w:t>
      </w:r>
      <w:r w:rsidR="00670F10">
        <w:rPr>
          <w:rFonts w:cstheme="minorHAnsi"/>
          <w:sz w:val="24"/>
          <w:szCs w:val="24"/>
        </w:rPr>
        <w:t>did</w:t>
      </w:r>
      <w:r w:rsidRPr="000307BB">
        <w:rPr>
          <w:rFonts w:cstheme="minorHAnsi"/>
          <w:sz w:val="24"/>
          <w:szCs w:val="24"/>
        </w:rPr>
        <w:t xml:space="preserve"> show that the girls can indeed believe in both God and astrology/reincarnation simultaneously. As Brink does not describe the structure of the survey, the reader is unclear about whether the statements were simple Yes/No questions, a Likert scale or even the</w:t>
      </w:r>
      <w:r w:rsidR="0090555B">
        <w:rPr>
          <w:rFonts w:cstheme="minorHAnsi"/>
          <w:sz w:val="24"/>
          <w:szCs w:val="24"/>
        </w:rPr>
        <w:t xml:space="preserve"> only </w:t>
      </w:r>
      <w:r w:rsidRPr="000307BB">
        <w:rPr>
          <w:rFonts w:cstheme="minorHAnsi"/>
          <w:sz w:val="24"/>
          <w:szCs w:val="24"/>
        </w:rPr>
        <w:t xml:space="preserve">questions asked. What is clear, however, is </w:t>
      </w:r>
      <w:r w:rsidRPr="000307BB">
        <w:rPr>
          <w:rFonts w:cstheme="minorHAnsi"/>
          <w:sz w:val="24"/>
          <w:szCs w:val="24"/>
        </w:rPr>
        <w:lastRenderedPageBreak/>
        <w:t>that the statements were closed and offered no room for the respondents to elaborate on their answers. Some of the statements show that Brink was trying to elicit slightly deeper data about the girls’ private religious beliefs, for example, ‘I would go to mass even if my parents did not make me.’</w:t>
      </w:r>
      <w:r w:rsidRPr="000307BB">
        <w:rPr>
          <w:rStyle w:val="FootnoteReference"/>
          <w:rFonts w:cstheme="minorHAnsi"/>
          <w:sz w:val="24"/>
          <w:szCs w:val="24"/>
        </w:rPr>
        <w:footnoteReference w:id="12"/>
      </w:r>
      <w:r w:rsidRPr="000307BB">
        <w:rPr>
          <w:rFonts w:cstheme="minorHAnsi"/>
          <w:sz w:val="24"/>
          <w:szCs w:val="24"/>
        </w:rPr>
        <w:t xml:space="preserve"> </w:t>
      </w:r>
    </w:p>
    <w:p w14:paraId="2E96A69B" w14:textId="324E63BA" w:rsidR="006C3E11" w:rsidRPr="000307BB" w:rsidRDefault="006C3E11" w:rsidP="006C3E11">
      <w:pPr>
        <w:rPr>
          <w:rFonts w:cstheme="minorHAnsi"/>
          <w:sz w:val="24"/>
          <w:szCs w:val="24"/>
        </w:rPr>
      </w:pPr>
      <w:r w:rsidRPr="000307BB">
        <w:rPr>
          <w:rFonts w:cstheme="minorHAnsi"/>
          <w:sz w:val="24"/>
          <w:szCs w:val="24"/>
        </w:rPr>
        <w:t>Bell and Waters (2018) caution that surveys ‘can provide answers to the questions ‘What?’, ‘Where?’, ‘When?’ and ‘How?’, but it is not so easy to find out ‘Why?’’</w:t>
      </w:r>
      <w:r w:rsidRPr="000307BB">
        <w:rPr>
          <w:rStyle w:val="FootnoteReference"/>
          <w:rFonts w:cstheme="minorHAnsi"/>
          <w:sz w:val="24"/>
          <w:szCs w:val="24"/>
        </w:rPr>
        <w:footnoteReference w:id="13"/>
      </w:r>
      <w:r w:rsidRPr="000307BB">
        <w:rPr>
          <w:rFonts w:cstheme="minorHAnsi"/>
          <w:sz w:val="24"/>
          <w:szCs w:val="24"/>
        </w:rPr>
        <w:t xml:space="preserve"> If Brink merely wanted to </w:t>
      </w:r>
      <w:r w:rsidR="0090555B">
        <w:rPr>
          <w:rFonts w:cstheme="minorHAnsi"/>
          <w:sz w:val="24"/>
          <w:szCs w:val="24"/>
        </w:rPr>
        <w:t>test</w:t>
      </w:r>
      <w:r w:rsidRPr="000307BB">
        <w:rPr>
          <w:rFonts w:cstheme="minorHAnsi"/>
          <w:sz w:val="24"/>
          <w:szCs w:val="24"/>
        </w:rPr>
        <w:t xml:space="preserve"> his hypothesis, his data collection method may be considered adequate. If, however, he was seeking to understand more about why people can hold incompatible beliefs, his methodology was inadequate and follow-up interviews might have provided richer data. In terms of the subject matter of his research itself, Brink’s data collection method is ineffective as he was studying belief, not behaviour. As Clifford Geertz points out, ‘the attempts to highly scientize social science’, as Brink does here with his closed-questions survey, get in the way of helping ‘people understand one another’ in the way that interpretivist research tries to do.</w:t>
      </w:r>
      <w:r w:rsidRPr="000307BB">
        <w:rPr>
          <w:rStyle w:val="FootnoteReference"/>
          <w:rFonts w:cstheme="minorHAnsi"/>
          <w:sz w:val="24"/>
          <w:szCs w:val="24"/>
        </w:rPr>
        <w:footnoteReference w:id="14"/>
      </w:r>
    </w:p>
    <w:p w14:paraId="30AB67DD" w14:textId="746ED7FD" w:rsidR="00D17D70" w:rsidRDefault="006C3E11" w:rsidP="006C3E11">
      <w:pPr>
        <w:rPr>
          <w:rFonts w:cstheme="minorHAnsi"/>
          <w:sz w:val="24"/>
          <w:szCs w:val="24"/>
        </w:rPr>
      </w:pPr>
      <w:r w:rsidRPr="000307BB">
        <w:rPr>
          <w:rFonts w:cstheme="minorHAnsi"/>
          <w:sz w:val="24"/>
          <w:szCs w:val="24"/>
        </w:rPr>
        <w:t>Walter and Waterhouse’s qualitative research sought to ‘elicit the meaning of reincarnation to those who believe in it’ (p188)</w:t>
      </w:r>
      <w:r w:rsidR="001E2B14">
        <w:rPr>
          <w:rFonts w:cstheme="minorHAnsi"/>
          <w:sz w:val="24"/>
          <w:szCs w:val="24"/>
        </w:rPr>
        <w:t xml:space="preserve"> - a</w:t>
      </w:r>
      <w:r w:rsidRPr="000307BB">
        <w:rPr>
          <w:rFonts w:cstheme="minorHAnsi"/>
          <w:sz w:val="24"/>
          <w:szCs w:val="24"/>
        </w:rPr>
        <w:t xml:space="preserve"> Verstehen</w:t>
      </w:r>
      <w:r w:rsidR="00D17D70">
        <w:rPr>
          <w:rFonts w:cstheme="minorHAnsi"/>
          <w:sz w:val="24"/>
          <w:szCs w:val="24"/>
        </w:rPr>
        <w:t xml:space="preserve"> approach </w:t>
      </w:r>
      <w:r w:rsidRPr="000307BB">
        <w:rPr>
          <w:rFonts w:cstheme="minorHAnsi"/>
          <w:sz w:val="24"/>
          <w:szCs w:val="24"/>
        </w:rPr>
        <w:t>seek</w:t>
      </w:r>
      <w:r w:rsidR="001E2B14">
        <w:rPr>
          <w:rFonts w:cstheme="minorHAnsi"/>
          <w:sz w:val="24"/>
          <w:szCs w:val="24"/>
        </w:rPr>
        <w:t>ing</w:t>
      </w:r>
      <w:r w:rsidRPr="000307BB">
        <w:rPr>
          <w:rFonts w:cstheme="minorHAnsi"/>
          <w:sz w:val="24"/>
          <w:szCs w:val="24"/>
        </w:rPr>
        <w:t xml:space="preserve"> to understand issues from the perspective of the study population. The role of Verstehen is often seen as central to the practice of qualitative research (Bryman, 1996 p56; </w:t>
      </w:r>
      <w:proofErr w:type="spellStart"/>
      <w:r w:rsidR="00D17D70">
        <w:rPr>
          <w:rFonts w:cstheme="minorHAnsi"/>
          <w:sz w:val="24"/>
          <w:szCs w:val="24"/>
        </w:rPr>
        <w:t>H</w:t>
      </w:r>
      <w:r w:rsidRPr="000307BB">
        <w:rPr>
          <w:rFonts w:cstheme="minorHAnsi"/>
          <w:sz w:val="24"/>
          <w:szCs w:val="24"/>
        </w:rPr>
        <w:t>ennink</w:t>
      </w:r>
      <w:proofErr w:type="spellEnd"/>
      <w:r w:rsidRPr="000307BB">
        <w:rPr>
          <w:rFonts w:cstheme="minorHAnsi"/>
          <w:sz w:val="24"/>
          <w:szCs w:val="24"/>
        </w:rPr>
        <w:t xml:space="preserve"> </w:t>
      </w:r>
      <w:proofErr w:type="spellStart"/>
      <w:r w:rsidRPr="000307BB">
        <w:rPr>
          <w:rFonts w:cstheme="minorHAnsi"/>
          <w:sz w:val="24"/>
          <w:szCs w:val="24"/>
        </w:rPr>
        <w:t>Hutter</w:t>
      </w:r>
      <w:proofErr w:type="spellEnd"/>
      <w:r w:rsidRPr="000307BB">
        <w:rPr>
          <w:rFonts w:cstheme="minorHAnsi"/>
          <w:sz w:val="24"/>
          <w:szCs w:val="24"/>
        </w:rPr>
        <w:t xml:space="preserve"> and Bailey 2020 p 17). </w:t>
      </w:r>
      <w:proofErr w:type="spellStart"/>
      <w:r w:rsidRPr="000307BB">
        <w:rPr>
          <w:rFonts w:cstheme="minorHAnsi"/>
          <w:sz w:val="24"/>
          <w:szCs w:val="24"/>
        </w:rPr>
        <w:t>Hennink</w:t>
      </w:r>
      <w:proofErr w:type="spellEnd"/>
      <w:r w:rsidRPr="000307BB">
        <w:rPr>
          <w:rFonts w:cstheme="minorHAnsi"/>
          <w:sz w:val="24"/>
          <w:szCs w:val="24"/>
        </w:rPr>
        <w:t xml:space="preserve">, </w:t>
      </w:r>
      <w:proofErr w:type="spellStart"/>
      <w:r w:rsidRPr="000307BB">
        <w:rPr>
          <w:rFonts w:cstheme="minorHAnsi"/>
          <w:sz w:val="24"/>
          <w:szCs w:val="24"/>
        </w:rPr>
        <w:t>Hutter</w:t>
      </w:r>
      <w:proofErr w:type="spellEnd"/>
      <w:r w:rsidRPr="000307BB">
        <w:rPr>
          <w:rFonts w:cstheme="minorHAnsi"/>
          <w:sz w:val="24"/>
          <w:szCs w:val="24"/>
        </w:rPr>
        <w:t xml:space="preserve"> and Bailey (2020) state that in-depth interviews provide an opportunity to ‘identify individual perceptions, beliefs, feelings and experiences’, thus giving the rich depth of data that might help answer the ‘Why’ questions that surveys do not always answer. </w:t>
      </w:r>
      <w:r w:rsidRPr="000307BB">
        <w:rPr>
          <w:rStyle w:val="FootnoteReference"/>
          <w:rFonts w:cstheme="minorHAnsi"/>
          <w:sz w:val="24"/>
          <w:szCs w:val="24"/>
        </w:rPr>
        <w:footnoteReference w:id="15"/>
      </w:r>
      <w:r w:rsidRPr="000307BB">
        <w:rPr>
          <w:rFonts w:cstheme="minorHAnsi"/>
          <w:sz w:val="24"/>
          <w:szCs w:val="24"/>
        </w:rPr>
        <w:t xml:space="preserve"> Walter and Waterhouse chose to use in-depth interview as their data collection method</w:t>
      </w:r>
      <w:r w:rsidR="00D17D70">
        <w:rPr>
          <w:rFonts w:cstheme="minorHAnsi"/>
          <w:sz w:val="24"/>
          <w:szCs w:val="24"/>
        </w:rPr>
        <w:t xml:space="preserve"> to capture this emic perspective</w:t>
      </w:r>
      <w:r w:rsidRPr="000307BB">
        <w:rPr>
          <w:rFonts w:cstheme="minorHAnsi"/>
          <w:sz w:val="24"/>
          <w:szCs w:val="24"/>
        </w:rPr>
        <w:t>.</w:t>
      </w:r>
    </w:p>
    <w:p w14:paraId="78E23EA3" w14:textId="27A8E9F0" w:rsidR="006C3E11" w:rsidRPr="000307BB" w:rsidRDefault="001E2B14" w:rsidP="006C3E11">
      <w:pPr>
        <w:rPr>
          <w:rFonts w:cstheme="minorHAnsi"/>
          <w:sz w:val="24"/>
          <w:szCs w:val="24"/>
        </w:rPr>
      </w:pPr>
      <w:r>
        <w:rPr>
          <w:rFonts w:cstheme="minorHAnsi"/>
          <w:sz w:val="24"/>
          <w:szCs w:val="24"/>
        </w:rPr>
        <w:t xml:space="preserve">Unlike </w:t>
      </w:r>
      <w:r w:rsidR="006C3E11" w:rsidRPr="000307BB">
        <w:rPr>
          <w:rFonts w:cstheme="minorHAnsi"/>
          <w:sz w:val="24"/>
          <w:szCs w:val="24"/>
        </w:rPr>
        <w:t xml:space="preserve">Brink, </w:t>
      </w:r>
      <w:r w:rsidR="00D17D70">
        <w:rPr>
          <w:rFonts w:cstheme="minorHAnsi"/>
          <w:sz w:val="24"/>
          <w:szCs w:val="24"/>
        </w:rPr>
        <w:t>Walter and Waterhouse</w:t>
      </w:r>
      <w:r w:rsidR="006C3E11" w:rsidRPr="000307BB">
        <w:rPr>
          <w:rFonts w:cstheme="minorHAnsi"/>
          <w:sz w:val="24"/>
          <w:szCs w:val="24"/>
        </w:rPr>
        <w:t xml:space="preserve"> offer few examples of the</w:t>
      </w:r>
      <w:r>
        <w:rPr>
          <w:rFonts w:cstheme="minorHAnsi"/>
          <w:sz w:val="24"/>
          <w:szCs w:val="24"/>
        </w:rPr>
        <w:t>ir</w:t>
      </w:r>
      <w:r w:rsidR="006C3E11" w:rsidRPr="000307BB">
        <w:rPr>
          <w:rFonts w:cstheme="minorHAnsi"/>
          <w:sz w:val="24"/>
          <w:szCs w:val="24"/>
        </w:rPr>
        <w:t xml:space="preserve"> questions but they report the’ interviews were very open-ended, care was taken to let interviewees speak in their own terms, and interviewers were careful not to ask leading questions.’ (p189) </w:t>
      </w:r>
      <w:r w:rsidR="00D17D70">
        <w:rPr>
          <w:rFonts w:cstheme="minorHAnsi"/>
          <w:sz w:val="24"/>
          <w:szCs w:val="24"/>
        </w:rPr>
        <w:t>T</w:t>
      </w:r>
      <w:r w:rsidR="006C3E11" w:rsidRPr="000307BB">
        <w:rPr>
          <w:rFonts w:cstheme="minorHAnsi"/>
          <w:sz w:val="24"/>
          <w:szCs w:val="24"/>
        </w:rPr>
        <w:t xml:space="preserve">heir questions </w:t>
      </w:r>
      <w:r w:rsidR="00D17D70">
        <w:rPr>
          <w:rFonts w:cstheme="minorHAnsi"/>
          <w:sz w:val="24"/>
          <w:szCs w:val="24"/>
        </w:rPr>
        <w:t xml:space="preserve">seem to </w:t>
      </w:r>
      <w:r w:rsidR="006C3E11" w:rsidRPr="000307BB">
        <w:rPr>
          <w:rFonts w:cstheme="minorHAnsi"/>
          <w:sz w:val="24"/>
          <w:szCs w:val="24"/>
        </w:rPr>
        <w:t xml:space="preserve">delve into participants’ beliefs in some detail – </w:t>
      </w:r>
      <w:proofErr w:type="gramStart"/>
      <w:r w:rsidR="00084B3D">
        <w:rPr>
          <w:rFonts w:cstheme="minorHAnsi"/>
          <w:sz w:val="24"/>
          <w:szCs w:val="24"/>
        </w:rPr>
        <w:t>e.g.</w:t>
      </w:r>
      <w:proofErr w:type="gramEnd"/>
      <w:r w:rsidR="00084B3D">
        <w:rPr>
          <w:rFonts w:cstheme="minorHAnsi"/>
          <w:sz w:val="24"/>
          <w:szCs w:val="24"/>
        </w:rPr>
        <w:t xml:space="preserve"> exploring</w:t>
      </w:r>
      <w:r w:rsidR="006C3E11" w:rsidRPr="00D17D70">
        <w:rPr>
          <w:rFonts w:cstheme="minorHAnsi"/>
          <w:sz w:val="24"/>
          <w:szCs w:val="24"/>
        </w:rPr>
        <w:t xml:space="preserve"> </w:t>
      </w:r>
      <w:r w:rsidR="00D17D70" w:rsidRPr="00D17D70">
        <w:rPr>
          <w:rFonts w:cstheme="minorHAnsi"/>
          <w:sz w:val="24"/>
          <w:szCs w:val="24"/>
        </w:rPr>
        <w:t>how reincarnation</w:t>
      </w:r>
      <w:r w:rsidR="006C3E11" w:rsidRPr="00D17D70">
        <w:rPr>
          <w:rFonts w:cstheme="minorHAnsi"/>
          <w:sz w:val="24"/>
          <w:szCs w:val="24"/>
        </w:rPr>
        <w:t xml:space="preserve"> relates to the participants</w:t>
      </w:r>
      <w:r>
        <w:rPr>
          <w:rFonts w:cstheme="minorHAnsi"/>
          <w:sz w:val="24"/>
          <w:szCs w:val="24"/>
        </w:rPr>
        <w:t>’</w:t>
      </w:r>
      <w:r w:rsidR="006C3E11" w:rsidRPr="00D17D70">
        <w:rPr>
          <w:rFonts w:cstheme="minorHAnsi"/>
          <w:sz w:val="24"/>
          <w:szCs w:val="24"/>
        </w:rPr>
        <w:t xml:space="preserve"> personal</w:t>
      </w:r>
      <w:r w:rsidR="00084B3D">
        <w:rPr>
          <w:rFonts w:cstheme="minorHAnsi"/>
          <w:sz w:val="24"/>
          <w:szCs w:val="24"/>
        </w:rPr>
        <w:t xml:space="preserve"> belief systems</w:t>
      </w:r>
      <w:r w:rsidR="006C3E11" w:rsidRPr="00D17D70">
        <w:rPr>
          <w:rFonts w:cstheme="minorHAnsi"/>
          <w:sz w:val="24"/>
          <w:szCs w:val="24"/>
        </w:rPr>
        <w:t xml:space="preserve">. While Brink did not offer his respondents an </w:t>
      </w:r>
      <w:r w:rsidR="00D17D70" w:rsidRPr="00D17D70">
        <w:rPr>
          <w:rFonts w:cstheme="minorHAnsi"/>
          <w:sz w:val="24"/>
          <w:szCs w:val="24"/>
        </w:rPr>
        <w:t>opportunity</w:t>
      </w:r>
      <w:r w:rsidR="006C3E11" w:rsidRPr="00D17D70">
        <w:rPr>
          <w:rFonts w:cstheme="minorHAnsi"/>
          <w:sz w:val="24"/>
          <w:szCs w:val="24"/>
        </w:rPr>
        <w:t xml:space="preserve"> to explain why they </w:t>
      </w:r>
      <w:r w:rsidR="006C3E11" w:rsidRPr="000307BB">
        <w:rPr>
          <w:rFonts w:cstheme="minorHAnsi"/>
          <w:sz w:val="24"/>
          <w:szCs w:val="24"/>
        </w:rPr>
        <w:t>h</w:t>
      </w:r>
      <w:r>
        <w:rPr>
          <w:rFonts w:cstheme="minorHAnsi"/>
          <w:sz w:val="24"/>
          <w:szCs w:val="24"/>
        </w:rPr>
        <w:t>e</w:t>
      </w:r>
      <w:r w:rsidR="006C3E11" w:rsidRPr="000307BB">
        <w:rPr>
          <w:rFonts w:cstheme="minorHAnsi"/>
          <w:sz w:val="24"/>
          <w:szCs w:val="24"/>
        </w:rPr>
        <w:t xml:space="preserve">ld ‘inconsistent’ beliefs, Walter’s interviews allowed participants the space to unravel the ways in which their private belief might </w:t>
      </w:r>
      <w:proofErr w:type="gramStart"/>
      <w:r w:rsidR="006C3E11" w:rsidRPr="000307BB">
        <w:rPr>
          <w:rFonts w:cstheme="minorHAnsi"/>
          <w:sz w:val="24"/>
          <w:szCs w:val="24"/>
        </w:rPr>
        <w:t>be in conflict with</w:t>
      </w:r>
      <w:proofErr w:type="gramEnd"/>
      <w:r w:rsidR="006C3E11" w:rsidRPr="000307BB">
        <w:rPr>
          <w:rFonts w:cstheme="minorHAnsi"/>
          <w:sz w:val="24"/>
          <w:szCs w:val="24"/>
        </w:rPr>
        <w:t xml:space="preserve"> teachings of their formal religion. </w:t>
      </w:r>
    </w:p>
    <w:p w14:paraId="7A606006" w14:textId="0B012032" w:rsidR="006C3E11" w:rsidRPr="006D0E1A" w:rsidRDefault="006C3E11" w:rsidP="006C3E11">
      <w:pPr>
        <w:rPr>
          <w:rFonts w:cstheme="minorHAnsi"/>
          <w:sz w:val="24"/>
          <w:szCs w:val="24"/>
          <w:lang w:val="en-US"/>
        </w:rPr>
      </w:pPr>
      <w:r w:rsidRPr="000307BB">
        <w:rPr>
          <w:rFonts w:cstheme="minorHAnsi"/>
          <w:sz w:val="24"/>
          <w:szCs w:val="24"/>
          <w:lang w:val="en-US"/>
        </w:rPr>
        <w:t xml:space="preserve">The fact that the interviews were conducted in </w:t>
      </w:r>
      <w:r w:rsidR="00084B3D">
        <w:rPr>
          <w:rFonts w:cstheme="minorHAnsi"/>
          <w:sz w:val="24"/>
          <w:szCs w:val="24"/>
          <w:lang w:val="en-US"/>
        </w:rPr>
        <w:t xml:space="preserve">interviewees’ </w:t>
      </w:r>
      <w:r w:rsidRPr="000307BB">
        <w:rPr>
          <w:rFonts w:cstheme="minorHAnsi"/>
          <w:sz w:val="24"/>
          <w:szCs w:val="24"/>
          <w:lang w:val="en-US"/>
        </w:rPr>
        <w:t xml:space="preserve">own homes would probably have made the participants feel more secure. Waterhouse states that the interviews were interviewee-led which should have enabled her </w:t>
      </w:r>
      <w:r w:rsidR="00084B3D" w:rsidRPr="000307BB">
        <w:rPr>
          <w:rFonts w:cstheme="minorHAnsi"/>
          <w:sz w:val="24"/>
          <w:szCs w:val="24"/>
          <w:lang w:val="en-US"/>
        </w:rPr>
        <w:t xml:space="preserve">to </w:t>
      </w:r>
      <w:r w:rsidR="00084B3D">
        <w:rPr>
          <w:rFonts w:cstheme="minorHAnsi"/>
          <w:sz w:val="24"/>
          <w:szCs w:val="24"/>
          <w:lang w:val="en-US"/>
        </w:rPr>
        <w:t>capture richer data th</w:t>
      </w:r>
      <w:r w:rsidRPr="000307BB">
        <w:rPr>
          <w:rFonts w:cstheme="minorHAnsi"/>
          <w:sz w:val="24"/>
          <w:szCs w:val="24"/>
          <w:lang w:val="en-US"/>
        </w:rPr>
        <w:t xml:space="preserve">an if she had followed an interviewer-led approach, </w:t>
      </w:r>
      <w:r w:rsidR="001E2B14">
        <w:rPr>
          <w:rFonts w:cstheme="minorHAnsi"/>
          <w:sz w:val="24"/>
          <w:szCs w:val="24"/>
          <w:lang w:val="en-US"/>
        </w:rPr>
        <w:t>like</w:t>
      </w:r>
      <w:r w:rsidRPr="000307BB">
        <w:rPr>
          <w:rFonts w:cstheme="minorHAnsi"/>
          <w:sz w:val="24"/>
          <w:szCs w:val="24"/>
          <w:lang w:val="en-US"/>
        </w:rPr>
        <w:t xml:space="preserve"> Brink. Waterhouse shows greater sensitivity to the needs of her study population than Brink, as the privacy of the home setting and the ability to lead the discussion might have helped people </w:t>
      </w:r>
      <w:proofErr w:type="gramStart"/>
      <w:r w:rsidRPr="000307BB">
        <w:rPr>
          <w:rFonts w:cstheme="minorHAnsi"/>
          <w:sz w:val="24"/>
          <w:szCs w:val="24"/>
          <w:lang w:val="en-US"/>
        </w:rPr>
        <w:t>open up</w:t>
      </w:r>
      <w:proofErr w:type="gramEnd"/>
      <w:r w:rsidRPr="000307BB">
        <w:rPr>
          <w:rFonts w:cstheme="minorHAnsi"/>
          <w:sz w:val="24"/>
          <w:szCs w:val="24"/>
          <w:lang w:val="en-US"/>
        </w:rPr>
        <w:t xml:space="preserve"> on what might be a </w:t>
      </w:r>
      <w:r w:rsidRPr="000307BB">
        <w:rPr>
          <w:rFonts w:cstheme="minorHAnsi"/>
          <w:sz w:val="24"/>
          <w:szCs w:val="24"/>
          <w:lang w:val="en-US"/>
        </w:rPr>
        <w:lastRenderedPageBreak/>
        <w:t xml:space="preserve">sensitive topic </w:t>
      </w:r>
      <w:r w:rsidR="00084B3D">
        <w:rPr>
          <w:rFonts w:cstheme="minorHAnsi"/>
          <w:sz w:val="24"/>
          <w:szCs w:val="24"/>
          <w:lang w:val="en-US"/>
        </w:rPr>
        <w:t>for some</w:t>
      </w:r>
      <w:r w:rsidRPr="000307BB">
        <w:rPr>
          <w:rFonts w:cstheme="minorHAnsi"/>
          <w:sz w:val="24"/>
          <w:szCs w:val="24"/>
          <w:lang w:val="en-US"/>
        </w:rPr>
        <w:t xml:space="preserve">. </w:t>
      </w:r>
      <w:r w:rsidR="00084B3D">
        <w:rPr>
          <w:rFonts w:cstheme="minorHAnsi"/>
          <w:sz w:val="24"/>
          <w:szCs w:val="24"/>
          <w:lang w:val="en-US"/>
        </w:rPr>
        <w:t xml:space="preserve">Unfortunately, their paper shares very little of what their respondents </w:t>
      </w:r>
      <w:proofErr w:type="gramStart"/>
      <w:r w:rsidR="00084B3D">
        <w:rPr>
          <w:rFonts w:cstheme="minorHAnsi"/>
          <w:sz w:val="24"/>
          <w:szCs w:val="24"/>
          <w:lang w:val="en-US"/>
        </w:rPr>
        <w:t>actually said</w:t>
      </w:r>
      <w:proofErr w:type="gramEnd"/>
      <w:r w:rsidR="00084B3D">
        <w:rPr>
          <w:rFonts w:cstheme="minorHAnsi"/>
          <w:sz w:val="24"/>
          <w:szCs w:val="24"/>
          <w:lang w:val="en-US"/>
        </w:rPr>
        <w:t>, so the reader does not get the sense of hearing the voices of the respondents, which is, in many ways, the point of qualitative research.</w:t>
      </w:r>
    </w:p>
    <w:p w14:paraId="39B534F4" w14:textId="0BC62C29" w:rsidR="006D0E1A" w:rsidRPr="000307BB" w:rsidRDefault="006D0E1A" w:rsidP="006D0E1A">
      <w:pPr>
        <w:rPr>
          <w:rFonts w:cstheme="minorHAnsi"/>
          <w:sz w:val="24"/>
          <w:szCs w:val="24"/>
          <w:lang w:val="en-US"/>
        </w:rPr>
      </w:pPr>
      <w:r w:rsidRPr="000307BB">
        <w:rPr>
          <w:rFonts w:cstheme="minorHAnsi"/>
          <w:sz w:val="24"/>
          <w:szCs w:val="24"/>
          <w:lang w:val="en-US"/>
        </w:rPr>
        <w:t>Overall, the interpretivist, in-depth interview approach of the Walter and Waterhouse paper was a</w:t>
      </w:r>
      <w:r w:rsidR="0007016B">
        <w:rPr>
          <w:rFonts w:cstheme="minorHAnsi"/>
          <w:sz w:val="24"/>
          <w:szCs w:val="24"/>
          <w:lang w:val="en-US"/>
        </w:rPr>
        <w:t xml:space="preserve"> more</w:t>
      </w:r>
      <w:r w:rsidRPr="000307BB">
        <w:rPr>
          <w:rFonts w:cstheme="minorHAnsi"/>
          <w:sz w:val="24"/>
          <w:szCs w:val="24"/>
          <w:lang w:val="en-US"/>
        </w:rPr>
        <w:t xml:space="preserve"> appropriate method for the research topic</w:t>
      </w:r>
      <w:r w:rsidR="0007016B">
        <w:rPr>
          <w:rFonts w:cstheme="minorHAnsi"/>
          <w:sz w:val="24"/>
          <w:szCs w:val="24"/>
          <w:lang w:val="en-US"/>
        </w:rPr>
        <w:t xml:space="preserve"> than Brink’s survey</w:t>
      </w:r>
      <w:r w:rsidRPr="000307BB">
        <w:rPr>
          <w:rFonts w:cstheme="minorHAnsi"/>
          <w:sz w:val="24"/>
          <w:szCs w:val="24"/>
          <w:lang w:val="en-US"/>
        </w:rPr>
        <w:t xml:space="preserve">. Interpretivism recognizes the subjectivity of </w:t>
      </w:r>
      <w:proofErr w:type="gramStart"/>
      <w:r w:rsidRPr="000307BB">
        <w:rPr>
          <w:rFonts w:cstheme="minorHAnsi"/>
          <w:sz w:val="24"/>
          <w:szCs w:val="24"/>
          <w:lang w:val="en-US"/>
        </w:rPr>
        <w:t>belief</w:t>
      </w:r>
      <w:proofErr w:type="gramEnd"/>
      <w:r w:rsidRPr="000307BB">
        <w:rPr>
          <w:rFonts w:cstheme="minorHAnsi"/>
          <w:sz w:val="24"/>
          <w:szCs w:val="24"/>
          <w:lang w:val="en-US"/>
        </w:rPr>
        <w:t xml:space="preserve"> and that belief is created by the meanings that the interviewees give them, not by what the researchers might assume those beliefs to mean. Brink </w:t>
      </w:r>
      <w:r w:rsidR="0007016B">
        <w:rPr>
          <w:rFonts w:cstheme="minorHAnsi"/>
          <w:sz w:val="24"/>
          <w:szCs w:val="24"/>
          <w:lang w:val="en-US"/>
        </w:rPr>
        <w:t>does not appear to recognize the subjectivity of belief. In fact, when the fieldwork data does not provide the data he expects, he blames the immaturity of the respondents, rather than exploring how his methodology might have been lacking.</w:t>
      </w:r>
    </w:p>
    <w:p w14:paraId="33B5352E" w14:textId="77777777" w:rsidR="00696499" w:rsidRPr="000307BB" w:rsidRDefault="00696499" w:rsidP="00696499">
      <w:pPr>
        <w:rPr>
          <w:rFonts w:cstheme="minorHAnsi"/>
          <w:sz w:val="24"/>
          <w:szCs w:val="24"/>
        </w:rPr>
      </w:pPr>
    </w:p>
    <w:p w14:paraId="5C4426B3" w14:textId="0790C248" w:rsidR="001C6FA0" w:rsidRPr="000307BB" w:rsidRDefault="0007016B" w:rsidP="0007016B">
      <w:pPr>
        <w:pStyle w:val="Heading1"/>
        <w:rPr>
          <w:rFonts w:asciiTheme="minorHAnsi" w:hAnsiTheme="minorHAnsi"/>
        </w:rPr>
      </w:pPr>
      <w:r>
        <w:t>Position of Researchers</w:t>
      </w:r>
    </w:p>
    <w:p w14:paraId="7A390B17" w14:textId="775BDB34" w:rsidR="001C6FA0" w:rsidRPr="0007016B" w:rsidRDefault="001C6FA0" w:rsidP="001C6FA0">
      <w:pPr>
        <w:rPr>
          <w:rFonts w:cstheme="minorHAnsi"/>
          <w:sz w:val="24"/>
          <w:szCs w:val="24"/>
        </w:rPr>
      </w:pPr>
      <w:proofErr w:type="spellStart"/>
      <w:r w:rsidRPr="0007016B">
        <w:rPr>
          <w:rFonts w:cstheme="minorHAnsi"/>
          <w:sz w:val="24"/>
          <w:szCs w:val="24"/>
        </w:rPr>
        <w:t>Hennink</w:t>
      </w:r>
      <w:proofErr w:type="spellEnd"/>
      <w:r w:rsidRPr="0007016B">
        <w:rPr>
          <w:rFonts w:cstheme="minorHAnsi"/>
          <w:sz w:val="24"/>
          <w:szCs w:val="24"/>
        </w:rPr>
        <w:t xml:space="preserve">, </w:t>
      </w:r>
      <w:proofErr w:type="spellStart"/>
      <w:r w:rsidRPr="0007016B">
        <w:rPr>
          <w:rFonts w:cstheme="minorHAnsi"/>
          <w:sz w:val="24"/>
          <w:szCs w:val="24"/>
        </w:rPr>
        <w:t>Hutter</w:t>
      </w:r>
      <w:proofErr w:type="spellEnd"/>
      <w:r w:rsidRPr="0007016B">
        <w:rPr>
          <w:rFonts w:cstheme="minorHAnsi"/>
          <w:sz w:val="24"/>
          <w:szCs w:val="24"/>
        </w:rPr>
        <w:t xml:space="preserve"> and Bailey (2020) warn that ‘how you portray yourself (your positionality) and your own characteristics (your subjectivity) can influence the information collected and therefore the quality of the data.’</w:t>
      </w:r>
      <w:r w:rsidRPr="0007016B">
        <w:rPr>
          <w:rStyle w:val="FootnoteReference"/>
          <w:rFonts w:cstheme="minorHAnsi"/>
          <w:sz w:val="24"/>
          <w:szCs w:val="24"/>
        </w:rPr>
        <w:footnoteReference w:id="16"/>
      </w:r>
      <w:r w:rsidRPr="0007016B">
        <w:rPr>
          <w:rFonts w:cstheme="minorHAnsi"/>
          <w:sz w:val="24"/>
          <w:szCs w:val="24"/>
        </w:rPr>
        <w:t xml:space="preserve"> As both papers were dealing with potentially sensitive topic</w:t>
      </w:r>
      <w:r w:rsidR="00DF77F8">
        <w:rPr>
          <w:rFonts w:cstheme="minorHAnsi"/>
          <w:sz w:val="24"/>
          <w:szCs w:val="24"/>
        </w:rPr>
        <w:t>s</w:t>
      </w:r>
      <w:r w:rsidRPr="0007016B">
        <w:rPr>
          <w:rFonts w:cstheme="minorHAnsi"/>
          <w:sz w:val="24"/>
          <w:szCs w:val="24"/>
        </w:rPr>
        <w:t>, the researchers’ position as insider/outsider was important because that positionality may have influenced the type of information that the respondents were willing to share. Unfortunately, neither paper describes the positionality of the researchers in relation to their study populations.</w:t>
      </w:r>
    </w:p>
    <w:p w14:paraId="796B6677" w14:textId="2223E06D" w:rsidR="001C6FA0" w:rsidRPr="00DF77F8" w:rsidRDefault="001C6FA0" w:rsidP="001C6FA0">
      <w:pPr>
        <w:rPr>
          <w:rFonts w:cstheme="minorHAnsi"/>
          <w:color w:val="FF0000"/>
          <w:sz w:val="24"/>
          <w:szCs w:val="24"/>
        </w:rPr>
      </w:pPr>
      <w:r w:rsidRPr="00C77559">
        <w:rPr>
          <w:rFonts w:cstheme="minorHAnsi"/>
          <w:sz w:val="24"/>
          <w:szCs w:val="24"/>
        </w:rPr>
        <w:t xml:space="preserve">Brink could, and arguably should, have reflected on his position of power as an adult in a class of schoolgirls. This lack of reflexivity undermines the value of his research in terms of the ethics of the study and the reliability of the data he collected. Ethically, the reader would have expected Brink to explain how he accessed the participants and </w:t>
      </w:r>
      <w:r w:rsidR="00DF77F8">
        <w:rPr>
          <w:rFonts w:cstheme="minorHAnsi"/>
          <w:sz w:val="24"/>
          <w:szCs w:val="24"/>
        </w:rPr>
        <w:t xml:space="preserve">the </w:t>
      </w:r>
      <w:r w:rsidRPr="00C77559">
        <w:rPr>
          <w:rFonts w:cstheme="minorHAnsi"/>
          <w:sz w:val="24"/>
          <w:szCs w:val="24"/>
        </w:rPr>
        <w:t>safeguarding protocols. In terms of data reliability,</w:t>
      </w:r>
      <w:r w:rsidR="00DF77F8">
        <w:rPr>
          <w:rFonts w:cstheme="minorHAnsi"/>
          <w:sz w:val="24"/>
          <w:szCs w:val="24"/>
        </w:rPr>
        <w:t xml:space="preserve"> </w:t>
      </w:r>
      <w:r w:rsidR="00DF77F8" w:rsidRPr="00DF77F8">
        <w:rPr>
          <w:rFonts w:cstheme="minorHAnsi"/>
          <w:color w:val="FF0000"/>
          <w:sz w:val="24"/>
          <w:szCs w:val="24"/>
        </w:rPr>
        <w:t xml:space="preserve">Brink’s failure to </w:t>
      </w:r>
      <w:proofErr w:type="gramStart"/>
      <w:r w:rsidR="00DF77F8" w:rsidRPr="00DF77F8">
        <w:rPr>
          <w:rFonts w:cstheme="minorHAnsi"/>
          <w:color w:val="FF0000"/>
          <w:sz w:val="24"/>
          <w:szCs w:val="24"/>
        </w:rPr>
        <w:t xml:space="preserve">explain </w:t>
      </w:r>
      <w:r w:rsidRPr="00DF77F8">
        <w:rPr>
          <w:rFonts w:cstheme="minorHAnsi"/>
          <w:color w:val="FF0000"/>
          <w:sz w:val="24"/>
          <w:szCs w:val="24"/>
        </w:rPr>
        <w:t xml:space="preserve"> the</w:t>
      </w:r>
      <w:proofErr w:type="gramEnd"/>
      <w:r w:rsidRPr="00DF77F8">
        <w:rPr>
          <w:rFonts w:cstheme="minorHAnsi"/>
          <w:color w:val="FF0000"/>
          <w:sz w:val="24"/>
          <w:szCs w:val="24"/>
        </w:rPr>
        <w:t xml:space="preserve"> reader is left questioning whether the girls felt pressured to show a belief in God, that they may or may not have felt, because they did not want to get into trouble for expressing socially/religiously unacceptable viewpoints.</w:t>
      </w:r>
    </w:p>
    <w:p w14:paraId="2846DFD7" w14:textId="2E3EC386" w:rsidR="001C6FA0" w:rsidRPr="00C77559" w:rsidRDefault="001C6FA0" w:rsidP="001C6FA0">
      <w:pPr>
        <w:rPr>
          <w:rFonts w:cstheme="minorHAnsi"/>
          <w:sz w:val="24"/>
          <w:szCs w:val="24"/>
        </w:rPr>
      </w:pPr>
      <w:r w:rsidRPr="00C77559">
        <w:rPr>
          <w:rFonts w:cstheme="minorHAnsi"/>
          <w:sz w:val="24"/>
          <w:szCs w:val="24"/>
        </w:rPr>
        <w:t xml:space="preserve">Unlike Brink, Walter and Waterhouse describe how they accessed their study population. As some respondents joined the study via personal contacts, </w:t>
      </w:r>
      <w:r w:rsidR="00C77559" w:rsidRPr="00C77559">
        <w:rPr>
          <w:rFonts w:cstheme="minorHAnsi"/>
          <w:sz w:val="24"/>
          <w:szCs w:val="24"/>
        </w:rPr>
        <w:t>there</w:t>
      </w:r>
      <w:r w:rsidRPr="00C77559">
        <w:rPr>
          <w:rFonts w:cstheme="minorHAnsi"/>
          <w:sz w:val="24"/>
          <w:szCs w:val="24"/>
        </w:rPr>
        <w:t xml:space="preserve"> is</w:t>
      </w:r>
      <w:r w:rsidR="00C77559">
        <w:rPr>
          <w:rFonts w:cstheme="minorHAnsi"/>
          <w:sz w:val="24"/>
          <w:szCs w:val="24"/>
        </w:rPr>
        <w:t xml:space="preserve"> clearly</w:t>
      </w:r>
      <w:r w:rsidRPr="00C77559">
        <w:rPr>
          <w:rFonts w:cstheme="minorHAnsi"/>
          <w:sz w:val="24"/>
          <w:szCs w:val="24"/>
        </w:rPr>
        <w:t xml:space="preserve"> a degree of insider positionality</w:t>
      </w:r>
      <w:r w:rsidR="00C77559">
        <w:rPr>
          <w:rFonts w:cstheme="minorHAnsi"/>
          <w:sz w:val="24"/>
          <w:szCs w:val="24"/>
        </w:rPr>
        <w:t>,</w:t>
      </w:r>
      <w:r w:rsidRPr="00C77559">
        <w:rPr>
          <w:rFonts w:cstheme="minorHAnsi"/>
          <w:sz w:val="24"/>
          <w:szCs w:val="24"/>
        </w:rPr>
        <w:t xml:space="preserve"> in that there was a pre-existing link between some respondents and the researchers. However, this is not expanded upon</w:t>
      </w:r>
      <w:r w:rsidR="00C77559">
        <w:rPr>
          <w:rFonts w:cstheme="minorHAnsi"/>
          <w:sz w:val="24"/>
          <w:szCs w:val="24"/>
        </w:rPr>
        <w:t xml:space="preserve">, </w:t>
      </w:r>
      <w:r w:rsidRPr="00C77559">
        <w:rPr>
          <w:rFonts w:cstheme="minorHAnsi"/>
          <w:sz w:val="24"/>
          <w:szCs w:val="24"/>
        </w:rPr>
        <w:t>so the reader is left</w:t>
      </w:r>
      <w:r w:rsidR="00C77559">
        <w:rPr>
          <w:rFonts w:cstheme="minorHAnsi"/>
          <w:sz w:val="24"/>
          <w:szCs w:val="24"/>
        </w:rPr>
        <w:t xml:space="preserve"> wondering </w:t>
      </w:r>
      <w:r w:rsidRPr="00C77559">
        <w:rPr>
          <w:rFonts w:cstheme="minorHAnsi"/>
          <w:sz w:val="24"/>
          <w:szCs w:val="24"/>
        </w:rPr>
        <w:t>how much of an insider Walter and Waterhouse are and how much this may have influenced the data collection.</w:t>
      </w:r>
    </w:p>
    <w:p w14:paraId="4205F147" w14:textId="033FFFFD" w:rsidR="001C6FA0" w:rsidRPr="00C77559" w:rsidRDefault="001C6FA0" w:rsidP="001C6FA0">
      <w:pPr>
        <w:rPr>
          <w:rFonts w:cstheme="minorHAnsi"/>
          <w:sz w:val="24"/>
          <w:szCs w:val="24"/>
        </w:rPr>
      </w:pPr>
      <w:proofErr w:type="spellStart"/>
      <w:r w:rsidRPr="00C77559">
        <w:rPr>
          <w:rFonts w:cstheme="minorHAnsi"/>
          <w:sz w:val="24"/>
          <w:szCs w:val="24"/>
        </w:rPr>
        <w:t>Hennink</w:t>
      </w:r>
      <w:proofErr w:type="spellEnd"/>
      <w:r w:rsidRPr="00C77559">
        <w:rPr>
          <w:rFonts w:cstheme="minorHAnsi"/>
          <w:sz w:val="24"/>
          <w:szCs w:val="24"/>
        </w:rPr>
        <w:t xml:space="preserve">, </w:t>
      </w:r>
      <w:proofErr w:type="spellStart"/>
      <w:r w:rsidRPr="00C77559">
        <w:rPr>
          <w:rFonts w:cstheme="minorHAnsi"/>
          <w:sz w:val="24"/>
          <w:szCs w:val="24"/>
        </w:rPr>
        <w:t>Hutter</w:t>
      </w:r>
      <w:proofErr w:type="spellEnd"/>
      <w:r w:rsidRPr="00C77559">
        <w:rPr>
          <w:rFonts w:cstheme="minorHAnsi"/>
          <w:sz w:val="24"/>
          <w:szCs w:val="24"/>
        </w:rPr>
        <w:t xml:space="preserve"> and Bailey warn that ‘researchers also bring their subjective influences </w:t>
      </w:r>
      <w:proofErr w:type="gramStart"/>
      <w:r w:rsidRPr="00C77559">
        <w:rPr>
          <w:rFonts w:cstheme="minorHAnsi"/>
          <w:sz w:val="24"/>
          <w:szCs w:val="24"/>
        </w:rPr>
        <w:t>to</w:t>
      </w:r>
      <w:proofErr w:type="gramEnd"/>
      <w:r w:rsidRPr="00C77559">
        <w:rPr>
          <w:rFonts w:cstheme="minorHAnsi"/>
          <w:sz w:val="24"/>
          <w:szCs w:val="24"/>
        </w:rPr>
        <w:t xml:space="preserve"> the research process, particularly during data collection and interpretation.’</w:t>
      </w:r>
      <w:r w:rsidRPr="00C77559">
        <w:rPr>
          <w:rStyle w:val="FootnoteReference"/>
          <w:rFonts w:cstheme="minorHAnsi"/>
          <w:sz w:val="24"/>
          <w:szCs w:val="24"/>
        </w:rPr>
        <w:footnoteReference w:id="17"/>
      </w:r>
      <w:r w:rsidRPr="00C77559">
        <w:rPr>
          <w:rFonts w:cstheme="minorHAnsi"/>
          <w:sz w:val="24"/>
          <w:szCs w:val="24"/>
        </w:rPr>
        <w:t xml:space="preserve"> </w:t>
      </w:r>
      <w:r w:rsidR="00C77559">
        <w:rPr>
          <w:rFonts w:cstheme="minorHAnsi"/>
          <w:sz w:val="24"/>
          <w:szCs w:val="24"/>
        </w:rPr>
        <w:t>S</w:t>
      </w:r>
      <w:r w:rsidRPr="00C77559">
        <w:rPr>
          <w:rFonts w:cstheme="minorHAnsi"/>
          <w:sz w:val="24"/>
          <w:szCs w:val="24"/>
        </w:rPr>
        <w:t xml:space="preserve">ubjectivity is </w:t>
      </w:r>
      <w:r w:rsidR="00C77559">
        <w:rPr>
          <w:rFonts w:cstheme="minorHAnsi"/>
          <w:sz w:val="24"/>
          <w:szCs w:val="24"/>
        </w:rPr>
        <w:t xml:space="preserve">apparent </w:t>
      </w:r>
      <w:r w:rsidRPr="00C77559">
        <w:rPr>
          <w:rFonts w:cstheme="minorHAnsi"/>
          <w:sz w:val="24"/>
          <w:szCs w:val="24"/>
        </w:rPr>
        <w:t xml:space="preserve">in both papers. For example, Brink clearly feels superior to </w:t>
      </w:r>
      <w:r w:rsidR="00C77559">
        <w:rPr>
          <w:rFonts w:cstheme="minorHAnsi"/>
          <w:sz w:val="24"/>
          <w:szCs w:val="24"/>
        </w:rPr>
        <w:t xml:space="preserve">his study population because he dismisses their beliefs as a </w:t>
      </w:r>
      <w:r w:rsidRPr="00C77559">
        <w:rPr>
          <w:rFonts w:cstheme="minorHAnsi"/>
          <w:sz w:val="24"/>
          <w:szCs w:val="24"/>
        </w:rPr>
        <w:t>‘response to confusion and uncertainty’</w:t>
      </w:r>
      <w:r w:rsidRPr="00C77559">
        <w:rPr>
          <w:rStyle w:val="FootnoteReference"/>
          <w:rFonts w:cstheme="minorHAnsi"/>
          <w:sz w:val="24"/>
          <w:szCs w:val="24"/>
        </w:rPr>
        <w:footnoteReference w:id="18"/>
      </w:r>
      <w:r w:rsidRPr="00C77559">
        <w:rPr>
          <w:rFonts w:cstheme="minorHAnsi"/>
          <w:sz w:val="24"/>
          <w:szCs w:val="24"/>
        </w:rPr>
        <w:t xml:space="preserve">. This </w:t>
      </w:r>
      <w:r w:rsidRPr="00C77559">
        <w:rPr>
          <w:rFonts w:cstheme="minorHAnsi"/>
          <w:sz w:val="24"/>
          <w:szCs w:val="24"/>
        </w:rPr>
        <w:lastRenderedPageBreak/>
        <w:t xml:space="preserve">assertion is not backed up by the data, as Brink failed to ask the respondents </w:t>
      </w:r>
      <w:r w:rsidRPr="00C77559">
        <w:rPr>
          <w:rFonts w:cstheme="minorHAnsi"/>
          <w:i/>
          <w:iCs/>
          <w:sz w:val="24"/>
          <w:szCs w:val="24"/>
        </w:rPr>
        <w:t>why</w:t>
      </w:r>
      <w:r w:rsidRPr="00C77559">
        <w:rPr>
          <w:rFonts w:cstheme="minorHAnsi"/>
          <w:sz w:val="24"/>
          <w:szCs w:val="24"/>
        </w:rPr>
        <w:t xml:space="preserve"> they held certain beliefs and shows that Brink has little empathic understanding of his study group. Indeed, he describes himself ‘surprised at the low response of the subjects to the statement about Roman Catholic religion being the one for them’.</w:t>
      </w:r>
      <w:r w:rsidRPr="00C77559">
        <w:rPr>
          <w:rStyle w:val="FootnoteReference"/>
          <w:rFonts w:cstheme="minorHAnsi"/>
          <w:sz w:val="24"/>
          <w:szCs w:val="24"/>
        </w:rPr>
        <w:footnoteReference w:id="19"/>
      </w:r>
      <w:r w:rsidRPr="00C77559">
        <w:rPr>
          <w:rFonts w:cstheme="minorHAnsi"/>
          <w:sz w:val="24"/>
          <w:szCs w:val="24"/>
        </w:rPr>
        <w:t xml:space="preserve"> Instead of reflecting on his own assumptions and the limitations of his data collection methodology, Brink proceeds to look for answers in social research literature. Walter and </w:t>
      </w:r>
      <w:r w:rsidR="00390CB1" w:rsidRPr="00C77559">
        <w:rPr>
          <w:rFonts w:cstheme="minorHAnsi"/>
          <w:sz w:val="24"/>
          <w:szCs w:val="24"/>
        </w:rPr>
        <w:t>Waterhouse</w:t>
      </w:r>
      <w:r w:rsidRPr="00C77559">
        <w:rPr>
          <w:rFonts w:cstheme="minorHAnsi"/>
          <w:sz w:val="24"/>
          <w:szCs w:val="24"/>
        </w:rPr>
        <w:t xml:space="preserve"> </w:t>
      </w:r>
      <w:r w:rsidR="00390CB1">
        <w:rPr>
          <w:rFonts w:cstheme="minorHAnsi"/>
          <w:sz w:val="24"/>
          <w:szCs w:val="24"/>
        </w:rPr>
        <w:t>make</w:t>
      </w:r>
      <w:r w:rsidRPr="00C77559">
        <w:rPr>
          <w:rFonts w:cstheme="minorHAnsi"/>
          <w:sz w:val="24"/>
          <w:szCs w:val="24"/>
        </w:rPr>
        <w:t xml:space="preserve"> subjective </w:t>
      </w:r>
      <w:r w:rsidR="00390CB1">
        <w:rPr>
          <w:rFonts w:cstheme="minorHAnsi"/>
          <w:sz w:val="24"/>
          <w:szCs w:val="24"/>
        </w:rPr>
        <w:t>a</w:t>
      </w:r>
      <w:r w:rsidRPr="00C77559">
        <w:rPr>
          <w:rFonts w:cstheme="minorHAnsi"/>
          <w:sz w:val="24"/>
          <w:szCs w:val="24"/>
        </w:rPr>
        <w:t>ssumption</w:t>
      </w:r>
      <w:r w:rsidR="00390CB1">
        <w:rPr>
          <w:rFonts w:cstheme="minorHAnsi"/>
          <w:sz w:val="24"/>
          <w:szCs w:val="24"/>
        </w:rPr>
        <w:t xml:space="preserve">s, </w:t>
      </w:r>
      <w:proofErr w:type="gramStart"/>
      <w:r w:rsidR="00390CB1">
        <w:rPr>
          <w:rFonts w:cstheme="minorHAnsi"/>
          <w:sz w:val="24"/>
          <w:szCs w:val="24"/>
        </w:rPr>
        <w:t>e.g.</w:t>
      </w:r>
      <w:proofErr w:type="gramEnd"/>
      <w:r w:rsidR="00390CB1">
        <w:rPr>
          <w:rFonts w:cstheme="minorHAnsi"/>
          <w:sz w:val="24"/>
          <w:szCs w:val="24"/>
        </w:rPr>
        <w:t xml:space="preserve"> </w:t>
      </w:r>
      <w:r w:rsidRPr="00C77559">
        <w:rPr>
          <w:rFonts w:cstheme="minorHAnsi"/>
          <w:sz w:val="24"/>
          <w:szCs w:val="24"/>
        </w:rPr>
        <w:t>New Age adherents believe in reincarnation</w:t>
      </w:r>
      <w:r w:rsidR="00390CB1">
        <w:rPr>
          <w:rFonts w:cstheme="minorHAnsi"/>
          <w:sz w:val="24"/>
          <w:szCs w:val="24"/>
        </w:rPr>
        <w:t>,</w:t>
      </w:r>
      <w:r w:rsidRPr="00C77559">
        <w:rPr>
          <w:rFonts w:cstheme="minorHAnsi"/>
          <w:sz w:val="24"/>
          <w:szCs w:val="24"/>
        </w:rPr>
        <w:t xml:space="preserve"> without actually testing this statement through </w:t>
      </w:r>
      <w:r w:rsidR="00390CB1">
        <w:rPr>
          <w:rFonts w:cstheme="minorHAnsi"/>
          <w:sz w:val="24"/>
          <w:szCs w:val="24"/>
        </w:rPr>
        <w:t xml:space="preserve">their </w:t>
      </w:r>
      <w:r w:rsidRPr="00C77559">
        <w:rPr>
          <w:rFonts w:cstheme="minorHAnsi"/>
          <w:sz w:val="24"/>
          <w:szCs w:val="24"/>
        </w:rPr>
        <w:t xml:space="preserve">research. </w:t>
      </w:r>
    </w:p>
    <w:p w14:paraId="79061724" w14:textId="77777777" w:rsidR="001C6FA0" w:rsidRPr="00C77559" w:rsidRDefault="001C6FA0" w:rsidP="001C6FA0">
      <w:pPr>
        <w:rPr>
          <w:rFonts w:cstheme="minorHAnsi"/>
          <w:sz w:val="24"/>
          <w:szCs w:val="24"/>
        </w:rPr>
      </w:pPr>
      <w:r w:rsidRPr="00C77559">
        <w:rPr>
          <w:rFonts w:cstheme="minorHAnsi"/>
          <w:sz w:val="24"/>
          <w:szCs w:val="24"/>
        </w:rPr>
        <w:t>Again, it is important to recognise that, while reflexivity is de rigour in current qualitative research, these papers are from the 1970s and 1990s, when such practices were not standard. However, given that they were both working with young people and both working on sensitive issues of personal belief, neither paper shows much awareness of how their position might have influenced the data collection.</w:t>
      </w:r>
    </w:p>
    <w:p w14:paraId="49C5EACB" w14:textId="77777777" w:rsidR="00696499" w:rsidRPr="00C77559" w:rsidRDefault="00696499" w:rsidP="00696499">
      <w:pPr>
        <w:rPr>
          <w:rFonts w:cstheme="minorHAnsi"/>
          <w:sz w:val="24"/>
          <w:szCs w:val="24"/>
        </w:rPr>
      </w:pPr>
    </w:p>
    <w:p w14:paraId="66F3F0F4" w14:textId="093C2804" w:rsidR="00C866D4" w:rsidRPr="00C77559" w:rsidRDefault="00C8513D" w:rsidP="00C8513D">
      <w:pPr>
        <w:pStyle w:val="Heading1"/>
        <w:rPr>
          <w:rFonts w:asciiTheme="minorHAnsi" w:hAnsiTheme="minorHAnsi"/>
          <w:color w:val="auto"/>
        </w:rPr>
      </w:pPr>
      <w:r>
        <w:t>Relation to relevant academic literature</w:t>
      </w:r>
    </w:p>
    <w:p w14:paraId="209398D5" w14:textId="77777777" w:rsidR="009E6E6D" w:rsidRPr="00C8513D" w:rsidRDefault="009E6E6D" w:rsidP="009E6E6D">
      <w:pPr>
        <w:rPr>
          <w:rFonts w:cstheme="minorHAnsi"/>
          <w:sz w:val="24"/>
          <w:szCs w:val="24"/>
        </w:rPr>
      </w:pPr>
      <w:r w:rsidRPr="00C8513D">
        <w:rPr>
          <w:rFonts w:cstheme="minorHAnsi"/>
          <w:sz w:val="24"/>
          <w:szCs w:val="24"/>
        </w:rPr>
        <w:t>Positioning one’s research within a wider academic discourse can offer researchers the opportunity to add new knowledge to the area of study, as well as helping them refine their research concept and justify their chosen study (</w:t>
      </w:r>
      <w:proofErr w:type="spellStart"/>
      <w:r w:rsidRPr="00C8513D">
        <w:rPr>
          <w:rFonts w:cstheme="minorHAnsi"/>
          <w:sz w:val="24"/>
          <w:szCs w:val="24"/>
        </w:rPr>
        <w:t>Hennink</w:t>
      </w:r>
      <w:proofErr w:type="spellEnd"/>
      <w:r w:rsidRPr="00C8513D">
        <w:rPr>
          <w:rFonts w:cstheme="minorHAnsi"/>
          <w:sz w:val="24"/>
          <w:szCs w:val="24"/>
        </w:rPr>
        <w:t xml:space="preserve">, </w:t>
      </w:r>
      <w:proofErr w:type="spellStart"/>
      <w:r w:rsidRPr="00C8513D">
        <w:rPr>
          <w:rFonts w:cstheme="minorHAnsi"/>
          <w:sz w:val="24"/>
          <w:szCs w:val="24"/>
        </w:rPr>
        <w:t>Hutter</w:t>
      </w:r>
      <w:proofErr w:type="spellEnd"/>
      <w:r w:rsidRPr="00C8513D">
        <w:rPr>
          <w:rFonts w:cstheme="minorHAnsi"/>
          <w:sz w:val="24"/>
          <w:szCs w:val="24"/>
        </w:rPr>
        <w:t xml:space="preserve"> and Bailey, 2020).</w:t>
      </w:r>
      <w:r w:rsidRPr="00C8513D">
        <w:rPr>
          <w:rStyle w:val="FootnoteReference"/>
          <w:rFonts w:cstheme="minorHAnsi"/>
          <w:sz w:val="24"/>
          <w:szCs w:val="24"/>
        </w:rPr>
        <w:footnoteReference w:id="20"/>
      </w:r>
    </w:p>
    <w:p w14:paraId="595AF87F" w14:textId="1766E98E" w:rsidR="009E6E6D" w:rsidRPr="00C8513D" w:rsidRDefault="009E6E6D" w:rsidP="009E6E6D">
      <w:pPr>
        <w:rPr>
          <w:rFonts w:cstheme="minorHAnsi"/>
          <w:sz w:val="24"/>
          <w:szCs w:val="24"/>
        </w:rPr>
      </w:pPr>
      <w:r w:rsidRPr="00C8513D">
        <w:rPr>
          <w:rFonts w:cstheme="minorHAnsi"/>
          <w:sz w:val="24"/>
          <w:szCs w:val="24"/>
        </w:rPr>
        <w:t>Brink’s abstract states that ‘The author presents a functional perspective’.</w:t>
      </w:r>
      <w:r w:rsidRPr="00C8513D">
        <w:rPr>
          <w:rStyle w:val="FootnoteReference"/>
          <w:rFonts w:cstheme="minorHAnsi"/>
          <w:sz w:val="24"/>
          <w:szCs w:val="24"/>
        </w:rPr>
        <w:footnoteReference w:id="21"/>
      </w:r>
      <w:r w:rsidRPr="00C8513D">
        <w:rPr>
          <w:rFonts w:cstheme="minorHAnsi"/>
          <w:sz w:val="24"/>
          <w:szCs w:val="24"/>
        </w:rPr>
        <w:t xml:space="preserve"> Functionalism</w:t>
      </w:r>
      <w:r w:rsidR="00C8513D">
        <w:rPr>
          <w:rFonts w:cstheme="minorHAnsi"/>
          <w:sz w:val="24"/>
          <w:szCs w:val="24"/>
        </w:rPr>
        <w:t>,</w:t>
      </w:r>
      <w:r w:rsidRPr="00C8513D">
        <w:rPr>
          <w:rFonts w:cstheme="minorHAnsi"/>
          <w:sz w:val="24"/>
          <w:szCs w:val="24"/>
        </w:rPr>
        <w:t xml:space="preserve"> within</w:t>
      </w:r>
      <w:r w:rsidR="00C8513D">
        <w:rPr>
          <w:rFonts w:cstheme="minorHAnsi"/>
          <w:sz w:val="24"/>
          <w:szCs w:val="24"/>
        </w:rPr>
        <w:t xml:space="preserve"> </w:t>
      </w:r>
      <w:r w:rsidRPr="00C8513D">
        <w:rPr>
          <w:rFonts w:cstheme="minorHAnsi"/>
          <w:sz w:val="24"/>
          <w:szCs w:val="24"/>
        </w:rPr>
        <w:t>sociology</w:t>
      </w:r>
      <w:r w:rsidR="00C8513D">
        <w:rPr>
          <w:rFonts w:cstheme="minorHAnsi"/>
          <w:sz w:val="24"/>
          <w:szCs w:val="24"/>
        </w:rPr>
        <w:t>,</w:t>
      </w:r>
      <w:r w:rsidRPr="00C8513D">
        <w:rPr>
          <w:rFonts w:cstheme="minorHAnsi"/>
          <w:sz w:val="24"/>
          <w:szCs w:val="24"/>
        </w:rPr>
        <w:t xml:space="preserve"> tends to focus on the behaviours of people within a society but Brink’s paper focuses on the beliefs of respondents. Because of that, Brink struggles to relate his field work data to the literature he cites. </w:t>
      </w:r>
      <w:r w:rsidR="008609CF">
        <w:rPr>
          <w:rFonts w:cstheme="minorHAnsi"/>
          <w:sz w:val="24"/>
          <w:szCs w:val="24"/>
        </w:rPr>
        <w:t>Brink</w:t>
      </w:r>
      <w:r w:rsidRPr="00C8513D">
        <w:rPr>
          <w:rFonts w:cstheme="minorHAnsi"/>
          <w:sz w:val="24"/>
          <w:szCs w:val="24"/>
        </w:rPr>
        <w:t xml:space="preserve"> tries to link his findings to contemporary </w:t>
      </w:r>
      <w:r w:rsidR="008609CF">
        <w:rPr>
          <w:rFonts w:cstheme="minorHAnsi"/>
          <w:sz w:val="24"/>
          <w:szCs w:val="24"/>
        </w:rPr>
        <w:t xml:space="preserve">sociological </w:t>
      </w:r>
      <w:r w:rsidRPr="00C8513D">
        <w:rPr>
          <w:rFonts w:cstheme="minorHAnsi"/>
          <w:sz w:val="24"/>
          <w:szCs w:val="24"/>
        </w:rPr>
        <w:t xml:space="preserve">research, for example, </w:t>
      </w:r>
      <w:proofErr w:type="spellStart"/>
      <w:r w:rsidRPr="00C8513D">
        <w:rPr>
          <w:rFonts w:cstheme="minorHAnsi"/>
          <w:sz w:val="24"/>
          <w:szCs w:val="24"/>
        </w:rPr>
        <w:t>Bellah</w:t>
      </w:r>
      <w:proofErr w:type="spellEnd"/>
      <w:r w:rsidRPr="00C8513D">
        <w:rPr>
          <w:rFonts w:cstheme="minorHAnsi"/>
          <w:sz w:val="24"/>
          <w:szCs w:val="24"/>
        </w:rPr>
        <w:t xml:space="preserve"> (1970) and </w:t>
      </w:r>
      <w:proofErr w:type="spellStart"/>
      <w:r w:rsidRPr="00C8513D">
        <w:rPr>
          <w:rFonts w:cstheme="minorHAnsi"/>
          <w:sz w:val="24"/>
          <w:szCs w:val="24"/>
        </w:rPr>
        <w:t>Wuthnow</w:t>
      </w:r>
      <w:proofErr w:type="spellEnd"/>
      <w:r w:rsidRPr="00C8513D">
        <w:rPr>
          <w:rFonts w:cstheme="minorHAnsi"/>
          <w:sz w:val="24"/>
          <w:szCs w:val="24"/>
        </w:rPr>
        <w:t xml:space="preserve"> (1976), but he failed to gather sufficient rich data from his respondents to be able to show that his research supports the findings of the researchers he references. Perhaps he would have been better able to relate his field work data to research within a religious field of study. Instead of reflecting on the shortcomings of his own </w:t>
      </w:r>
      <w:r w:rsidR="008609CF">
        <w:rPr>
          <w:rFonts w:cstheme="minorHAnsi"/>
          <w:sz w:val="24"/>
          <w:szCs w:val="24"/>
        </w:rPr>
        <w:t>fieldwork</w:t>
      </w:r>
      <w:r w:rsidRPr="00C8513D">
        <w:rPr>
          <w:rFonts w:cstheme="minorHAnsi"/>
          <w:sz w:val="24"/>
          <w:szCs w:val="24"/>
        </w:rPr>
        <w:t xml:space="preserve">, </w:t>
      </w:r>
      <w:r w:rsidR="008609CF">
        <w:rPr>
          <w:rFonts w:cstheme="minorHAnsi"/>
          <w:sz w:val="24"/>
          <w:szCs w:val="24"/>
        </w:rPr>
        <w:t>Brink</w:t>
      </w:r>
      <w:r w:rsidRPr="00C8513D">
        <w:rPr>
          <w:rFonts w:cstheme="minorHAnsi"/>
          <w:sz w:val="24"/>
          <w:szCs w:val="24"/>
        </w:rPr>
        <w:t xml:space="preserve"> blames the respondents’ immaturity, suggesting their inconsistent beliefs serve as a protection function. This is clearly an assumption as, although he referenced functional perspective in his abstract, his data gathering methodology was too shallow to capture the reasons behind the girls’ beliefs – Brink is essentially applying the theory of functionality without </w:t>
      </w:r>
      <w:proofErr w:type="gramStart"/>
      <w:r w:rsidRPr="00C8513D">
        <w:rPr>
          <w:rFonts w:cstheme="minorHAnsi"/>
          <w:sz w:val="24"/>
          <w:szCs w:val="24"/>
        </w:rPr>
        <w:t>actually testing</w:t>
      </w:r>
      <w:proofErr w:type="gramEnd"/>
      <w:r w:rsidRPr="00C8513D">
        <w:rPr>
          <w:rFonts w:cstheme="minorHAnsi"/>
          <w:sz w:val="24"/>
          <w:szCs w:val="24"/>
        </w:rPr>
        <w:t xml:space="preserve"> it in his methods.</w:t>
      </w:r>
    </w:p>
    <w:p w14:paraId="129EC6C6" w14:textId="23DBD22B" w:rsidR="003A7042" w:rsidRPr="003A7042" w:rsidRDefault="000307BB" w:rsidP="000307BB">
      <w:pPr>
        <w:rPr>
          <w:rFonts w:cstheme="minorHAnsi"/>
          <w:sz w:val="24"/>
          <w:szCs w:val="24"/>
        </w:rPr>
      </w:pPr>
      <w:r w:rsidRPr="00C8513D">
        <w:rPr>
          <w:rFonts w:cstheme="minorHAnsi"/>
          <w:sz w:val="24"/>
          <w:szCs w:val="24"/>
        </w:rPr>
        <w:t xml:space="preserve">Unlike Brink, Walter and </w:t>
      </w:r>
      <w:r w:rsidR="008609CF" w:rsidRPr="00C8513D">
        <w:rPr>
          <w:rFonts w:cstheme="minorHAnsi"/>
          <w:sz w:val="24"/>
          <w:szCs w:val="24"/>
        </w:rPr>
        <w:t>Waterhouse</w:t>
      </w:r>
      <w:r w:rsidRPr="00C8513D">
        <w:rPr>
          <w:rFonts w:cstheme="minorHAnsi"/>
          <w:sz w:val="24"/>
          <w:szCs w:val="24"/>
        </w:rPr>
        <w:t xml:space="preserve"> linked their study far more closely to existing research</w:t>
      </w:r>
      <w:r w:rsidR="008609CF">
        <w:rPr>
          <w:rFonts w:cstheme="minorHAnsi"/>
          <w:sz w:val="24"/>
          <w:szCs w:val="24"/>
        </w:rPr>
        <w:t>, using</w:t>
      </w:r>
      <w:r w:rsidRPr="00C8513D">
        <w:rPr>
          <w:rFonts w:cstheme="minorHAnsi"/>
          <w:sz w:val="24"/>
          <w:szCs w:val="24"/>
        </w:rPr>
        <w:t xml:space="preserve"> a deductive reasoning process to refine their research question. For example, they noticed that belief in reincarnation had increased in England which led to them to wonder whether this was reflected in a corresponding belief that reincarnation was an </w:t>
      </w:r>
      <w:r w:rsidR="008609CF" w:rsidRPr="00C8513D">
        <w:rPr>
          <w:rFonts w:cstheme="minorHAnsi"/>
          <w:sz w:val="24"/>
          <w:szCs w:val="24"/>
        </w:rPr>
        <w:t>alternative</w:t>
      </w:r>
      <w:r w:rsidRPr="00C8513D">
        <w:rPr>
          <w:rFonts w:cstheme="minorHAnsi"/>
          <w:sz w:val="24"/>
          <w:szCs w:val="24"/>
        </w:rPr>
        <w:t xml:space="preserve"> to </w:t>
      </w:r>
      <w:r w:rsidR="008609CF" w:rsidRPr="00C8513D">
        <w:rPr>
          <w:rFonts w:cstheme="minorHAnsi"/>
          <w:sz w:val="24"/>
          <w:szCs w:val="24"/>
        </w:rPr>
        <w:t>Christianity</w:t>
      </w:r>
      <w:r w:rsidRPr="00C8513D">
        <w:rPr>
          <w:rFonts w:cstheme="minorHAnsi"/>
          <w:sz w:val="24"/>
          <w:szCs w:val="24"/>
        </w:rPr>
        <w:t xml:space="preserve"> and secularism.</w:t>
      </w:r>
      <w:r w:rsidRPr="00C8513D">
        <w:rPr>
          <w:rStyle w:val="FootnoteReference"/>
          <w:rFonts w:cstheme="minorHAnsi"/>
          <w:sz w:val="24"/>
          <w:szCs w:val="24"/>
        </w:rPr>
        <w:footnoteReference w:id="22"/>
      </w:r>
      <w:r w:rsidR="00A126E5" w:rsidRPr="003A7042">
        <w:rPr>
          <w:rFonts w:cstheme="minorHAnsi"/>
          <w:sz w:val="24"/>
          <w:szCs w:val="24"/>
        </w:rPr>
        <w:t xml:space="preserve"> </w:t>
      </w:r>
      <w:r w:rsidRPr="00C8513D">
        <w:rPr>
          <w:rFonts w:cstheme="minorHAnsi"/>
          <w:sz w:val="24"/>
          <w:szCs w:val="24"/>
        </w:rPr>
        <w:t xml:space="preserve">Further research showed them that this was </w:t>
      </w:r>
      <w:r w:rsidRPr="00C8513D">
        <w:rPr>
          <w:rFonts w:cstheme="minorHAnsi"/>
          <w:sz w:val="24"/>
          <w:szCs w:val="24"/>
        </w:rPr>
        <w:lastRenderedPageBreak/>
        <w:t xml:space="preserve">not the case and led them to explore what reincarnation </w:t>
      </w:r>
      <w:proofErr w:type="gramStart"/>
      <w:r w:rsidRPr="00C8513D">
        <w:rPr>
          <w:rFonts w:cstheme="minorHAnsi"/>
          <w:sz w:val="24"/>
          <w:szCs w:val="24"/>
        </w:rPr>
        <w:t>actually means</w:t>
      </w:r>
      <w:proofErr w:type="gramEnd"/>
      <w:r w:rsidRPr="00C8513D">
        <w:rPr>
          <w:rFonts w:cstheme="minorHAnsi"/>
          <w:sz w:val="24"/>
          <w:szCs w:val="24"/>
        </w:rPr>
        <w:t xml:space="preserve"> to people who believe in it. In this way, their approach to Brink’s was different in that their research question and data collection methodology was very much deduced from the findings of previous research. </w:t>
      </w:r>
    </w:p>
    <w:p w14:paraId="259D5A08" w14:textId="057E46EF" w:rsidR="009E6E6D" w:rsidRDefault="000307BB" w:rsidP="008609CF">
      <w:pPr>
        <w:pStyle w:val="Heading1"/>
      </w:pPr>
      <w:r w:rsidRPr="000307BB">
        <w:t>Conclusion</w:t>
      </w:r>
    </w:p>
    <w:p w14:paraId="58740362" w14:textId="047BAA47" w:rsidR="008609CF" w:rsidRPr="008609CF" w:rsidRDefault="00F5049D" w:rsidP="008609CF">
      <w:r>
        <w:t>Although</w:t>
      </w:r>
      <w:r w:rsidR="005F3763">
        <w:t xml:space="preserve"> both papers explored the topic of reincarnation, they approached their study using very different methodologies. Brink’s positivist survey of closed statements meant that his study lacked the depth of understanding the complexities of belief that were needed for him to be able to produce data that added any real new knowledge to the subject area. </w:t>
      </w:r>
      <w:r w:rsidR="002B2E27">
        <w:t xml:space="preserve">Walter and Waterhouse explored religious studies which helped them formulate their research question and gave them a better understanding of which data collection methodologies would yield the most appropriate data. As a result, unlike Brink, their study was able to add new knowledge to the subject area. Both studies were very much of their time and did not adhere to practices which would be expected of today’s researchers. However, they both demonstrate the challenges of capturing data about personal belief and help modern researchers refine techniques for researching this </w:t>
      </w:r>
      <w:r>
        <w:t>difficult area academic study.</w:t>
      </w:r>
    </w:p>
    <w:p w14:paraId="492C3D90" w14:textId="77777777" w:rsidR="000307BB" w:rsidRPr="000307BB" w:rsidRDefault="000307BB" w:rsidP="00B75708">
      <w:pPr>
        <w:rPr>
          <w:rFonts w:cstheme="minorHAnsi"/>
          <w:sz w:val="24"/>
          <w:szCs w:val="24"/>
        </w:rPr>
      </w:pPr>
    </w:p>
    <w:p w14:paraId="54E9F447" w14:textId="2E4D31F8" w:rsidR="00C866D4" w:rsidRPr="000307BB" w:rsidRDefault="00C866D4" w:rsidP="00B75708">
      <w:pPr>
        <w:rPr>
          <w:rFonts w:cstheme="minorHAnsi"/>
          <w:sz w:val="24"/>
          <w:szCs w:val="24"/>
        </w:rPr>
      </w:pPr>
    </w:p>
    <w:p w14:paraId="6282B954" w14:textId="4C0CBB3C" w:rsidR="00C866D4" w:rsidRPr="000307BB" w:rsidRDefault="00C866D4" w:rsidP="00B75708">
      <w:pPr>
        <w:rPr>
          <w:rFonts w:cstheme="minorHAnsi"/>
          <w:sz w:val="24"/>
          <w:szCs w:val="24"/>
        </w:rPr>
      </w:pPr>
    </w:p>
    <w:p w14:paraId="1F77BFF8" w14:textId="500C5865" w:rsidR="00C866D4" w:rsidRPr="000307BB" w:rsidRDefault="00C866D4" w:rsidP="00B75708">
      <w:pPr>
        <w:rPr>
          <w:rFonts w:cstheme="minorHAnsi"/>
          <w:sz w:val="24"/>
          <w:szCs w:val="24"/>
        </w:rPr>
      </w:pPr>
    </w:p>
    <w:p w14:paraId="04A80997" w14:textId="3D8492BD" w:rsidR="00C866D4" w:rsidRPr="000307BB" w:rsidRDefault="00C866D4" w:rsidP="00B75708">
      <w:pPr>
        <w:rPr>
          <w:rFonts w:cstheme="minorHAnsi"/>
          <w:sz w:val="24"/>
          <w:szCs w:val="24"/>
        </w:rPr>
      </w:pPr>
    </w:p>
    <w:p w14:paraId="21FE2EEF" w14:textId="2F5B4B3C" w:rsidR="00C866D4" w:rsidRPr="000307BB" w:rsidRDefault="00C866D4" w:rsidP="00B75708">
      <w:pPr>
        <w:rPr>
          <w:rFonts w:cstheme="minorHAnsi"/>
          <w:sz w:val="24"/>
          <w:szCs w:val="24"/>
        </w:rPr>
      </w:pPr>
    </w:p>
    <w:p w14:paraId="5C62106A" w14:textId="391CA79F" w:rsidR="00C866D4" w:rsidRPr="000307BB" w:rsidRDefault="00C866D4" w:rsidP="00B75708">
      <w:pPr>
        <w:rPr>
          <w:rFonts w:cstheme="minorHAnsi"/>
          <w:sz w:val="24"/>
          <w:szCs w:val="24"/>
        </w:rPr>
      </w:pPr>
    </w:p>
    <w:p w14:paraId="1B5754EF" w14:textId="006203F5" w:rsidR="00C866D4" w:rsidRPr="000307BB" w:rsidRDefault="00C866D4" w:rsidP="00B75708">
      <w:pPr>
        <w:rPr>
          <w:rFonts w:cstheme="minorHAnsi"/>
          <w:sz w:val="24"/>
          <w:szCs w:val="24"/>
        </w:rPr>
      </w:pPr>
    </w:p>
    <w:p w14:paraId="4B3E8B25" w14:textId="396CECAD" w:rsidR="00C866D4" w:rsidRPr="000307BB" w:rsidRDefault="00C866D4" w:rsidP="00B75708">
      <w:pPr>
        <w:rPr>
          <w:rFonts w:cstheme="minorHAnsi"/>
          <w:sz w:val="24"/>
          <w:szCs w:val="24"/>
        </w:rPr>
      </w:pPr>
    </w:p>
    <w:p w14:paraId="22C06FBB" w14:textId="4B8B2C54" w:rsidR="00C866D4" w:rsidRPr="000307BB" w:rsidRDefault="00C866D4" w:rsidP="00B75708">
      <w:pPr>
        <w:rPr>
          <w:rFonts w:cstheme="minorHAnsi"/>
          <w:sz w:val="24"/>
          <w:szCs w:val="24"/>
        </w:rPr>
      </w:pPr>
    </w:p>
    <w:p w14:paraId="353072B9" w14:textId="1EAE05BD" w:rsidR="00C866D4" w:rsidRPr="000307BB" w:rsidRDefault="00C866D4" w:rsidP="00B75708">
      <w:pPr>
        <w:rPr>
          <w:rFonts w:cstheme="minorHAnsi"/>
          <w:sz w:val="24"/>
          <w:szCs w:val="24"/>
        </w:rPr>
      </w:pPr>
    </w:p>
    <w:p w14:paraId="151EF808" w14:textId="601E129C" w:rsidR="00C866D4" w:rsidRPr="000307BB" w:rsidRDefault="00C866D4" w:rsidP="00B75708">
      <w:pPr>
        <w:rPr>
          <w:rFonts w:cstheme="minorHAnsi"/>
          <w:sz w:val="24"/>
          <w:szCs w:val="24"/>
        </w:rPr>
      </w:pPr>
    </w:p>
    <w:p w14:paraId="7CBCE45A" w14:textId="7591504C" w:rsidR="00C866D4" w:rsidRPr="000307BB" w:rsidRDefault="00C866D4" w:rsidP="00B75708">
      <w:pPr>
        <w:rPr>
          <w:rFonts w:cstheme="minorHAnsi"/>
          <w:sz w:val="24"/>
          <w:szCs w:val="24"/>
        </w:rPr>
      </w:pPr>
    </w:p>
    <w:p w14:paraId="62C25A56" w14:textId="55107047" w:rsidR="00C866D4" w:rsidRPr="000307BB" w:rsidRDefault="00C866D4" w:rsidP="00B75708">
      <w:pPr>
        <w:rPr>
          <w:rFonts w:cstheme="minorHAnsi"/>
          <w:sz w:val="24"/>
          <w:szCs w:val="24"/>
        </w:rPr>
      </w:pPr>
    </w:p>
    <w:p w14:paraId="72B0483B" w14:textId="6FCFE39C" w:rsidR="00C866D4" w:rsidRPr="000307BB" w:rsidRDefault="00C866D4" w:rsidP="00B75708">
      <w:pPr>
        <w:rPr>
          <w:rFonts w:cstheme="minorHAnsi"/>
          <w:sz w:val="24"/>
          <w:szCs w:val="24"/>
        </w:rPr>
      </w:pPr>
    </w:p>
    <w:p w14:paraId="155BD255" w14:textId="7EA0C7B0" w:rsidR="00C866D4" w:rsidRPr="000307BB" w:rsidRDefault="00C866D4" w:rsidP="00B75708">
      <w:pPr>
        <w:rPr>
          <w:rFonts w:cstheme="minorHAnsi"/>
          <w:sz w:val="24"/>
          <w:szCs w:val="24"/>
        </w:rPr>
      </w:pPr>
    </w:p>
    <w:p w14:paraId="7919AFB5" w14:textId="6976ADDC" w:rsidR="00C866D4" w:rsidRPr="000307BB" w:rsidRDefault="00C866D4" w:rsidP="00B75708">
      <w:pPr>
        <w:rPr>
          <w:rFonts w:cstheme="minorHAnsi"/>
          <w:sz w:val="24"/>
          <w:szCs w:val="24"/>
        </w:rPr>
      </w:pPr>
    </w:p>
    <w:p w14:paraId="08F8BB8C" w14:textId="493FAF8B" w:rsidR="00C866D4" w:rsidRPr="000307BB" w:rsidRDefault="00C866D4" w:rsidP="00B75708">
      <w:pPr>
        <w:rPr>
          <w:rFonts w:cstheme="minorHAnsi"/>
          <w:sz w:val="24"/>
          <w:szCs w:val="24"/>
        </w:rPr>
      </w:pPr>
    </w:p>
    <w:p w14:paraId="2B3E3E7D" w14:textId="0DF016D5" w:rsidR="00C866D4" w:rsidRPr="000307BB" w:rsidRDefault="00C866D4" w:rsidP="00B75708">
      <w:pPr>
        <w:rPr>
          <w:rFonts w:cstheme="minorHAnsi"/>
          <w:sz w:val="24"/>
          <w:szCs w:val="24"/>
        </w:rPr>
      </w:pPr>
    </w:p>
    <w:p w14:paraId="4EA89F8D" w14:textId="35FDCA93" w:rsidR="00C866D4" w:rsidRPr="000307BB" w:rsidRDefault="00C866D4" w:rsidP="00B75708">
      <w:pPr>
        <w:rPr>
          <w:rFonts w:cstheme="minorHAnsi"/>
          <w:sz w:val="24"/>
          <w:szCs w:val="24"/>
        </w:rPr>
      </w:pPr>
    </w:p>
    <w:p w14:paraId="645147E3" w14:textId="1D3FAB2E" w:rsidR="00C866D4" w:rsidRPr="000307BB" w:rsidRDefault="00C866D4" w:rsidP="00B75708">
      <w:pPr>
        <w:rPr>
          <w:rFonts w:cstheme="minorHAnsi"/>
          <w:sz w:val="24"/>
          <w:szCs w:val="24"/>
        </w:rPr>
      </w:pPr>
    </w:p>
    <w:p w14:paraId="2E96C3C7" w14:textId="68E16861" w:rsidR="00C866D4" w:rsidRPr="000307BB" w:rsidRDefault="00C866D4" w:rsidP="00B75708">
      <w:pPr>
        <w:rPr>
          <w:rFonts w:cstheme="minorHAnsi"/>
          <w:sz w:val="24"/>
          <w:szCs w:val="24"/>
        </w:rPr>
      </w:pPr>
    </w:p>
    <w:p w14:paraId="2A6E4F32" w14:textId="64E0F19A" w:rsidR="00C866D4" w:rsidRPr="000307BB" w:rsidRDefault="00C866D4" w:rsidP="00B75708">
      <w:pPr>
        <w:rPr>
          <w:rFonts w:cstheme="minorHAnsi"/>
          <w:sz w:val="24"/>
          <w:szCs w:val="24"/>
        </w:rPr>
      </w:pPr>
    </w:p>
    <w:p w14:paraId="24A182E1" w14:textId="6326B4B9" w:rsidR="00C866D4" w:rsidRPr="000307BB" w:rsidRDefault="00C866D4" w:rsidP="00B75708">
      <w:pPr>
        <w:rPr>
          <w:rFonts w:cstheme="minorHAnsi"/>
          <w:sz w:val="24"/>
          <w:szCs w:val="24"/>
        </w:rPr>
      </w:pPr>
    </w:p>
    <w:p w14:paraId="5EF005E1" w14:textId="391E7F6D" w:rsidR="00C866D4" w:rsidRPr="000307BB" w:rsidRDefault="00C866D4" w:rsidP="00B75708">
      <w:pPr>
        <w:rPr>
          <w:rFonts w:cstheme="minorHAnsi"/>
          <w:sz w:val="24"/>
          <w:szCs w:val="24"/>
        </w:rPr>
      </w:pPr>
    </w:p>
    <w:p w14:paraId="620B47A5" w14:textId="65C876FB" w:rsidR="00C866D4" w:rsidRPr="000307BB" w:rsidRDefault="00C866D4" w:rsidP="00B75708">
      <w:pPr>
        <w:rPr>
          <w:rFonts w:cstheme="minorHAnsi"/>
          <w:sz w:val="24"/>
          <w:szCs w:val="24"/>
        </w:rPr>
      </w:pPr>
    </w:p>
    <w:p w14:paraId="5689668E" w14:textId="70303A96" w:rsidR="00C866D4" w:rsidRPr="000307BB" w:rsidRDefault="00C866D4" w:rsidP="00B75708">
      <w:pPr>
        <w:rPr>
          <w:rFonts w:cstheme="minorHAnsi"/>
          <w:sz w:val="24"/>
          <w:szCs w:val="24"/>
        </w:rPr>
      </w:pPr>
    </w:p>
    <w:p w14:paraId="05448701" w14:textId="30FBE43E" w:rsidR="00C866D4" w:rsidRPr="000307BB" w:rsidRDefault="00C866D4" w:rsidP="00B75708">
      <w:pPr>
        <w:rPr>
          <w:rFonts w:cstheme="minorHAnsi"/>
          <w:sz w:val="24"/>
          <w:szCs w:val="24"/>
        </w:rPr>
      </w:pPr>
    </w:p>
    <w:p w14:paraId="4A6FDED0" w14:textId="40C3A58F" w:rsidR="00C866D4" w:rsidRPr="000307BB" w:rsidRDefault="00C866D4" w:rsidP="00B75708">
      <w:pPr>
        <w:rPr>
          <w:rFonts w:cstheme="minorHAnsi"/>
          <w:sz w:val="24"/>
          <w:szCs w:val="24"/>
        </w:rPr>
      </w:pPr>
    </w:p>
    <w:p w14:paraId="2CB32A2E" w14:textId="7065E845" w:rsidR="00C866D4" w:rsidRPr="000307BB" w:rsidRDefault="00C866D4" w:rsidP="00B75708">
      <w:pPr>
        <w:rPr>
          <w:rFonts w:cstheme="minorHAnsi"/>
          <w:sz w:val="24"/>
          <w:szCs w:val="24"/>
        </w:rPr>
      </w:pPr>
    </w:p>
    <w:p w14:paraId="108C9CCD" w14:textId="7D681027" w:rsidR="00C866D4" w:rsidRPr="000307BB" w:rsidRDefault="00C866D4" w:rsidP="00B75708">
      <w:pPr>
        <w:rPr>
          <w:rFonts w:cstheme="minorHAnsi"/>
          <w:sz w:val="24"/>
          <w:szCs w:val="24"/>
        </w:rPr>
      </w:pPr>
    </w:p>
    <w:p w14:paraId="1C40A467" w14:textId="76EFBD2F" w:rsidR="00C866D4" w:rsidRPr="000307BB" w:rsidRDefault="00C866D4" w:rsidP="00B75708">
      <w:pPr>
        <w:rPr>
          <w:rFonts w:cstheme="minorHAnsi"/>
          <w:sz w:val="24"/>
          <w:szCs w:val="24"/>
        </w:rPr>
      </w:pPr>
    </w:p>
    <w:p w14:paraId="6639B5FF" w14:textId="4F07F6A4" w:rsidR="00C866D4" w:rsidRPr="000307BB" w:rsidRDefault="00C866D4" w:rsidP="00B75708">
      <w:pPr>
        <w:rPr>
          <w:rFonts w:cstheme="minorHAnsi"/>
          <w:sz w:val="24"/>
          <w:szCs w:val="24"/>
        </w:rPr>
      </w:pPr>
    </w:p>
    <w:p w14:paraId="7F8DC6D8" w14:textId="7D12416E" w:rsidR="00C866D4" w:rsidRPr="000307BB" w:rsidRDefault="00C866D4" w:rsidP="00B75708">
      <w:pPr>
        <w:rPr>
          <w:rFonts w:cstheme="minorHAnsi"/>
          <w:sz w:val="24"/>
          <w:szCs w:val="24"/>
        </w:rPr>
      </w:pPr>
    </w:p>
    <w:p w14:paraId="406507A1" w14:textId="7EE29043" w:rsidR="00C866D4" w:rsidRPr="000307BB" w:rsidRDefault="00C866D4" w:rsidP="00B75708">
      <w:pPr>
        <w:rPr>
          <w:rFonts w:cstheme="minorHAnsi"/>
          <w:sz w:val="24"/>
          <w:szCs w:val="24"/>
        </w:rPr>
      </w:pPr>
    </w:p>
    <w:p w14:paraId="54C5664E" w14:textId="33F2A3DD" w:rsidR="00C866D4" w:rsidRPr="000307BB" w:rsidRDefault="00C866D4" w:rsidP="00B75708">
      <w:pPr>
        <w:rPr>
          <w:rFonts w:cstheme="minorHAnsi"/>
          <w:sz w:val="24"/>
          <w:szCs w:val="24"/>
        </w:rPr>
      </w:pPr>
    </w:p>
    <w:p w14:paraId="7E8533D7" w14:textId="5722C826" w:rsidR="00C866D4" w:rsidRPr="000307BB" w:rsidRDefault="00C866D4" w:rsidP="00B75708">
      <w:pPr>
        <w:rPr>
          <w:rFonts w:cstheme="minorHAnsi"/>
          <w:sz w:val="24"/>
          <w:szCs w:val="24"/>
        </w:rPr>
      </w:pPr>
    </w:p>
    <w:p w14:paraId="6C653C2F" w14:textId="02C2C3E0" w:rsidR="00C866D4" w:rsidRPr="000307BB" w:rsidRDefault="00C866D4" w:rsidP="00B75708">
      <w:pPr>
        <w:rPr>
          <w:rFonts w:cstheme="minorHAnsi"/>
          <w:sz w:val="24"/>
          <w:szCs w:val="24"/>
        </w:rPr>
      </w:pPr>
    </w:p>
    <w:p w14:paraId="04E111F7" w14:textId="497ADCF1" w:rsidR="00C866D4" w:rsidRPr="000307BB" w:rsidRDefault="00C866D4" w:rsidP="00B75708">
      <w:pPr>
        <w:rPr>
          <w:rFonts w:cstheme="minorHAnsi"/>
          <w:sz w:val="24"/>
          <w:szCs w:val="24"/>
        </w:rPr>
      </w:pPr>
    </w:p>
    <w:p w14:paraId="097ADA78" w14:textId="491BD861" w:rsidR="00C866D4" w:rsidRPr="000307BB" w:rsidRDefault="00C866D4" w:rsidP="00B75708">
      <w:pPr>
        <w:rPr>
          <w:rFonts w:cstheme="minorHAnsi"/>
          <w:sz w:val="24"/>
          <w:szCs w:val="24"/>
        </w:rPr>
      </w:pPr>
    </w:p>
    <w:p w14:paraId="4C48D036" w14:textId="206892B1" w:rsidR="00C866D4" w:rsidRPr="000307BB" w:rsidRDefault="00C866D4" w:rsidP="00B75708">
      <w:pPr>
        <w:rPr>
          <w:rFonts w:cstheme="minorHAnsi"/>
          <w:sz w:val="24"/>
          <w:szCs w:val="24"/>
        </w:rPr>
      </w:pPr>
    </w:p>
    <w:p w14:paraId="66D0596E" w14:textId="6203B596" w:rsidR="00C866D4" w:rsidRPr="000307BB" w:rsidRDefault="00C866D4" w:rsidP="00B75708">
      <w:pPr>
        <w:rPr>
          <w:rFonts w:cstheme="minorHAnsi"/>
          <w:sz w:val="24"/>
          <w:szCs w:val="24"/>
        </w:rPr>
      </w:pPr>
    </w:p>
    <w:p w14:paraId="7EDB15D8" w14:textId="074947DB" w:rsidR="0098121D" w:rsidRPr="000307BB" w:rsidRDefault="0098121D" w:rsidP="00171CE4">
      <w:pPr>
        <w:rPr>
          <w:rFonts w:cstheme="minorHAnsi"/>
          <w:sz w:val="24"/>
          <w:szCs w:val="24"/>
        </w:rPr>
      </w:pPr>
      <w:bookmarkStart w:id="0" w:name="_Hlk98493966"/>
    </w:p>
    <w:p w14:paraId="4D2911B1" w14:textId="77777777" w:rsidR="00F830BE" w:rsidRPr="000307BB" w:rsidRDefault="00F830BE" w:rsidP="00F830BE">
      <w:pPr>
        <w:pStyle w:val="Subtitle"/>
        <w:rPr>
          <w:rFonts w:cstheme="minorHAnsi"/>
          <w:sz w:val="24"/>
          <w:szCs w:val="24"/>
        </w:rPr>
      </w:pPr>
      <w:r w:rsidRPr="000307BB">
        <w:rPr>
          <w:rFonts w:cstheme="minorHAnsi"/>
          <w:sz w:val="24"/>
          <w:szCs w:val="24"/>
        </w:rPr>
        <w:t>Conclusion</w:t>
      </w:r>
    </w:p>
    <w:p w14:paraId="3B988E90" w14:textId="77777777" w:rsidR="00F830BE" w:rsidRPr="000307BB" w:rsidRDefault="00F830BE" w:rsidP="00F830BE">
      <w:pPr>
        <w:rPr>
          <w:rFonts w:cstheme="minorHAnsi"/>
          <w:sz w:val="24"/>
          <w:szCs w:val="24"/>
        </w:rPr>
      </w:pPr>
      <w:r w:rsidRPr="000307BB">
        <w:rPr>
          <w:rFonts w:cstheme="minorHAnsi"/>
          <w:sz w:val="24"/>
          <w:szCs w:val="24"/>
        </w:rPr>
        <w:t xml:space="preserve">Brink wanted to test hypothesis so on surface make sense to choose that participant group – but assumption they believe – but tries to weed out believe by statements – see </w:t>
      </w:r>
      <w:proofErr w:type="gramStart"/>
      <w:r w:rsidRPr="000307BB">
        <w:rPr>
          <w:rFonts w:cstheme="minorHAnsi"/>
          <w:sz w:val="24"/>
          <w:szCs w:val="24"/>
        </w:rPr>
        <w:t>below .</w:t>
      </w:r>
      <w:proofErr w:type="gramEnd"/>
      <w:r w:rsidRPr="000307BB">
        <w:rPr>
          <w:rFonts w:cstheme="minorHAnsi"/>
          <w:sz w:val="24"/>
          <w:szCs w:val="24"/>
        </w:rPr>
        <w:t xml:space="preserve"> </w:t>
      </w:r>
    </w:p>
    <w:bookmarkEnd w:id="0"/>
    <w:p w14:paraId="2BF924D8" w14:textId="5C42E6B9" w:rsidR="00171CE4" w:rsidRPr="000307BB" w:rsidRDefault="00171CE4">
      <w:pPr>
        <w:rPr>
          <w:rFonts w:cstheme="minorHAnsi"/>
          <w:sz w:val="24"/>
          <w:szCs w:val="24"/>
        </w:rPr>
      </w:pPr>
    </w:p>
    <w:p w14:paraId="49FEE83C" w14:textId="77777777" w:rsidR="009D013D" w:rsidRPr="000307BB" w:rsidRDefault="009D013D" w:rsidP="009D013D">
      <w:pPr>
        <w:rPr>
          <w:rFonts w:cstheme="minorHAnsi"/>
          <w:sz w:val="24"/>
          <w:szCs w:val="24"/>
        </w:rPr>
      </w:pPr>
      <w:r w:rsidRPr="000307BB">
        <w:rPr>
          <w:rFonts w:cstheme="minorHAnsi"/>
          <w:color w:val="FF0000"/>
          <w:sz w:val="24"/>
          <w:szCs w:val="24"/>
        </w:rPr>
        <w:lastRenderedPageBreak/>
        <w:t xml:space="preserve">Walter and Waterhouse’s research sample was much smaller than Brink’s so they were able to elicit more subjective detail from their participants (although this was also because of the data collection methods – should be in the next section). </w:t>
      </w:r>
    </w:p>
    <w:p w14:paraId="0D9A404B" w14:textId="71A1451A" w:rsidR="00D878F3" w:rsidRPr="000307BB" w:rsidRDefault="00D878F3">
      <w:pPr>
        <w:rPr>
          <w:rFonts w:cstheme="minorHAnsi"/>
          <w:sz w:val="24"/>
          <w:szCs w:val="24"/>
        </w:rPr>
      </w:pPr>
    </w:p>
    <w:p w14:paraId="52E4D7B4" w14:textId="3033E58A" w:rsidR="00D878F3" w:rsidRPr="000307BB" w:rsidRDefault="00D878F3">
      <w:pPr>
        <w:rPr>
          <w:rFonts w:cstheme="minorHAnsi"/>
          <w:sz w:val="24"/>
          <w:szCs w:val="24"/>
        </w:rPr>
      </w:pPr>
    </w:p>
    <w:p w14:paraId="51F9AE1B" w14:textId="72992CE1" w:rsidR="00D878F3" w:rsidRPr="000307BB" w:rsidRDefault="00D878F3">
      <w:pPr>
        <w:rPr>
          <w:rFonts w:cstheme="minorHAnsi"/>
          <w:sz w:val="24"/>
          <w:szCs w:val="24"/>
        </w:rPr>
      </w:pPr>
    </w:p>
    <w:p w14:paraId="795BA33A" w14:textId="4B91F310" w:rsidR="00D878F3" w:rsidRPr="000307BB" w:rsidRDefault="00D878F3">
      <w:pPr>
        <w:rPr>
          <w:rFonts w:cstheme="minorHAnsi"/>
          <w:sz w:val="24"/>
          <w:szCs w:val="24"/>
        </w:rPr>
      </w:pPr>
    </w:p>
    <w:p w14:paraId="3926848E" w14:textId="15B809F7" w:rsidR="00D878F3" w:rsidRPr="000307BB" w:rsidRDefault="00D878F3">
      <w:pPr>
        <w:rPr>
          <w:rFonts w:cstheme="minorHAnsi"/>
          <w:sz w:val="24"/>
          <w:szCs w:val="24"/>
        </w:rPr>
      </w:pPr>
    </w:p>
    <w:p w14:paraId="5062FC0E" w14:textId="006C8F30" w:rsidR="00D878F3" w:rsidRPr="000307BB" w:rsidRDefault="00D878F3">
      <w:pPr>
        <w:rPr>
          <w:rFonts w:cstheme="minorHAnsi"/>
          <w:sz w:val="24"/>
          <w:szCs w:val="24"/>
        </w:rPr>
      </w:pPr>
    </w:p>
    <w:p w14:paraId="5FBDDFB4" w14:textId="123BF03C" w:rsidR="00D878F3" w:rsidRPr="000307BB" w:rsidRDefault="00D878F3">
      <w:pPr>
        <w:rPr>
          <w:rFonts w:cstheme="minorHAnsi"/>
          <w:sz w:val="24"/>
          <w:szCs w:val="24"/>
        </w:rPr>
      </w:pPr>
    </w:p>
    <w:p w14:paraId="207BE5B2" w14:textId="4C27A479" w:rsidR="00D878F3" w:rsidRPr="000307BB" w:rsidRDefault="00D878F3">
      <w:pPr>
        <w:rPr>
          <w:rFonts w:cstheme="minorHAnsi"/>
          <w:sz w:val="24"/>
          <w:szCs w:val="24"/>
        </w:rPr>
      </w:pPr>
    </w:p>
    <w:p w14:paraId="27DD8263" w14:textId="77DFCDED" w:rsidR="00D878F3" w:rsidRPr="000307BB" w:rsidRDefault="00D878F3">
      <w:pPr>
        <w:rPr>
          <w:rFonts w:cstheme="minorHAnsi"/>
          <w:sz w:val="24"/>
          <w:szCs w:val="24"/>
        </w:rPr>
      </w:pPr>
    </w:p>
    <w:p w14:paraId="5FEC059E" w14:textId="7CA05670" w:rsidR="00D878F3" w:rsidRPr="000307BB" w:rsidRDefault="00D878F3">
      <w:pPr>
        <w:rPr>
          <w:rFonts w:cstheme="minorHAnsi"/>
          <w:sz w:val="24"/>
          <w:szCs w:val="24"/>
        </w:rPr>
      </w:pPr>
    </w:p>
    <w:sectPr w:rsidR="00D878F3" w:rsidRPr="000307B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31364" w14:textId="77777777" w:rsidR="000F09AC" w:rsidRDefault="000F09AC" w:rsidP="006D5623">
      <w:pPr>
        <w:spacing w:after="0" w:line="240" w:lineRule="auto"/>
      </w:pPr>
      <w:r>
        <w:separator/>
      </w:r>
    </w:p>
  </w:endnote>
  <w:endnote w:type="continuationSeparator" w:id="0">
    <w:p w14:paraId="7A216AAE" w14:textId="77777777" w:rsidR="000F09AC" w:rsidRDefault="000F09AC" w:rsidP="006D5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BF33C" w14:textId="5C2AD10C" w:rsidR="00BA4B08" w:rsidRDefault="00BA4B08">
    <w:pPr>
      <w:pStyle w:val="Footer"/>
    </w:pPr>
    <w:r>
      <w:t>Christine Allen</w:t>
    </w:r>
    <w:r>
      <w:ptab w:relativeTo="margin" w:alignment="center" w:leader="none"/>
    </w:r>
    <w:r>
      <w:t>RCC</w:t>
    </w:r>
    <w:r>
      <w:ptab w:relativeTo="margin" w:alignment="right" w:leader="none"/>
    </w:r>
    <w:sdt>
      <w:sdtPr>
        <w:id w:val="969400753"/>
        <w:placeholder>
          <w:docPart w:val="B128337F519445C9A71D940DE1CFE36B"/>
        </w:placeholder>
        <w:temporary/>
        <w:showingPlcHdr/>
        <w15:appearance w15:val="hidden"/>
      </w:sdtPr>
      <w:sdtContent>
        <w:r>
          <w:t>[Type 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953F3" w14:textId="77777777" w:rsidR="000F09AC" w:rsidRDefault="000F09AC" w:rsidP="006D5623">
      <w:pPr>
        <w:spacing w:after="0" w:line="240" w:lineRule="auto"/>
      </w:pPr>
      <w:r>
        <w:separator/>
      </w:r>
    </w:p>
  </w:footnote>
  <w:footnote w:type="continuationSeparator" w:id="0">
    <w:p w14:paraId="3EAB0F71" w14:textId="77777777" w:rsidR="000F09AC" w:rsidRDefault="000F09AC" w:rsidP="006D5623">
      <w:pPr>
        <w:spacing w:after="0" w:line="240" w:lineRule="auto"/>
      </w:pPr>
      <w:r>
        <w:continuationSeparator/>
      </w:r>
    </w:p>
  </w:footnote>
  <w:footnote w:id="1">
    <w:p w14:paraId="48CD59B8" w14:textId="77777777" w:rsidR="00696499" w:rsidRDefault="00696499" w:rsidP="00696499">
      <w:pPr>
        <w:pStyle w:val="FootnoteText"/>
      </w:pPr>
      <w:r>
        <w:rPr>
          <w:rStyle w:val="FootnoteReference"/>
        </w:rPr>
        <w:footnoteRef/>
      </w:r>
      <w:r>
        <w:t xml:space="preserve"> Brink, p82</w:t>
      </w:r>
    </w:p>
  </w:footnote>
  <w:footnote w:id="2">
    <w:p w14:paraId="08F7B7DF" w14:textId="77777777" w:rsidR="00696499" w:rsidRDefault="00696499" w:rsidP="00696499">
      <w:pPr>
        <w:pStyle w:val="FootnoteText"/>
      </w:pPr>
      <w:r>
        <w:rPr>
          <w:rStyle w:val="FootnoteReference"/>
        </w:rPr>
        <w:footnoteRef/>
      </w:r>
      <w:r>
        <w:t xml:space="preserve"> Walters and Waterhouse p189</w:t>
      </w:r>
    </w:p>
  </w:footnote>
  <w:footnote w:id="3">
    <w:p w14:paraId="22559931" w14:textId="77777777" w:rsidR="00696499" w:rsidRDefault="00696499" w:rsidP="00696499">
      <w:pPr>
        <w:pStyle w:val="FootnoteText"/>
      </w:pPr>
      <w:r>
        <w:rPr>
          <w:rStyle w:val="FootnoteReference"/>
        </w:rPr>
        <w:footnoteRef/>
      </w:r>
      <w:r>
        <w:t xml:space="preserve"> Brink p 84</w:t>
      </w:r>
    </w:p>
  </w:footnote>
  <w:footnote w:id="4">
    <w:p w14:paraId="48E2A299" w14:textId="77777777" w:rsidR="00696499" w:rsidRDefault="00696499" w:rsidP="00696499">
      <w:pPr>
        <w:pStyle w:val="FootnoteText"/>
      </w:pPr>
      <w:r>
        <w:rPr>
          <w:rStyle w:val="FootnoteReference"/>
        </w:rPr>
        <w:footnoteRef/>
      </w:r>
      <w:r>
        <w:t xml:space="preserve"> Walters and Waterhouse p189</w:t>
      </w:r>
    </w:p>
  </w:footnote>
  <w:footnote w:id="5">
    <w:p w14:paraId="3984B175" w14:textId="77777777" w:rsidR="00696499" w:rsidRDefault="00696499" w:rsidP="00696499">
      <w:pPr>
        <w:pStyle w:val="FootnoteText"/>
      </w:pPr>
      <w:r>
        <w:rPr>
          <w:rStyle w:val="FootnoteReference"/>
        </w:rPr>
        <w:footnoteRef/>
      </w:r>
      <w:r>
        <w:t xml:space="preserve"> </w:t>
      </w:r>
      <w:proofErr w:type="spellStart"/>
      <w:r>
        <w:t>Hennink</w:t>
      </w:r>
      <w:proofErr w:type="spellEnd"/>
      <w:r>
        <w:t xml:space="preserve">, </w:t>
      </w:r>
      <w:proofErr w:type="spellStart"/>
      <w:r>
        <w:t>Hutter</w:t>
      </w:r>
      <w:proofErr w:type="spellEnd"/>
      <w:r>
        <w:t xml:space="preserve"> and Baily p 94</w:t>
      </w:r>
    </w:p>
  </w:footnote>
  <w:footnote w:id="6">
    <w:p w14:paraId="3298A23B" w14:textId="77777777" w:rsidR="00696499" w:rsidRDefault="00696499" w:rsidP="00696499">
      <w:pPr>
        <w:pStyle w:val="FootnoteText"/>
      </w:pPr>
      <w:r>
        <w:rPr>
          <w:rStyle w:val="FootnoteReference"/>
        </w:rPr>
        <w:footnoteRef/>
      </w:r>
      <w:r>
        <w:t xml:space="preserve"> Bell and Waters p. 127</w:t>
      </w:r>
    </w:p>
  </w:footnote>
  <w:footnote w:id="7">
    <w:p w14:paraId="24948B46" w14:textId="77777777" w:rsidR="00696499" w:rsidRDefault="00696499" w:rsidP="00696499">
      <w:pPr>
        <w:pStyle w:val="FootnoteText"/>
      </w:pPr>
      <w:r>
        <w:rPr>
          <w:rStyle w:val="FootnoteReference"/>
        </w:rPr>
        <w:footnoteRef/>
      </w:r>
      <w:r>
        <w:t xml:space="preserve"> HHB p98</w:t>
      </w:r>
    </w:p>
  </w:footnote>
  <w:footnote w:id="8">
    <w:p w14:paraId="71AFCE19" w14:textId="77777777" w:rsidR="00696499" w:rsidRDefault="00696499" w:rsidP="00696499">
      <w:pPr>
        <w:pStyle w:val="FootnoteText"/>
      </w:pPr>
      <w:r>
        <w:rPr>
          <w:rStyle w:val="FootnoteReference"/>
        </w:rPr>
        <w:footnoteRef/>
      </w:r>
      <w:r>
        <w:t xml:space="preserve"> HHB p94</w:t>
      </w:r>
    </w:p>
  </w:footnote>
  <w:footnote w:id="9">
    <w:p w14:paraId="008294D7" w14:textId="77777777" w:rsidR="00696499" w:rsidRDefault="00696499" w:rsidP="00696499">
      <w:pPr>
        <w:pStyle w:val="FootnoteText"/>
      </w:pPr>
      <w:r>
        <w:rPr>
          <w:rStyle w:val="FootnoteReference"/>
        </w:rPr>
        <w:footnoteRef/>
      </w:r>
      <w:r>
        <w:t xml:space="preserve"> HHB p 79</w:t>
      </w:r>
    </w:p>
  </w:footnote>
  <w:footnote w:id="10">
    <w:p w14:paraId="2C94A40B" w14:textId="77777777" w:rsidR="00696499" w:rsidRDefault="00696499" w:rsidP="00696499">
      <w:pPr>
        <w:pStyle w:val="FootnoteText"/>
      </w:pPr>
      <w:r>
        <w:rPr>
          <w:rStyle w:val="FootnoteReference"/>
        </w:rPr>
        <w:footnoteRef/>
      </w:r>
      <w:r>
        <w:t xml:space="preserve"> UNCRC</w:t>
      </w:r>
    </w:p>
  </w:footnote>
  <w:footnote w:id="11">
    <w:p w14:paraId="78FCB5BC" w14:textId="77777777" w:rsidR="0007016B" w:rsidRDefault="0007016B" w:rsidP="0007016B">
      <w:pPr>
        <w:pStyle w:val="FootnoteText"/>
      </w:pPr>
      <w:r>
        <w:rPr>
          <w:rStyle w:val="FootnoteReference"/>
        </w:rPr>
        <w:footnoteRef/>
      </w:r>
      <w:r>
        <w:t xml:space="preserve"> HHB p 78</w:t>
      </w:r>
    </w:p>
  </w:footnote>
  <w:footnote w:id="12">
    <w:p w14:paraId="5A5EE037" w14:textId="77777777" w:rsidR="006C3E11" w:rsidRDefault="006C3E11" w:rsidP="006C3E11">
      <w:pPr>
        <w:pStyle w:val="FootnoteText"/>
      </w:pPr>
      <w:r>
        <w:rPr>
          <w:rStyle w:val="FootnoteReference"/>
        </w:rPr>
        <w:footnoteRef/>
      </w:r>
      <w:r>
        <w:t xml:space="preserve"> Brink p. 83</w:t>
      </w:r>
    </w:p>
  </w:footnote>
  <w:footnote w:id="13">
    <w:p w14:paraId="04CC7A25" w14:textId="77777777" w:rsidR="006C3E11" w:rsidRPr="000A093C" w:rsidRDefault="006C3E11" w:rsidP="006C3E11">
      <w:pPr>
        <w:pStyle w:val="FootnoteText"/>
        <w:rPr>
          <w:lang w:val="en-US"/>
        </w:rPr>
      </w:pPr>
      <w:r>
        <w:rPr>
          <w:rStyle w:val="FootnoteReference"/>
        </w:rPr>
        <w:footnoteRef/>
      </w:r>
      <w:r>
        <w:t xml:space="preserve">   Bell, &amp; Waters, S.</w:t>
      </w:r>
      <w:proofErr w:type="gramStart"/>
      <w:r>
        <w:t xml:space="preserve">,  </w:t>
      </w:r>
      <w:r w:rsidRPr="00ED20E8">
        <w:rPr>
          <w:i/>
          <w:iCs/>
        </w:rPr>
        <w:t>Doing</w:t>
      </w:r>
      <w:proofErr w:type="gramEnd"/>
      <w:r w:rsidRPr="00ED20E8">
        <w:rPr>
          <w:i/>
          <w:iCs/>
        </w:rPr>
        <w:t xml:space="preserve"> your research project : a guide for first-time researchers (Seventh edition.).</w:t>
      </w:r>
      <w:r>
        <w:t xml:space="preserve"> (McGraw-Hill Education. 2018), p. 31</w:t>
      </w:r>
    </w:p>
  </w:footnote>
  <w:footnote w:id="14">
    <w:p w14:paraId="3376A0F4" w14:textId="77777777" w:rsidR="006C3E11" w:rsidRDefault="006C3E11" w:rsidP="006C3E11">
      <w:pPr>
        <w:pStyle w:val="FootnoteText"/>
      </w:pPr>
      <w:r>
        <w:rPr>
          <w:rStyle w:val="FootnoteReference"/>
        </w:rPr>
        <w:footnoteRef/>
      </w:r>
      <w:r>
        <w:t xml:space="preserve"> Geertz interview p12</w:t>
      </w:r>
    </w:p>
  </w:footnote>
  <w:footnote w:id="15">
    <w:p w14:paraId="69097D5D" w14:textId="77777777" w:rsidR="006C3E11" w:rsidRPr="00983C33" w:rsidRDefault="006C3E11" w:rsidP="006C3E11">
      <w:pPr>
        <w:pStyle w:val="FootnoteText"/>
        <w:rPr>
          <w:lang w:val="en-US"/>
        </w:rPr>
      </w:pPr>
      <w:r>
        <w:rPr>
          <w:rStyle w:val="FootnoteReference"/>
        </w:rPr>
        <w:footnoteRef/>
      </w:r>
      <w:r>
        <w:t xml:space="preserve"> </w:t>
      </w:r>
      <w:proofErr w:type="spellStart"/>
      <w:r>
        <w:rPr>
          <w:lang w:val="en-US"/>
        </w:rPr>
        <w:t>Hennink</w:t>
      </w:r>
      <w:proofErr w:type="spellEnd"/>
      <w:r>
        <w:rPr>
          <w:lang w:val="en-US"/>
        </w:rPr>
        <w:t xml:space="preserve">, </w:t>
      </w:r>
      <w:proofErr w:type="spellStart"/>
      <w:r>
        <w:rPr>
          <w:lang w:val="en-US"/>
        </w:rPr>
        <w:t>Hutter</w:t>
      </w:r>
      <w:proofErr w:type="spellEnd"/>
      <w:r>
        <w:rPr>
          <w:lang w:val="en-US"/>
        </w:rPr>
        <w:t xml:space="preserve"> and Bailey, </w:t>
      </w:r>
      <w:r>
        <w:rPr>
          <w:i/>
          <w:iCs/>
          <w:lang w:val="en-US"/>
        </w:rPr>
        <w:t xml:space="preserve">Qualitative Research Methods </w:t>
      </w:r>
      <w:r>
        <w:rPr>
          <w:lang w:val="en-US"/>
        </w:rPr>
        <w:t>(Sage Publications London, 2020), p. 41</w:t>
      </w:r>
    </w:p>
  </w:footnote>
  <w:footnote w:id="16">
    <w:p w14:paraId="79B2C4EC" w14:textId="77777777" w:rsidR="001C6FA0" w:rsidRDefault="001C6FA0" w:rsidP="001C6FA0">
      <w:pPr>
        <w:pStyle w:val="FootnoteText"/>
      </w:pPr>
      <w:r>
        <w:rPr>
          <w:rStyle w:val="FootnoteReference"/>
        </w:rPr>
        <w:footnoteRef/>
      </w:r>
      <w:r>
        <w:t xml:space="preserve"> HHB p126</w:t>
      </w:r>
    </w:p>
  </w:footnote>
  <w:footnote w:id="17">
    <w:p w14:paraId="5A3993E2" w14:textId="77777777" w:rsidR="001C6FA0" w:rsidRDefault="001C6FA0" w:rsidP="001C6FA0">
      <w:pPr>
        <w:pStyle w:val="FootnoteText"/>
      </w:pPr>
      <w:r>
        <w:rPr>
          <w:rStyle w:val="FootnoteReference"/>
        </w:rPr>
        <w:footnoteRef/>
      </w:r>
      <w:r>
        <w:t xml:space="preserve"> </w:t>
      </w:r>
      <w:proofErr w:type="spellStart"/>
      <w:r>
        <w:t>Hhb</w:t>
      </w:r>
      <w:proofErr w:type="spellEnd"/>
      <w:r>
        <w:t xml:space="preserve"> p 19</w:t>
      </w:r>
    </w:p>
  </w:footnote>
  <w:footnote w:id="18">
    <w:p w14:paraId="6DEB3292" w14:textId="77777777" w:rsidR="001C6FA0" w:rsidRDefault="001C6FA0" w:rsidP="001C6FA0">
      <w:pPr>
        <w:pStyle w:val="FootnoteText"/>
      </w:pPr>
      <w:r>
        <w:rPr>
          <w:rStyle w:val="FootnoteReference"/>
        </w:rPr>
        <w:footnoteRef/>
      </w:r>
      <w:r>
        <w:t xml:space="preserve"> Brink p 85</w:t>
      </w:r>
    </w:p>
  </w:footnote>
  <w:footnote w:id="19">
    <w:p w14:paraId="72FFF356" w14:textId="77777777" w:rsidR="001C6FA0" w:rsidRDefault="001C6FA0" w:rsidP="001C6FA0">
      <w:pPr>
        <w:pStyle w:val="FootnoteText"/>
      </w:pPr>
      <w:r>
        <w:rPr>
          <w:rStyle w:val="FootnoteReference"/>
        </w:rPr>
        <w:footnoteRef/>
      </w:r>
      <w:r>
        <w:t xml:space="preserve"> Brink p. 84</w:t>
      </w:r>
    </w:p>
  </w:footnote>
  <w:footnote w:id="20">
    <w:p w14:paraId="11FC072B" w14:textId="77777777" w:rsidR="009E6E6D" w:rsidRDefault="009E6E6D" w:rsidP="009E6E6D">
      <w:pPr>
        <w:pStyle w:val="FootnoteText"/>
      </w:pPr>
      <w:r>
        <w:rPr>
          <w:rStyle w:val="FootnoteReference"/>
        </w:rPr>
        <w:footnoteRef/>
      </w:r>
      <w:r>
        <w:t xml:space="preserve"> HHB p 33</w:t>
      </w:r>
    </w:p>
  </w:footnote>
  <w:footnote w:id="21">
    <w:p w14:paraId="0CABA6BC" w14:textId="77777777" w:rsidR="009E6E6D" w:rsidRDefault="009E6E6D" w:rsidP="009E6E6D">
      <w:pPr>
        <w:pStyle w:val="FootnoteText"/>
      </w:pPr>
      <w:r>
        <w:rPr>
          <w:rStyle w:val="FootnoteReference"/>
        </w:rPr>
        <w:footnoteRef/>
      </w:r>
      <w:r>
        <w:t xml:space="preserve"> Brink p 82</w:t>
      </w:r>
    </w:p>
  </w:footnote>
  <w:footnote w:id="22">
    <w:p w14:paraId="703C5F50" w14:textId="77777777" w:rsidR="000307BB" w:rsidRDefault="000307BB" w:rsidP="000307BB">
      <w:pPr>
        <w:pStyle w:val="FootnoteText"/>
      </w:pPr>
      <w:r>
        <w:rPr>
          <w:rStyle w:val="FootnoteReference"/>
        </w:rPr>
        <w:footnoteRef/>
      </w:r>
      <w:r>
        <w:t xml:space="preserve"> WW p188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52216A"/>
    <w:multiLevelType w:val="hybridMultilevel"/>
    <w:tmpl w:val="1534D084"/>
    <w:lvl w:ilvl="0" w:tplc="DCF2EF06">
      <w:start w:val="1"/>
      <w:numFmt w:val="bullet"/>
      <w:lvlText w:val=""/>
      <w:lvlJc w:val="left"/>
      <w:pPr>
        <w:tabs>
          <w:tab w:val="num" w:pos="720"/>
        </w:tabs>
        <w:ind w:left="720" w:hanging="360"/>
      </w:pPr>
      <w:rPr>
        <w:rFonts w:ascii="Wingdings 3" w:hAnsi="Wingdings 3" w:hint="default"/>
      </w:rPr>
    </w:lvl>
    <w:lvl w:ilvl="1" w:tplc="5366D2BA" w:tentative="1">
      <w:start w:val="1"/>
      <w:numFmt w:val="bullet"/>
      <w:lvlText w:val=""/>
      <w:lvlJc w:val="left"/>
      <w:pPr>
        <w:tabs>
          <w:tab w:val="num" w:pos="1440"/>
        </w:tabs>
        <w:ind w:left="1440" w:hanging="360"/>
      </w:pPr>
      <w:rPr>
        <w:rFonts w:ascii="Wingdings 3" w:hAnsi="Wingdings 3" w:hint="default"/>
      </w:rPr>
    </w:lvl>
    <w:lvl w:ilvl="2" w:tplc="D13ECDE0" w:tentative="1">
      <w:start w:val="1"/>
      <w:numFmt w:val="bullet"/>
      <w:lvlText w:val=""/>
      <w:lvlJc w:val="left"/>
      <w:pPr>
        <w:tabs>
          <w:tab w:val="num" w:pos="2160"/>
        </w:tabs>
        <w:ind w:left="2160" w:hanging="360"/>
      </w:pPr>
      <w:rPr>
        <w:rFonts w:ascii="Wingdings 3" w:hAnsi="Wingdings 3" w:hint="default"/>
      </w:rPr>
    </w:lvl>
    <w:lvl w:ilvl="3" w:tplc="A29235B6" w:tentative="1">
      <w:start w:val="1"/>
      <w:numFmt w:val="bullet"/>
      <w:lvlText w:val=""/>
      <w:lvlJc w:val="left"/>
      <w:pPr>
        <w:tabs>
          <w:tab w:val="num" w:pos="2880"/>
        </w:tabs>
        <w:ind w:left="2880" w:hanging="360"/>
      </w:pPr>
      <w:rPr>
        <w:rFonts w:ascii="Wingdings 3" w:hAnsi="Wingdings 3" w:hint="default"/>
      </w:rPr>
    </w:lvl>
    <w:lvl w:ilvl="4" w:tplc="FE467364" w:tentative="1">
      <w:start w:val="1"/>
      <w:numFmt w:val="bullet"/>
      <w:lvlText w:val=""/>
      <w:lvlJc w:val="left"/>
      <w:pPr>
        <w:tabs>
          <w:tab w:val="num" w:pos="3600"/>
        </w:tabs>
        <w:ind w:left="3600" w:hanging="360"/>
      </w:pPr>
      <w:rPr>
        <w:rFonts w:ascii="Wingdings 3" w:hAnsi="Wingdings 3" w:hint="default"/>
      </w:rPr>
    </w:lvl>
    <w:lvl w:ilvl="5" w:tplc="2A08E04E" w:tentative="1">
      <w:start w:val="1"/>
      <w:numFmt w:val="bullet"/>
      <w:lvlText w:val=""/>
      <w:lvlJc w:val="left"/>
      <w:pPr>
        <w:tabs>
          <w:tab w:val="num" w:pos="4320"/>
        </w:tabs>
        <w:ind w:left="4320" w:hanging="360"/>
      </w:pPr>
      <w:rPr>
        <w:rFonts w:ascii="Wingdings 3" w:hAnsi="Wingdings 3" w:hint="default"/>
      </w:rPr>
    </w:lvl>
    <w:lvl w:ilvl="6" w:tplc="CC7412D6" w:tentative="1">
      <w:start w:val="1"/>
      <w:numFmt w:val="bullet"/>
      <w:lvlText w:val=""/>
      <w:lvlJc w:val="left"/>
      <w:pPr>
        <w:tabs>
          <w:tab w:val="num" w:pos="5040"/>
        </w:tabs>
        <w:ind w:left="5040" w:hanging="360"/>
      </w:pPr>
      <w:rPr>
        <w:rFonts w:ascii="Wingdings 3" w:hAnsi="Wingdings 3" w:hint="default"/>
      </w:rPr>
    </w:lvl>
    <w:lvl w:ilvl="7" w:tplc="E5E6698A" w:tentative="1">
      <w:start w:val="1"/>
      <w:numFmt w:val="bullet"/>
      <w:lvlText w:val=""/>
      <w:lvlJc w:val="left"/>
      <w:pPr>
        <w:tabs>
          <w:tab w:val="num" w:pos="5760"/>
        </w:tabs>
        <w:ind w:left="5760" w:hanging="360"/>
      </w:pPr>
      <w:rPr>
        <w:rFonts w:ascii="Wingdings 3" w:hAnsi="Wingdings 3" w:hint="default"/>
      </w:rPr>
    </w:lvl>
    <w:lvl w:ilvl="8" w:tplc="2E56F67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74454862"/>
    <w:multiLevelType w:val="hybridMultilevel"/>
    <w:tmpl w:val="36388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CE4"/>
    <w:rsid w:val="0000165A"/>
    <w:rsid w:val="000207FD"/>
    <w:rsid w:val="000307BB"/>
    <w:rsid w:val="0007016B"/>
    <w:rsid w:val="00084B3D"/>
    <w:rsid w:val="000D5367"/>
    <w:rsid w:val="000E4CE3"/>
    <w:rsid w:val="000F09AC"/>
    <w:rsid w:val="0013416B"/>
    <w:rsid w:val="00171CE4"/>
    <w:rsid w:val="00177888"/>
    <w:rsid w:val="00180A1D"/>
    <w:rsid w:val="001C2906"/>
    <w:rsid w:val="001C6FA0"/>
    <w:rsid w:val="001E2B14"/>
    <w:rsid w:val="00231E05"/>
    <w:rsid w:val="00245C73"/>
    <w:rsid w:val="002826F5"/>
    <w:rsid w:val="002B2E27"/>
    <w:rsid w:val="00305F45"/>
    <w:rsid w:val="00365DDA"/>
    <w:rsid w:val="00367866"/>
    <w:rsid w:val="00390CB1"/>
    <w:rsid w:val="003B12A1"/>
    <w:rsid w:val="003D605D"/>
    <w:rsid w:val="003D7F4A"/>
    <w:rsid w:val="00463F60"/>
    <w:rsid w:val="004C2884"/>
    <w:rsid w:val="005245C6"/>
    <w:rsid w:val="00562D31"/>
    <w:rsid w:val="00586807"/>
    <w:rsid w:val="00591605"/>
    <w:rsid w:val="0059371F"/>
    <w:rsid w:val="005F3763"/>
    <w:rsid w:val="00657FA3"/>
    <w:rsid w:val="00670F10"/>
    <w:rsid w:val="00696499"/>
    <w:rsid w:val="006C3E11"/>
    <w:rsid w:val="006D0E1A"/>
    <w:rsid w:val="006D5623"/>
    <w:rsid w:val="00752124"/>
    <w:rsid w:val="00780020"/>
    <w:rsid w:val="00813A3E"/>
    <w:rsid w:val="008440AF"/>
    <w:rsid w:val="00856F6E"/>
    <w:rsid w:val="008609CF"/>
    <w:rsid w:val="008764DE"/>
    <w:rsid w:val="00892236"/>
    <w:rsid w:val="008C020E"/>
    <w:rsid w:val="0090555B"/>
    <w:rsid w:val="00942210"/>
    <w:rsid w:val="00946446"/>
    <w:rsid w:val="00950A90"/>
    <w:rsid w:val="00953604"/>
    <w:rsid w:val="0098121D"/>
    <w:rsid w:val="009D013D"/>
    <w:rsid w:val="009E6E6D"/>
    <w:rsid w:val="00A014B9"/>
    <w:rsid w:val="00A126E5"/>
    <w:rsid w:val="00A62D37"/>
    <w:rsid w:val="00AA5FFD"/>
    <w:rsid w:val="00AE120F"/>
    <w:rsid w:val="00AE437D"/>
    <w:rsid w:val="00B635F9"/>
    <w:rsid w:val="00B75708"/>
    <w:rsid w:val="00B92CB4"/>
    <w:rsid w:val="00BA4B08"/>
    <w:rsid w:val="00BF2C9D"/>
    <w:rsid w:val="00C77559"/>
    <w:rsid w:val="00C8513D"/>
    <w:rsid w:val="00C866D4"/>
    <w:rsid w:val="00C87CBC"/>
    <w:rsid w:val="00C9586A"/>
    <w:rsid w:val="00CF3B89"/>
    <w:rsid w:val="00D152C9"/>
    <w:rsid w:val="00D17D70"/>
    <w:rsid w:val="00D17ECF"/>
    <w:rsid w:val="00D878F3"/>
    <w:rsid w:val="00DF77F8"/>
    <w:rsid w:val="00E704B5"/>
    <w:rsid w:val="00EB33F0"/>
    <w:rsid w:val="00F5049D"/>
    <w:rsid w:val="00F830BE"/>
    <w:rsid w:val="00FF5537"/>
    <w:rsid w:val="00FF5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4B25A"/>
  <w15:chartTrackingRefBased/>
  <w15:docId w15:val="{206AEFFA-BFAC-4886-B76B-CB4794990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CE4"/>
  </w:style>
  <w:style w:type="paragraph" w:styleId="Heading1">
    <w:name w:val="heading 1"/>
    <w:basedOn w:val="Normal"/>
    <w:next w:val="Normal"/>
    <w:link w:val="Heading1Char"/>
    <w:uiPriority w:val="9"/>
    <w:qFormat/>
    <w:rsid w:val="00B757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57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64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7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5708"/>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6D56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5623"/>
    <w:rPr>
      <w:sz w:val="20"/>
      <w:szCs w:val="20"/>
    </w:rPr>
  </w:style>
  <w:style w:type="character" w:styleId="FootnoteReference">
    <w:name w:val="footnote reference"/>
    <w:basedOn w:val="DefaultParagraphFont"/>
    <w:uiPriority w:val="99"/>
    <w:semiHidden/>
    <w:unhideWhenUsed/>
    <w:rsid w:val="006D5623"/>
    <w:rPr>
      <w:vertAlign w:val="superscript"/>
    </w:rPr>
  </w:style>
  <w:style w:type="paragraph" w:styleId="Subtitle">
    <w:name w:val="Subtitle"/>
    <w:basedOn w:val="Normal"/>
    <w:next w:val="Normal"/>
    <w:link w:val="SubtitleChar"/>
    <w:uiPriority w:val="11"/>
    <w:qFormat/>
    <w:rsid w:val="00F830B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830BE"/>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69649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96499"/>
    <w:pPr>
      <w:ind w:left="720"/>
      <w:contextualSpacing/>
    </w:pPr>
  </w:style>
  <w:style w:type="paragraph" w:styleId="Title">
    <w:name w:val="Title"/>
    <w:basedOn w:val="Normal"/>
    <w:next w:val="Normal"/>
    <w:link w:val="TitleChar"/>
    <w:uiPriority w:val="10"/>
    <w:qFormat/>
    <w:rsid w:val="000307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7B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A4B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B08"/>
  </w:style>
  <w:style w:type="paragraph" w:styleId="Footer">
    <w:name w:val="footer"/>
    <w:basedOn w:val="Normal"/>
    <w:link w:val="FooterChar"/>
    <w:uiPriority w:val="99"/>
    <w:unhideWhenUsed/>
    <w:rsid w:val="00BA4B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211497">
      <w:bodyDiv w:val="1"/>
      <w:marLeft w:val="0"/>
      <w:marRight w:val="0"/>
      <w:marTop w:val="0"/>
      <w:marBottom w:val="0"/>
      <w:divBdr>
        <w:top w:val="none" w:sz="0" w:space="0" w:color="auto"/>
        <w:left w:val="none" w:sz="0" w:space="0" w:color="auto"/>
        <w:bottom w:val="none" w:sz="0" w:space="0" w:color="auto"/>
        <w:right w:val="none" w:sz="0" w:space="0" w:color="auto"/>
      </w:divBdr>
      <w:divsChild>
        <w:div w:id="1116409471">
          <w:marLeft w:val="547"/>
          <w:marRight w:val="0"/>
          <w:marTop w:val="200"/>
          <w:marBottom w:val="0"/>
          <w:divBdr>
            <w:top w:val="none" w:sz="0" w:space="0" w:color="auto"/>
            <w:left w:val="none" w:sz="0" w:space="0" w:color="auto"/>
            <w:bottom w:val="none" w:sz="0" w:space="0" w:color="auto"/>
            <w:right w:val="none" w:sz="0" w:space="0" w:color="auto"/>
          </w:divBdr>
        </w:div>
        <w:div w:id="1735349627">
          <w:marLeft w:val="547"/>
          <w:marRight w:val="0"/>
          <w:marTop w:val="200"/>
          <w:marBottom w:val="0"/>
          <w:divBdr>
            <w:top w:val="none" w:sz="0" w:space="0" w:color="auto"/>
            <w:left w:val="none" w:sz="0" w:space="0" w:color="auto"/>
            <w:bottom w:val="none" w:sz="0" w:space="0" w:color="auto"/>
            <w:right w:val="none" w:sz="0" w:space="0" w:color="auto"/>
          </w:divBdr>
        </w:div>
        <w:div w:id="1993399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128337F519445C9A71D940DE1CFE36B"/>
        <w:category>
          <w:name w:val="General"/>
          <w:gallery w:val="placeholder"/>
        </w:category>
        <w:types>
          <w:type w:val="bbPlcHdr"/>
        </w:types>
        <w:behaviors>
          <w:behavior w:val="content"/>
        </w:behaviors>
        <w:guid w:val="{84F16500-0A1D-4871-96D2-D9CBD88A8615}"/>
      </w:docPartPr>
      <w:docPartBody>
        <w:p w:rsidR="00000000" w:rsidRDefault="00BC7E27" w:rsidP="00BC7E27">
          <w:pPr>
            <w:pStyle w:val="B128337F519445C9A71D940DE1CFE36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E27"/>
    <w:rsid w:val="00BC7E27"/>
    <w:rsid w:val="00F42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A9A33F5F624F12955F59007CB35574">
    <w:name w:val="22A9A33F5F624F12955F59007CB35574"/>
    <w:rsid w:val="00BC7E27"/>
  </w:style>
  <w:style w:type="paragraph" w:customStyle="1" w:styleId="B128337F519445C9A71D940DE1CFE36B">
    <w:name w:val="B128337F519445C9A71D940DE1CFE36B"/>
    <w:rsid w:val="00BC7E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8F60E-8F52-4E20-85BA-B17D104B5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2838</Words>
  <Characters>16180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Julie Allen (2008524)</dc:creator>
  <cp:keywords/>
  <dc:description/>
  <cp:lastModifiedBy>Christine Julie Allen (2008524)</cp:lastModifiedBy>
  <cp:revision>4</cp:revision>
  <dcterms:created xsi:type="dcterms:W3CDTF">2022-03-19T13:35:00Z</dcterms:created>
  <dcterms:modified xsi:type="dcterms:W3CDTF">2022-03-19T13:37:00Z</dcterms:modified>
</cp:coreProperties>
</file>