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608742" w14:textId="77777777" w:rsidR="004009C9" w:rsidRDefault="00000000">
      <w:pPr>
        <w:spacing w:after="67" w:line="259" w:lineRule="auto"/>
        <w:ind w:left="60" w:right="0" w:firstLine="0"/>
        <w:jc w:val="center"/>
      </w:pPr>
      <w:r>
        <w:rPr>
          <w:noProof/>
        </w:rPr>
        <w:drawing>
          <wp:inline distT="0" distB="0" distL="0" distR="0" wp14:anchorId="04CF5837" wp14:editId="266B2651">
            <wp:extent cx="2486025" cy="701040"/>
            <wp:effectExtent l="0" t="0" r="9525" b="3810"/>
            <wp:docPr id="25" name="Picture 25"/>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6"/>
                    <a:stretch>
                      <a:fillRect/>
                    </a:stretch>
                  </pic:blipFill>
                  <pic:spPr>
                    <a:xfrm>
                      <a:off x="0" y="0"/>
                      <a:ext cx="2486025" cy="701040"/>
                    </a:xfrm>
                    <a:prstGeom prst="rect">
                      <a:avLst/>
                    </a:prstGeom>
                  </pic:spPr>
                </pic:pic>
              </a:graphicData>
            </a:graphic>
          </wp:inline>
        </w:drawing>
      </w:r>
      <w:r>
        <w:t xml:space="preserve"> </w:t>
      </w:r>
    </w:p>
    <w:p w14:paraId="3C31B988" w14:textId="77777777" w:rsidR="004009C9" w:rsidRDefault="00000000">
      <w:pPr>
        <w:spacing w:after="187" w:line="259" w:lineRule="auto"/>
        <w:ind w:left="62" w:right="0" w:firstLine="0"/>
        <w:jc w:val="center"/>
      </w:pPr>
      <w:r>
        <w:t xml:space="preserve"> </w:t>
      </w:r>
    </w:p>
    <w:p w14:paraId="5AA765FB" w14:textId="77777777" w:rsidR="004009C9" w:rsidRDefault="00000000">
      <w:pPr>
        <w:spacing w:after="2"/>
        <w:ind w:left="4517" w:right="4433" w:firstLine="0"/>
        <w:jc w:val="center"/>
      </w:pPr>
      <w:r>
        <w:rPr>
          <w:b/>
          <w:sz w:val="32"/>
        </w:rPr>
        <w:t xml:space="preserve">   </w:t>
      </w:r>
    </w:p>
    <w:p w14:paraId="63002446" w14:textId="77777777" w:rsidR="004009C9" w:rsidRDefault="00000000">
      <w:pPr>
        <w:spacing w:after="153" w:line="259" w:lineRule="auto"/>
        <w:ind w:right="11"/>
        <w:jc w:val="center"/>
      </w:pPr>
      <w:r>
        <w:rPr>
          <w:b/>
          <w:sz w:val="32"/>
        </w:rPr>
        <w:t xml:space="preserve">Module Code: BMIH5006 </w:t>
      </w:r>
    </w:p>
    <w:p w14:paraId="7EB08A67" w14:textId="77777777" w:rsidR="00491ACB" w:rsidRDefault="00000000">
      <w:pPr>
        <w:spacing w:after="67" w:line="360" w:lineRule="auto"/>
        <w:ind w:left="2782" w:right="379" w:hanging="2421"/>
        <w:rPr>
          <w:b/>
          <w:sz w:val="32"/>
        </w:rPr>
      </w:pPr>
      <w:r>
        <w:rPr>
          <w:b/>
          <w:sz w:val="32"/>
        </w:rPr>
        <w:t>Module Title: Sustainability for the Hospitality Industry Lecturer: Daniel Payne</w:t>
      </w:r>
    </w:p>
    <w:p w14:paraId="177C8652" w14:textId="1F440C0B" w:rsidR="004009C9" w:rsidRDefault="00000000" w:rsidP="00491ACB">
      <w:pPr>
        <w:spacing w:after="67" w:line="360" w:lineRule="auto"/>
        <w:ind w:left="2782" w:right="379" w:hanging="2421"/>
        <w:jc w:val="center"/>
      </w:pPr>
      <w:r>
        <w:rPr>
          <w:b/>
          <w:sz w:val="32"/>
        </w:rPr>
        <w:t>Student name:</w:t>
      </w:r>
      <w:r w:rsidR="00491ACB">
        <w:rPr>
          <w:b/>
          <w:sz w:val="32"/>
        </w:rPr>
        <w:t xml:space="preserve"> Gabriela Iuliana Giurgiu</w:t>
      </w:r>
    </w:p>
    <w:p w14:paraId="047D0995" w14:textId="148ADE8B" w:rsidR="004009C9" w:rsidRDefault="00000000">
      <w:pPr>
        <w:spacing w:after="7814" w:line="259" w:lineRule="auto"/>
        <w:ind w:left="0" w:right="0" w:firstLine="0"/>
        <w:jc w:val="left"/>
        <w:rPr>
          <w:b/>
          <w:sz w:val="28"/>
        </w:rPr>
      </w:pPr>
      <w:r>
        <w:rPr>
          <w:b/>
          <w:sz w:val="28"/>
        </w:rPr>
        <w:tab/>
        <w:t xml:space="preserve"> </w:t>
      </w:r>
    </w:p>
    <w:p w14:paraId="457A03EA" w14:textId="77777777" w:rsidR="00D55684" w:rsidRDefault="00D55684">
      <w:pPr>
        <w:spacing w:after="7814" w:line="259" w:lineRule="auto"/>
        <w:ind w:left="0" w:right="0" w:firstLine="0"/>
        <w:jc w:val="left"/>
      </w:pPr>
    </w:p>
    <w:p w14:paraId="4BE55525" w14:textId="77777777" w:rsidR="004009C9" w:rsidRDefault="00000000">
      <w:pPr>
        <w:spacing w:after="0" w:line="259" w:lineRule="auto"/>
        <w:ind w:left="0" w:right="0" w:firstLine="0"/>
        <w:jc w:val="left"/>
      </w:pPr>
      <w:r>
        <w:lastRenderedPageBreak/>
        <w:t xml:space="preserve"> </w:t>
      </w:r>
    </w:p>
    <w:p w14:paraId="3800593D" w14:textId="77777777" w:rsidR="004009C9" w:rsidRDefault="00000000">
      <w:pPr>
        <w:pStyle w:val="Heading1"/>
        <w:ind w:left="-5"/>
      </w:pPr>
      <w:r>
        <w:t xml:space="preserve">Introduction  </w:t>
      </w:r>
    </w:p>
    <w:p w14:paraId="006C491D" w14:textId="77777777" w:rsidR="004009C9" w:rsidRDefault="00000000">
      <w:pPr>
        <w:spacing w:after="320"/>
        <w:ind w:left="-5" w:right="-5"/>
      </w:pPr>
      <w:r>
        <w:t xml:space="preserve">Sustainable tourism focuses on balancing economic viability with social and environmental equity, with implications of tourism services and providing recognisable experiences for tourists. The reduction of social and environmental impacts and encouraging financial growth by building a positive brand image and customers' perspective are the primary focus of sustainable tourism (Sloan, Legrand, and Chen, 2017; Sørensen and Grindsted, 2021). The purpose of this essay is to develop clear and concrete concepts on sustainable tourism by evaluating the case study of “Marriott’s Serve 360”. This study encompasses the critical illustration of the effectiveness and contribution of “Marriott’s Serve 360” on business performance, with identification of possible challenges. This study further goes to recommends strategic solutions for the further implication of the sustainable tourism approach of hotels based on identified issues. Sustainability strategy, “Marriott’s serve 360” encourages saving utility bills, enhances community involvement, and builds brand image through enriching UNSDG, requires a proper governance system to balance business motivation with eco-friendly practices.  </w:t>
      </w:r>
    </w:p>
    <w:p w14:paraId="553D89BE" w14:textId="77777777" w:rsidR="004009C9" w:rsidRDefault="00000000">
      <w:pPr>
        <w:pStyle w:val="Heading1"/>
        <w:ind w:left="-5"/>
      </w:pPr>
      <w:r>
        <w:t xml:space="preserve">Analysis </w:t>
      </w:r>
    </w:p>
    <w:p w14:paraId="34DA1E4F" w14:textId="77777777" w:rsidR="004009C9" w:rsidRDefault="00000000">
      <w:pPr>
        <w:pStyle w:val="Heading2"/>
        <w:spacing w:after="371"/>
        <w:ind w:left="-5"/>
      </w:pPr>
      <w:r>
        <w:t xml:space="preserve">Description of sustainable strategies in the hotel industry </w:t>
      </w:r>
    </w:p>
    <w:p w14:paraId="2EC98B4D" w14:textId="77777777" w:rsidR="004009C9" w:rsidRDefault="00000000">
      <w:pPr>
        <w:ind w:left="-5" w:right="-5"/>
      </w:pPr>
      <w:r>
        <w:t xml:space="preserve">Key components of sustainable tourism include enhancing social equity, preventing environmental pollution, and encouraging economic growth to protect people, planet, and profit. Strippoli, Gallucci, and Ingrao (2024); Costa and Costa (2022), mentioned that the sustainability approach of the tourism business is concerned with integrating waste management processes, determining alternative energy sources, and reducing the use of plastics, focusing on green growth. In another way, the sustainability approach helps to influence a green approach and integrate the CSR activities of the hotel industry, focusing on moral values. As per the view of </w:t>
      </w:r>
      <w:proofErr w:type="spellStart"/>
      <w:r>
        <w:t>Kruesi</w:t>
      </w:r>
      <w:proofErr w:type="spellEnd"/>
      <w:r>
        <w:t xml:space="preserve"> and Remy (2024), the development of eco-friendly practices in the hotel helps to create a genuine brand image among potential customers with the implication of CSR practices. The eco-friendly practices in the hotel industry include enhancing energy efficiency by using renewable sources, maintaining biodiversity, waste management, limiting Water usage, reducing chemical usage, and increasing sustainable sourcing. This </w:t>
      </w:r>
      <w:r>
        <w:lastRenderedPageBreak/>
        <w:t>contributes to saving overall utility costs, carbon emission rate with the enhancement of overall business efficiency of the hotel industry. For instance, 200,000 kg of carbon emissions have been reduced by the hotel and tourism industry with the integration of green and renewable energy sources (</w:t>
      </w:r>
      <w:proofErr w:type="spellStart"/>
      <w:r>
        <w:t>Chemmanur</w:t>
      </w:r>
      <w:proofErr w:type="spellEnd"/>
      <w:r>
        <w:t xml:space="preserve"> and Fenech, 2024). In addition, the use of automated energy systems by the hotel industry contributes to saving approximate £0.75 billion in utility costs annually (</w:t>
      </w:r>
      <w:proofErr w:type="spellStart"/>
      <w:r>
        <w:t>Chemmanur</w:t>
      </w:r>
      <w:proofErr w:type="spellEnd"/>
      <w:r>
        <w:t xml:space="preserve"> and Fenech, 2024). This reflects the technology integration to improve the sustainability approach in business management of Marriott, concerning the reduction of utility bills as a financial benefit. The recycling approach and use of eco-friendly products lead to reducing landfill by 263,000 tons with the integration of biofuels across the hotel industry (</w:t>
      </w:r>
      <w:proofErr w:type="spellStart"/>
      <w:r>
        <w:t>Chemmanur</w:t>
      </w:r>
      <w:proofErr w:type="spellEnd"/>
      <w:r>
        <w:t xml:space="preserve"> and Fenech, 2024). This reduction of landfills influences the waste management approach of markets as a significant climate action. The effectiveness of energy saving, reduction of utility costs, and waste management's capability with minimal carbon emission represent the recognisable performance of the hotel industry to ensure a sustainability approach with the enhancement of overall performance. Further, this leads to building a positive reputation for the hotel and tourism industry concerning the implications of a sustainability-focused approach. In this respect, the growth-oriented tourism developments and sustainability approach have a positive relation for ideology, moral judgements of organisation (Sørensen and Grindsted, 2021; Jauhari, 2021). This contributes to building a positive brand image with the implication of services in the tourism and hotel industry based on environmental policies and technology advancements in the management measures of the organisation. </w:t>
      </w:r>
    </w:p>
    <w:p w14:paraId="04F1D135" w14:textId="77777777" w:rsidR="004009C9" w:rsidRDefault="00000000">
      <w:pPr>
        <w:pStyle w:val="Heading2"/>
        <w:spacing w:after="371"/>
        <w:ind w:left="-5"/>
      </w:pPr>
      <w:r>
        <w:t>Critical evaluation of the effectiveness of the sustainability strategy</w:t>
      </w:r>
      <w:r>
        <w:rPr>
          <w:b w:val="0"/>
          <w:i w:val="0"/>
        </w:rPr>
        <w:t xml:space="preserve">  </w:t>
      </w:r>
    </w:p>
    <w:p w14:paraId="4BF395A0" w14:textId="77777777" w:rsidR="004009C9" w:rsidRDefault="00000000">
      <w:pPr>
        <w:ind w:left="-5" w:right="-5"/>
      </w:pPr>
      <w:r>
        <w:t xml:space="preserve">Sustainability strategy in the hotel business helps to build a positive brand reputation and influence customers involved in remarkable service quality and minimal environmental impacts. </w:t>
      </w:r>
      <w:proofErr w:type="spellStart"/>
      <w:r>
        <w:t>Piramanayagam</w:t>
      </w:r>
      <w:proofErr w:type="spellEnd"/>
      <w:r>
        <w:t xml:space="preserve">, Sen, and Seal (2023), stated that in the context of the implication of the sustainability approach, the hotel industry focuses on sustainable consumption and production and works with the integration of sustainable sourcing for minimal environmental issues. </w:t>
      </w:r>
      <w:proofErr w:type="gramStart"/>
      <w:r>
        <w:t>In order to</w:t>
      </w:r>
      <w:proofErr w:type="gramEnd"/>
      <w:r>
        <w:t xml:space="preserve"> reach the sustainability approach, Marriott has introduced the “Marriott’s Serve 360” as an integrated strategy, with effective community engagement (Marriott, 2025a). This initiative helps to reduce the consumption of water resources and the implementation of responsible sourcing </w:t>
      </w:r>
      <w:r>
        <w:lastRenderedPageBreak/>
        <w:t>for providing eco-friendly services. As a result, the 95% responsible sourcing of eco-friendly products and services by Marriott hotels and the 15% reduction of waste resources lead to building a positive image among the community for managing climate-related risks (Marriott, 2025a). Moreover, Marriott has reached the UN sustainability goals, including SDG6, SDG7, SDG8, SDG12, and SDG12 successfully due to integration of responsible sourcing as a sustainability approach (Marriott, 2024; United Nations, 2023). In this respect, the implication of the sustainability approach by responsible sourcing through the reduction of water consumption helps to reach the UN Sustainable Development Goals for Marriott successfully. The enrichment of the UNSDG helps to build a positive brand image concerning reputational implications due to the integration of the sustainability approach in the hotel business. As per the research of Barta e</w:t>
      </w:r>
      <w:r>
        <w:rPr>
          <w:i/>
        </w:rPr>
        <w:t>t al.</w:t>
      </w:r>
      <w:r>
        <w:t xml:space="preserve"> (2023), fulfilling the standard of UNSDG by the implication of a sustainability approach plays a pivotal role in developing positive brand reputation and building trust of customers. This indicates that Marriott has built a positive brand image through enriching the standard of the UNSDG by improving its sustainability approach. For instance, customers have supported the initiative of “Marriott’s Serve 360” for the encouragement of customer involvement by building trust (Marriott International, 2021). This reflects that Marriott has successfully reached customers' support and involvement due to the certification in sustainability practice aligning with UNSDG, with a positive brand image.  </w:t>
      </w:r>
    </w:p>
    <w:p w14:paraId="5ABFFDE1" w14:textId="77777777" w:rsidR="004009C9" w:rsidRDefault="00000000">
      <w:pPr>
        <w:ind w:left="-5" w:right="-5"/>
      </w:pPr>
      <w:r>
        <w:t xml:space="preserve"> In addition, the community involvement and enhancement of brand awareness are effective concerns of using a sustainability approach in the hotel business. According to the perspective of Blanco-Moreno </w:t>
      </w:r>
      <w:r>
        <w:rPr>
          <w:i/>
        </w:rPr>
        <w:t>et al.</w:t>
      </w:r>
      <w:r>
        <w:t xml:space="preserve"> (2025), the implication of a sustainability approach in the hotel industry contributes to ensuring financial growth, with community improvement for building a positive brand reputation. Focusing on those aspects, the hotel industry emphasises investing in human tracking awareness and increasing community involvement to establish a green approach and eco-friendly practices. This leads to integrating the CSR activity of the hotel industry, focusing on financial benefits. Based on this context, the “Marriott’s Serve 360” approach has been able to achieve 96% human tracking awareness with the enhancement of 80% community involvement (Marriott, 2025a; Marriott, 2025b). As a result, Marriott has increased £26.12 million financial strengths with the effective involvement of </w:t>
      </w:r>
      <w:proofErr w:type="spellStart"/>
      <w:r>
        <w:t>wellskilled</w:t>
      </w:r>
      <w:proofErr w:type="spellEnd"/>
      <w:r>
        <w:t xml:space="preserve"> employees and community people (Marriott, 2025a). In this regard, the integration of the sustainability approach in the hotel business includes increasing community </w:t>
      </w:r>
      <w:r>
        <w:lastRenderedPageBreak/>
        <w:t xml:space="preserve">involvement and enhancing financial growth through representing the eco-friendly approach. Nogueira, Gomes, and Lopes (2025) and Wickham, Donnelly, and French (2021), researched that the triple bottom line theory advocates for environmental protection, increasing social equity, and economic growth of business concerning the integration of sustainability. The ‘Marriott serves 360’ helps to fulfil the sustainability approach through ensuring social equity, environmental protection, and economic growth in the hotel business, aligning with the principles of the Triple Bottom Line theory. Apart from that, the effectiveness of the sustainability approach in the hotel industry includes developing a positive brand reputation for the reduction of climate risks, increasing community involvement, and encouraging financial benefits, aligning with social, economic, and environmental aspects.  </w:t>
      </w:r>
    </w:p>
    <w:p w14:paraId="127B8A04" w14:textId="77777777" w:rsidR="004009C9" w:rsidRDefault="00000000">
      <w:pPr>
        <w:pStyle w:val="Heading2"/>
        <w:spacing w:line="361" w:lineRule="auto"/>
        <w:ind w:left="-5"/>
      </w:pPr>
      <w:r>
        <w:t xml:space="preserve">Identification of tension between business motivation and sustainability strategy </w:t>
      </w:r>
    </w:p>
    <w:p w14:paraId="286A76CC" w14:textId="77777777" w:rsidR="004009C9" w:rsidRDefault="00000000">
      <w:pPr>
        <w:ind w:left="-5" w:right="-5"/>
      </w:pPr>
      <w:proofErr w:type="gramStart"/>
      <w:r>
        <w:t>In order to</w:t>
      </w:r>
      <w:proofErr w:type="gramEnd"/>
      <w:r>
        <w:t xml:space="preserve"> integrate a sustainability approach, the hotel business focuses on proper funding for community-related activities concerning the enhancement of overall expenditure. This expenditure impacts the annual profit margins and financial growth of businesses with significant disruption of the cost-saving approach in the hotel industry. As per the understanding of Prakash </w:t>
      </w:r>
      <w:r>
        <w:rPr>
          <w:i/>
        </w:rPr>
        <w:t>et al.,</w:t>
      </w:r>
      <w:r>
        <w:t xml:space="preserve"> (2023), the business motivation concerning a cost-saving approach is affected due to investment in social charity concerning the sustainability approach of the hotel business and encouraging ecofriendly practices. For instance, </w:t>
      </w:r>
      <w:proofErr w:type="gramStart"/>
      <w:r>
        <w:t>in order to</w:t>
      </w:r>
      <w:proofErr w:type="gramEnd"/>
      <w:r>
        <w:t xml:space="preserve"> enhance the sustainability goals, Marriott has contributed nearly approximate £4.5 million GBP to the disaster relief fund, Bonvoy points donations, and the </w:t>
      </w:r>
      <w:proofErr w:type="spellStart"/>
      <w:r>
        <w:t>TakeCare</w:t>
      </w:r>
      <w:proofErr w:type="spellEnd"/>
      <w:r>
        <w:t xml:space="preserve"> Relief Fund, as well as 340,000 meals among communities (Marriott International Inc., 2024). This reflects the increased CSR costs of Marriott due to the implication of a sustainability approach and investment in the local community, as </w:t>
      </w:r>
      <w:proofErr w:type="spellStart"/>
      <w:r>
        <w:t>signiant</w:t>
      </w:r>
      <w:proofErr w:type="spellEnd"/>
      <w:r>
        <w:t xml:space="preserve"> impacts on the financial growth. Moreover, uncertainty on the developments of brand reputation and significant growth of business may occur due to a lack of integration and representation of sustainability-related steps by the hotel business. As per the view of </w:t>
      </w:r>
      <w:proofErr w:type="spellStart"/>
      <w:r>
        <w:t>Wiryawan</w:t>
      </w:r>
      <w:proofErr w:type="spellEnd"/>
      <w:r>
        <w:t xml:space="preserve"> and Arief (2023), the lack of proper implication of sustainability approach impacts brand reputation, customer involvement, and the financial growth of the business. Based on this scenario, Marriott is unable to imply the forward-looking statements among the target people due to the possibility of expected consequences such as financial loss and improper implication of the </w:t>
      </w:r>
      <w:r>
        <w:lastRenderedPageBreak/>
        <w:t xml:space="preserve">sustainability approach (Marriott International Inc, 2024). In this regard, the possibility of inadequate implication of the sustainability approach in business management and a lack of awareness among community people may impact the brand image of Marriott, with the risk of financial loss. This reflects a noticeable tension in balancing sustainable strategy and encourages financial motivation among businesses. Thus, inadequate implication of a sustainability approach and high-level investment in community support may affect the financial growth, cost-saving approach, profit margin and brand reputation, and marketing effectiveness of the hotel industry.  </w:t>
      </w:r>
    </w:p>
    <w:p w14:paraId="175C448E" w14:textId="77777777" w:rsidR="004009C9" w:rsidRDefault="00000000">
      <w:pPr>
        <w:pStyle w:val="Heading2"/>
        <w:spacing w:line="361" w:lineRule="auto"/>
        <w:ind w:left="-5"/>
      </w:pPr>
      <w:r>
        <w:t xml:space="preserve">Recommendation of an integrated solution for balancing the sustainability approach with business motivation </w:t>
      </w:r>
      <w:r>
        <w:rPr>
          <w:b w:val="0"/>
          <w:i w:val="0"/>
        </w:rPr>
        <w:t xml:space="preserve"> </w:t>
      </w:r>
    </w:p>
    <w:p w14:paraId="49BECA43" w14:textId="77777777" w:rsidR="004009C9" w:rsidRDefault="00000000">
      <w:pPr>
        <w:spacing w:after="321"/>
        <w:ind w:left="-5" w:right="-5"/>
      </w:pPr>
      <w:r>
        <w:t xml:space="preserve">ESG is the core strategy for the implication of sustainability approaches in business management. In these aspects, the integration of governance of the hotel business minimises the possibility of error and inadequacy in the eco-friendly and social practices and minimises the possibility of financial loss as well. As per the understanding of Johnstone (2019), the integrated governance system plays a vital role in organising and controlling social activity through building proper structure, rules, and systems concerning the reduction of the probability of inadequacy. Moreover, the implemented governance system increased the involvement of stakeholders in the sustainability approaches to ensure the possibility of success as well. In this regard, the standardisation of the governance system for the sustainability approach may manage the cost-saving approach with the reduction of the possibility of financial fraud and inadequate involvement among target audiences. </w:t>
      </w:r>
      <w:proofErr w:type="gramStart"/>
      <w:r>
        <w:t>In order to</w:t>
      </w:r>
      <w:proofErr w:type="gramEnd"/>
      <w:r>
        <w:t xml:space="preserve"> balance business motivation with the implications of a sustainability approach, Marriott needs to focus on standardising rules and proper systems to manage the funding process. Moreover, the development of an active team to optimise the effectiveness and adequacy of the social funding process, rather than third-party, may contribute to ensuring accuracy in the financial management of Marriott. Moreover, the implication of fundamental aspects on funding strategy may contribute to integrating the CSR activity of Marriott with the minimisation of financial uncertainty and inadequacy. Apart from that, the implication of funding in social support and implementation of CSR activity is possible by Marriott through improving the governance system.  </w:t>
      </w:r>
    </w:p>
    <w:p w14:paraId="37623B8A" w14:textId="77777777" w:rsidR="004009C9" w:rsidRDefault="00000000">
      <w:pPr>
        <w:pStyle w:val="Heading1"/>
        <w:ind w:left="-5"/>
      </w:pPr>
      <w:r>
        <w:lastRenderedPageBreak/>
        <w:t xml:space="preserve">Conclusion  </w:t>
      </w:r>
    </w:p>
    <w:p w14:paraId="4E92F6BF" w14:textId="77777777" w:rsidR="004009C9" w:rsidRDefault="00000000">
      <w:pPr>
        <w:ind w:left="-5" w:right="-5"/>
      </w:pPr>
      <w:r>
        <w:t xml:space="preserve">Throughout this analysis, it is concluded that the sustainability approach of the hotel business focuses on ensuring financial growth and developing a positive brand image through advertising eco-friendly practices. The sustainability approach in the hotel business includes the reduction of environmental impacts, increasing economic growth with social equity, to influencing the growth of the hotel and tourism industry through eco-friendly practices. The sustainability approach of “Marriott’s Serve 360” included the reduction of environmental impacts through sustainable consumption and production, and increasing the involvement of community members. The human tracking awareness of Marriott contributes to increasing community involvement with the development of a positive brand image. The implication of sustainability approach indicates growth of financial capability of Marriott due to adequate involvement of well-skilled staff and adaptation of integrated technology in the implication of sustainability approach. However, the cost-saving approach of Marriott was impacted due to investing in community support. This reflects the significant tension in the established balance between the sustainability approach and business motivation, including brand image and the cost-saving approach of business. The strategic solution includes the implementation of the governance system of Marriott by proper structuring, standardising rules and controls to manage the sustainability approach and funding activities.  </w:t>
      </w:r>
    </w:p>
    <w:p w14:paraId="32AF5936" w14:textId="77777777" w:rsidR="0076094C" w:rsidRDefault="0076094C">
      <w:pPr>
        <w:ind w:left="-5" w:right="-5"/>
      </w:pPr>
    </w:p>
    <w:p w14:paraId="352F64AF" w14:textId="77777777" w:rsidR="0076094C" w:rsidRDefault="0076094C">
      <w:pPr>
        <w:ind w:left="-5" w:right="-5"/>
      </w:pPr>
    </w:p>
    <w:p w14:paraId="20AB795D" w14:textId="77777777" w:rsidR="0076094C" w:rsidRDefault="0076094C">
      <w:pPr>
        <w:ind w:left="-5" w:right="-5"/>
      </w:pPr>
    </w:p>
    <w:p w14:paraId="6ED309AA" w14:textId="77777777" w:rsidR="0076094C" w:rsidRDefault="0076094C">
      <w:pPr>
        <w:ind w:left="-5" w:right="-5"/>
      </w:pPr>
    </w:p>
    <w:p w14:paraId="33035CF3" w14:textId="77777777" w:rsidR="0076094C" w:rsidRDefault="0076094C">
      <w:pPr>
        <w:ind w:left="-5" w:right="-5"/>
      </w:pPr>
    </w:p>
    <w:p w14:paraId="745711D7" w14:textId="77777777" w:rsidR="0076094C" w:rsidRDefault="0076094C">
      <w:pPr>
        <w:ind w:left="-5" w:right="-5"/>
      </w:pPr>
    </w:p>
    <w:p w14:paraId="7710E084" w14:textId="77777777" w:rsidR="004009C9" w:rsidRDefault="00000000">
      <w:pPr>
        <w:spacing w:after="182" w:line="259" w:lineRule="auto"/>
        <w:ind w:left="0" w:right="0" w:firstLine="0"/>
        <w:jc w:val="left"/>
      </w:pPr>
      <w:r>
        <w:t xml:space="preserve"> </w:t>
      </w:r>
    </w:p>
    <w:p w14:paraId="5D820DB4" w14:textId="77777777" w:rsidR="004009C9" w:rsidRDefault="00000000">
      <w:pPr>
        <w:spacing w:after="0" w:line="259" w:lineRule="auto"/>
        <w:ind w:left="721" w:right="0" w:firstLine="0"/>
        <w:jc w:val="left"/>
      </w:pPr>
      <w:r>
        <w:rPr>
          <w:b/>
          <w:sz w:val="28"/>
        </w:rPr>
        <w:t xml:space="preserve"> </w:t>
      </w:r>
      <w:r>
        <w:rPr>
          <w:b/>
          <w:sz w:val="28"/>
        </w:rPr>
        <w:tab/>
        <w:t xml:space="preserve"> </w:t>
      </w:r>
    </w:p>
    <w:p w14:paraId="6154A601" w14:textId="77777777" w:rsidR="004009C9" w:rsidRDefault="00000000">
      <w:pPr>
        <w:pStyle w:val="Heading1"/>
        <w:spacing w:after="182"/>
        <w:ind w:left="-5"/>
      </w:pPr>
      <w:r>
        <w:lastRenderedPageBreak/>
        <w:t xml:space="preserve">References </w:t>
      </w:r>
    </w:p>
    <w:p w14:paraId="0771589F" w14:textId="77777777" w:rsidR="004009C9" w:rsidRDefault="00000000">
      <w:pPr>
        <w:spacing w:after="11" w:line="350" w:lineRule="auto"/>
        <w:ind w:left="-5" w:right="-6"/>
      </w:pPr>
      <w:r>
        <w:rPr>
          <w:color w:val="222222"/>
        </w:rPr>
        <w:t xml:space="preserve">Barta, S., </w:t>
      </w:r>
      <w:proofErr w:type="spellStart"/>
      <w:r>
        <w:rPr>
          <w:color w:val="222222"/>
        </w:rPr>
        <w:t>Belanche</w:t>
      </w:r>
      <w:proofErr w:type="spellEnd"/>
      <w:r>
        <w:rPr>
          <w:color w:val="222222"/>
        </w:rPr>
        <w:t xml:space="preserve">, D., Flavián, M. and </w:t>
      </w:r>
      <w:proofErr w:type="spellStart"/>
      <w:r>
        <w:rPr>
          <w:color w:val="222222"/>
        </w:rPr>
        <w:t>Terré</w:t>
      </w:r>
      <w:proofErr w:type="spellEnd"/>
      <w:r>
        <w:rPr>
          <w:color w:val="222222"/>
        </w:rPr>
        <w:t xml:space="preserve">, M.C. (2023). How implementing the UN sustainable development goals affects customers’ perceptions and loyalty. </w:t>
      </w:r>
    </w:p>
    <w:p w14:paraId="22618097" w14:textId="77777777" w:rsidR="004009C9" w:rsidRDefault="00000000">
      <w:pPr>
        <w:spacing w:after="349" w:line="262" w:lineRule="auto"/>
        <w:ind w:left="-5" w:right="0"/>
        <w:jc w:val="left"/>
      </w:pPr>
      <w:r>
        <w:rPr>
          <w:i/>
          <w:color w:val="222222"/>
        </w:rPr>
        <w:t>Journal of Environmental Management</w:t>
      </w:r>
      <w:r>
        <w:rPr>
          <w:color w:val="222222"/>
        </w:rPr>
        <w:t xml:space="preserve">, 331, p.117325.  </w:t>
      </w:r>
    </w:p>
    <w:p w14:paraId="118ED682" w14:textId="77777777" w:rsidR="004009C9" w:rsidRDefault="00000000">
      <w:pPr>
        <w:spacing w:after="117" w:line="259" w:lineRule="auto"/>
        <w:ind w:left="-5" w:right="-6"/>
      </w:pPr>
      <w:r>
        <w:rPr>
          <w:color w:val="222222"/>
        </w:rPr>
        <w:t>Blanco-Moreno, S., Aydemir-Dev, M., Santos, C.R. and Bayram-</w:t>
      </w:r>
      <w:proofErr w:type="spellStart"/>
      <w:r>
        <w:rPr>
          <w:color w:val="222222"/>
        </w:rPr>
        <w:t>Arlı</w:t>
      </w:r>
      <w:proofErr w:type="spellEnd"/>
      <w:r>
        <w:rPr>
          <w:color w:val="222222"/>
        </w:rPr>
        <w:t xml:space="preserve">, N. (2025). </w:t>
      </w:r>
    </w:p>
    <w:p w14:paraId="2FC7EECD" w14:textId="77777777" w:rsidR="004009C9" w:rsidRDefault="00000000">
      <w:pPr>
        <w:spacing w:after="249" w:line="350" w:lineRule="auto"/>
        <w:ind w:left="-5" w:right="-6"/>
      </w:pPr>
      <w:r>
        <w:rPr>
          <w:color w:val="222222"/>
        </w:rPr>
        <w:t xml:space="preserve">Emerging sustainability themes in the hospitality sector: A bibliometric analysis. </w:t>
      </w:r>
      <w:r>
        <w:rPr>
          <w:i/>
          <w:color w:val="222222"/>
        </w:rPr>
        <w:t>European Research on Management and Business Economics</w:t>
      </w:r>
      <w:r>
        <w:rPr>
          <w:color w:val="222222"/>
        </w:rPr>
        <w:t xml:space="preserve">, 31(1), p.100272.  </w:t>
      </w:r>
    </w:p>
    <w:p w14:paraId="24210372" w14:textId="77777777" w:rsidR="004009C9" w:rsidRDefault="00000000">
      <w:pPr>
        <w:spacing w:after="135" w:line="262" w:lineRule="auto"/>
        <w:ind w:left="-5" w:right="0"/>
        <w:jc w:val="left"/>
      </w:pPr>
      <w:proofErr w:type="spellStart"/>
      <w:r>
        <w:rPr>
          <w:color w:val="222222"/>
        </w:rPr>
        <w:t>Chemmanur</w:t>
      </w:r>
      <w:proofErr w:type="spellEnd"/>
      <w:r>
        <w:rPr>
          <w:color w:val="222222"/>
        </w:rPr>
        <w:t xml:space="preserve">, A. and Fenech, C. (2024). </w:t>
      </w:r>
      <w:r>
        <w:rPr>
          <w:i/>
          <w:color w:val="222222"/>
        </w:rPr>
        <w:t xml:space="preserve">Sustainability in the Hospitality Industry | </w:t>
      </w:r>
    </w:p>
    <w:p w14:paraId="218DDF25" w14:textId="77777777" w:rsidR="004009C9" w:rsidRDefault="00000000">
      <w:pPr>
        <w:tabs>
          <w:tab w:val="center" w:pos="3207"/>
          <w:tab w:val="center" w:pos="6086"/>
          <w:tab w:val="right" w:pos="9039"/>
        </w:tabs>
        <w:spacing w:after="120" w:line="259" w:lineRule="auto"/>
        <w:ind w:left="-15" w:right="-6" w:firstLine="0"/>
        <w:jc w:val="left"/>
      </w:pPr>
      <w:r>
        <w:rPr>
          <w:i/>
          <w:color w:val="222222"/>
        </w:rPr>
        <w:t xml:space="preserve">Deloitte </w:t>
      </w:r>
      <w:r>
        <w:rPr>
          <w:i/>
          <w:color w:val="222222"/>
        </w:rPr>
        <w:tab/>
        <w:t>UK</w:t>
      </w:r>
      <w:r>
        <w:rPr>
          <w:color w:val="222222"/>
        </w:rPr>
        <w:t xml:space="preserve">. </w:t>
      </w:r>
      <w:r>
        <w:rPr>
          <w:color w:val="222222"/>
        </w:rPr>
        <w:tab/>
        <w:t xml:space="preserve">Available </w:t>
      </w:r>
      <w:r>
        <w:rPr>
          <w:color w:val="222222"/>
        </w:rPr>
        <w:tab/>
        <w:t xml:space="preserve">at: </w:t>
      </w:r>
    </w:p>
    <w:p w14:paraId="5AB640CB" w14:textId="77777777" w:rsidR="004009C9" w:rsidRDefault="004009C9">
      <w:pPr>
        <w:spacing w:after="240" w:line="359" w:lineRule="auto"/>
        <w:ind w:left="-5" w:right="0"/>
      </w:pPr>
      <w:hyperlink r:id="rId7">
        <w:r>
          <w:rPr>
            <w:color w:val="1155CC"/>
            <w:u w:val="single" w:color="1155CC"/>
          </w:rPr>
          <w:t>https://www.deloitte.com/uk/en/Industries/consumer/blogs/sustainability</w:t>
        </w:r>
      </w:hyperlink>
      <w:hyperlink r:id="rId8">
        <w:r>
          <w:rPr>
            <w:color w:val="1155CC"/>
            <w:u w:val="single" w:color="1155CC"/>
          </w:rPr>
          <w:t>-</w:t>
        </w:r>
      </w:hyperlink>
      <w:hyperlink r:id="rId9">
        <w:r>
          <w:rPr>
            <w:color w:val="1155CC"/>
            <w:u w:val="single" w:color="1155CC"/>
          </w:rPr>
          <w:t>in</w:t>
        </w:r>
      </w:hyperlink>
      <w:hyperlink r:id="rId10">
        <w:r>
          <w:rPr>
            <w:color w:val="1155CC"/>
            <w:u w:val="single" w:color="1155CC"/>
          </w:rPr>
          <w:t>-</w:t>
        </w:r>
      </w:hyperlink>
      <w:hyperlink r:id="rId11">
        <w:r>
          <w:rPr>
            <w:color w:val="1155CC"/>
            <w:u w:val="single" w:color="1155CC"/>
          </w:rPr>
          <w:t>the</w:t>
        </w:r>
      </w:hyperlink>
      <w:hyperlink r:id="rId12"/>
      <w:hyperlink r:id="rId13">
        <w:r>
          <w:rPr>
            <w:color w:val="1155CC"/>
            <w:u w:val="single" w:color="1155CC"/>
          </w:rPr>
          <w:t>hospitality</w:t>
        </w:r>
      </w:hyperlink>
      <w:hyperlink r:id="rId14">
        <w:r>
          <w:rPr>
            <w:color w:val="1155CC"/>
            <w:u w:val="single" w:color="1155CC"/>
          </w:rPr>
          <w:t>-</w:t>
        </w:r>
      </w:hyperlink>
      <w:hyperlink r:id="rId15">
        <w:r>
          <w:rPr>
            <w:color w:val="1155CC"/>
            <w:u w:val="single" w:color="1155CC"/>
          </w:rPr>
          <w:t>industry.html</w:t>
        </w:r>
      </w:hyperlink>
      <w:hyperlink r:id="rId16">
        <w:r>
          <w:rPr>
            <w:color w:val="222222"/>
          </w:rPr>
          <w:t xml:space="preserve"> </w:t>
        </w:r>
      </w:hyperlink>
      <w:r w:rsidR="00000000">
        <w:rPr>
          <w:color w:val="222222"/>
        </w:rPr>
        <w:t xml:space="preserve">[Accessed: 27 September 2025]. </w:t>
      </w:r>
    </w:p>
    <w:p w14:paraId="1CE087FC" w14:textId="77777777" w:rsidR="004009C9" w:rsidRDefault="00000000">
      <w:pPr>
        <w:spacing w:after="1"/>
        <w:ind w:left="-5" w:right="-5"/>
      </w:pPr>
      <w:r>
        <w:t xml:space="preserve">Costa, and Costa, C. (2022). </w:t>
      </w:r>
      <w:r>
        <w:rPr>
          <w:i/>
        </w:rPr>
        <w:t>Sustainability and competitiveness in the hospitality industry</w:t>
      </w:r>
      <w:r>
        <w:t xml:space="preserve"> (Costa and C. Costa, Eds.). Business Science Reference. </w:t>
      </w:r>
    </w:p>
    <w:p w14:paraId="6CCD9906" w14:textId="77777777" w:rsidR="004009C9" w:rsidRDefault="00000000">
      <w:pPr>
        <w:spacing w:after="0" w:line="350" w:lineRule="auto"/>
        <w:ind w:left="-5" w:right="-6"/>
      </w:pPr>
      <w:r>
        <w:t xml:space="preserve">Jauhari, V (2021). </w:t>
      </w:r>
      <w:r>
        <w:rPr>
          <w:i/>
        </w:rPr>
        <w:t>Managing Sustainability in the Hospitality and Tourism Industry: Paradigms and Directions for the Future</w:t>
      </w:r>
      <w:r>
        <w:t xml:space="preserve">. 9 </w:t>
      </w:r>
      <w:proofErr w:type="spellStart"/>
      <w:r>
        <w:t>th</w:t>
      </w:r>
      <w:proofErr w:type="spellEnd"/>
      <w:r>
        <w:t xml:space="preserve"> </w:t>
      </w:r>
      <w:proofErr w:type="spellStart"/>
      <w:proofErr w:type="gramStart"/>
      <w:r>
        <w:t>edn.Oakville</w:t>
      </w:r>
      <w:proofErr w:type="spellEnd"/>
      <w:proofErr w:type="gramEnd"/>
      <w:r>
        <w:t xml:space="preserve">: Apple Academic Press.  </w:t>
      </w:r>
      <w:r>
        <w:rPr>
          <w:color w:val="222222"/>
        </w:rPr>
        <w:t xml:space="preserve">Johnstone, L., (2019). Theorising and conceptualising the sustainability control system for effective sustainability management. </w:t>
      </w:r>
      <w:r>
        <w:rPr>
          <w:i/>
          <w:color w:val="222222"/>
        </w:rPr>
        <w:t>Journal of Management Control</w:t>
      </w:r>
      <w:r>
        <w:rPr>
          <w:color w:val="222222"/>
        </w:rPr>
        <w:t xml:space="preserve">, </w:t>
      </w:r>
      <w:r>
        <w:rPr>
          <w:i/>
          <w:color w:val="222222"/>
        </w:rPr>
        <w:t>30</w:t>
      </w:r>
      <w:r>
        <w:rPr>
          <w:color w:val="222222"/>
        </w:rPr>
        <w:t xml:space="preserve">(1), pp.25-64. </w:t>
      </w:r>
      <w:r>
        <w:rPr>
          <w:color w:val="222222"/>
          <w:sz w:val="40"/>
        </w:rPr>
        <w:t xml:space="preserve"> </w:t>
      </w:r>
    </w:p>
    <w:p w14:paraId="26746A26" w14:textId="77777777" w:rsidR="004009C9" w:rsidRDefault="00000000">
      <w:pPr>
        <w:spacing w:after="273" w:line="350" w:lineRule="auto"/>
        <w:ind w:left="-5" w:right="-6"/>
      </w:pPr>
      <w:r>
        <w:rPr>
          <w:color w:val="222222"/>
        </w:rPr>
        <w:t xml:space="preserve">Kruesi, M.A. and Remy, D. (2024). Green is the New Black in the Hotel Industry: Optimizing Revenue Through Promoting Sustainability. </w:t>
      </w:r>
      <w:r>
        <w:rPr>
          <w:i/>
          <w:color w:val="222222"/>
        </w:rPr>
        <w:t>Journal of Hospitality &amp; Tourism Cases, 13(3), pp.134-141</w:t>
      </w:r>
      <w:r>
        <w:rPr>
          <w:color w:val="222222"/>
        </w:rPr>
        <w:t xml:space="preserve">. </w:t>
      </w:r>
    </w:p>
    <w:p w14:paraId="5B190E18" w14:textId="77777777" w:rsidR="004009C9" w:rsidRDefault="00000000">
      <w:pPr>
        <w:spacing w:after="249" w:line="350" w:lineRule="auto"/>
        <w:ind w:left="-5" w:right="-6"/>
      </w:pPr>
      <w:r>
        <w:rPr>
          <w:color w:val="222222"/>
        </w:rPr>
        <w:t xml:space="preserve">Marriott </w:t>
      </w:r>
      <w:r>
        <w:rPr>
          <w:color w:val="222222"/>
        </w:rPr>
        <w:tab/>
        <w:t xml:space="preserve">(2024). </w:t>
      </w:r>
      <w:r>
        <w:rPr>
          <w:color w:val="222222"/>
        </w:rPr>
        <w:tab/>
      </w:r>
      <w:r>
        <w:rPr>
          <w:i/>
          <w:color w:val="222222"/>
        </w:rPr>
        <w:t xml:space="preserve">Sustain </w:t>
      </w:r>
      <w:r>
        <w:rPr>
          <w:i/>
          <w:color w:val="222222"/>
        </w:rPr>
        <w:tab/>
        <w:t xml:space="preserve">responsible </w:t>
      </w:r>
      <w:r>
        <w:rPr>
          <w:i/>
          <w:color w:val="222222"/>
        </w:rPr>
        <w:tab/>
        <w:t>operations</w:t>
      </w:r>
      <w:r>
        <w:rPr>
          <w:color w:val="222222"/>
        </w:rPr>
        <w:t xml:space="preserve">. </w:t>
      </w:r>
      <w:r>
        <w:rPr>
          <w:color w:val="222222"/>
        </w:rPr>
        <w:tab/>
        <w:t xml:space="preserve">Available </w:t>
      </w:r>
      <w:r>
        <w:rPr>
          <w:color w:val="222222"/>
        </w:rPr>
        <w:tab/>
        <w:t xml:space="preserve">at: </w:t>
      </w:r>
      <w:hyperlink r:id="rId17">
        <w:r w:rsidR="004009C9">
          <w:rPr>
            <w:color w:val="0000FF"/>
            <w:u w:val="single" w:color="0000FF"/>
          </w:rPr>
          <w:t>https://serve360.marriott.com/sustain/</w:t>
        </w:r>
      </w:hyperlink>
      <w:hyperlink r:id="rId18">
        <w:r w:rsidR="004009C9">
          <w:rPr>
            <w:color w:val="222222"/>
          </w:rPr>
          <w:t xml:space="preserve"> </w:t>
        </w:r>
      </w:hyperlink>
      <w:r>
        <w:rPr>
          <w:color w:val="222222"/>
        </w:rPr>
        <w:t xml:space="preserve">[Accessed: 26 September 2025].. </w:t>
      </w:r>
    </w:p>
    <w:p w14:paraId="6B3E83D6" w14:textId="77777777" w:rsidR="004009C9" w:rsidRDefault="00000000">
      <w:pPr>
        <w:spacing w:after="261"/>
        <w:ind w:left="0" w:right="0" w:firstLine="0"/>
        <w:jc w:val="left"/>
      </w:pPr>
      <w:r>
        <w:rPr>
          <w:color w:val="222222"/>
        </w:rPr>
        <w:t xml:space="preserve">Marriott (2025a). </w:t>
      </w:r>
      <w:r>
        <w:rPr>
          <w:i/>
          <w:color w:val="222222"/>
        </w:rPr>
        <w:t>2025 Sustainability &amp; Social Impact Goals</w:t>
      </w:r>
      <w:r>
        <w:rPr>
          <w:color w:val="222222"/>
        </w:rPr>
        <w:t xml:space="preserve">. Available at: </w:t>
      </w:r>
      <w:hyperlink r:id="rId19">
        <w:r w:rsidR="004009C9">
          <w:rPr>
            <w:color w:val="1155CC"/>
            <w:u w:val="single" w:color="1155CC"/>
          </w:rPr>
          <w:t>https://serve360.marriott.com/wp</w:t>
        </w:r>
      </w:hyperlink>
      <w:hyperlink r:id="rId20">
        <w:r w:rsidR="004009C9">
          <w:rPr>
            <w:color w:val="1155CC"/>
            <w:u w:val="single" w:color="1155CC"/>
          </w:rPr>
          <w:t>-</w:t>
        </w:r>
      </w:hyperlink>
      <w:hyperlink r:id="rId21">
        <w:r w:rsidR="004009C9">
          <w:rPr>
            <w:color w:val="1155CC"/>
            <w:u w:val="single" w:color="1155CC"/>
          </w:rPr>
          <w:t>content/uploads/2019/10/Serve</w:t>
        </w:r>
      </w:hyperlink>
      <w:hyperlink r:id="rId22">
        <w:r w:rsidR="004009C9">
          <w:rPr>
            <w:color w:val="1155CC"/>
            <w:u w:val="single" w:color="1155CC"/>
          </w:rPr>
          <w:t>-</w:t>
        </w:r>
      </w:hyperlink>
      <w:hyperlink r:id="rId23">
        <w:r w:rsidR="004009C9">
          <w:rPr>
            <w:color w:val="1155CC"/>
            <w:u w:val="single" w:color="1155CC"/>
          </w:rPr>
          <w:t>360</w:t>
        </w:r>
      </w:hyperlink>
      <w:hyperlink r:id="rId24">
        <w:r w:rsidR="004009C9">
          <w:rPr>
            <w:color w:val="1155CC"/>
            <w:u w:val="single" w:color="1155CC"/>
          </w:rPr>
          <w:t>-</w:t>
        </w:r>
      </w:hyperlink>
      <w:hyperlink r:id="rId25">
        <w:r w:rsidR="004009C9">
          <w:rPr>
            <w:color w:val="1155CC"/>
            <w:u w:val="single" w:color="1155CC"/>
          </w:rPr>
          <w:t>goals</w:t>
        </w:r>
      </w:hyperlink>
      <w:hyperlink r:id="rId26">
        <w:r w:rsidR="004009C9">
          <w:rPr>
            <w:color w:val="1155CC"/>
            <w:u w:val="single" w:color="1155CC"/>
          </w:rPr>
          <w:t>-</w:t>
        </w:r>
      </w:hyperlink>
      <w:hyperlink r:id="rId27">
        <w:r w:rsidR="004009C9">
          <w:rPr>
            <w:color w:val="1155CC"/>
            <w:u w:val="single" w:color="1155CC"/>
          </w:rPr>
          <w:t>page</w:t>
        </w:r>
      </w:hyperlink>
      <w:hyperlink r:id="rId28"/>
      <w:hyperlink r:id="rId29">
        <w:r w:rsidR="004009C9">
          <w:rPr>
            <w:color w:val="1155CC"/>
            <w:u w:val="single" w:color="1155CC"/>
          </w:rPr>
          <w:t>tabloid_2</w:t>
        </w:r>
      </w:hyperlink>
      <w:hyperlink r:id="rId30">
        <w:r w:rsidR="004009C9">
          <w:rPr>
            <w:color w:val="1155CC"/>
            <w:u w:val="single" w:color="1155CC"/>
          </w:rPr>
          <w:t>-</w:t>
        </w:r>
      </w:hyperlink>
      <w:hyperlink r:id="rId31">
        <w:r w:rsidR="004009C9">
          <w:rPr>
            <w:color w:val="1155CC"/>
            <w:u w:val="single" w:color="1155CC"/>
          </w:rPr>
          <w:t>updated</w:t>
        </w:r>
      </w:hyperlink>
      <w:hyperlink r:id="rId32">
        <w:r w:rsidR="004009C9">
          <w:rPr>
            <w:color w:val="1155CC"/>
            <w:u w:val="single" w:color="1155CC"/>
          </w:rPr>
          <w:t>-</w:t>
        </w:r>
      </w:hyperlink>
      <w:hyperlink r:id="rId33">
        <w:r w:rsidR="004009C9">
          <w:rPr>
            <w:color w:val="1155CC"/>
            <w:u w:val="single" w:color="1155CC"/>
          </w:rPr>
          <w:t>20180916</w:t>
        </w:r>
      </w:hyperlink>
      <w:hyperlink r:id="rId34">
        <w:r w:rsidR="004009C9">
          <w:rPr>
            <w:color w:val="1155CC"/>
            <w:u w:val="single" w:color="1155CC"/>
          </w:rPr>
          <w:t>-</w:t>
        </w:r>
      </w:hyperlink>
      <w:hyperlink r:id="rId35">
        <w:r w:rsidR="004009C9">
          <w:rPr>
            <w:color w:val="1155CC"/>
            <w:u w:val="single" w:color="1155CC"/>
          </w:rPr>
          <w:t>English.pdf</w:t>
        </w:r>
      </w:hyperlink>
      <w:hyperlink r:id="rId36">
        <w:r w:rsidR="004009C9">
          <w:rPr>
            <w:color w:val="222222"/>
          </w:rPr>
          <w:t xml:space="preserve"> </w:t>
        </w:r>
      </w:hyperlink>
      <w:r>
        <w:rPr>
          <w:color w:val="222222"/>
        </w:rPr>
        <w:t xml:space="preserve">[Accessed: 26 September 2025]. </w:t>
      </w:r>
    </w:p>
    <w:p w14:paraId="58548FC4" w14:textId="77777777" w:rsidR="004009C9" w:rsidRDefault="00000000">
      <w:pPr>
        <w:tabs>
          <w:tab w:val="center" w:pos="1712"/>
          <w:tab w:val="center" w:pos="2998"/>
          <w:tab w:val="center" w:pos="4042"/>
          <w:tab w:val="center" w:pos="5009"/>
          <w:tab w:val="center" w:pos="6337"/>
          <w:tab w:val="center" w:pos="7834"/>
          <w:tab w:val="right" w:pos="9039"/>
        </w:tabs>
        <w:spacing w:after="125" w:line="259" w:lineRule="auto"/>
        <w:ind w:left="-15" w:right="-6" w:firstLine="0"/>
        <w:jc w:val="left"/>
      </w:pPr>
      <w:r>
        <w:rPr>
          <w:color w:val="222222"/>
        </w:rPr>
        <w:t xml:space="preserve">Marriott </w:t>
      </w:r>
      <w:r>
        <w:rPr>
          <w:color w:val="222222"/>
        </w:rPr>
        <w:tab/>
        <w:t xml:space="preserve">(2025b). </w:t>
      </w:r>
      <w:r>
        <w:rPr>
          <w:color w:val="222222"/>
        </w:rPr>
        <w:tab/>
      </w:r>
      <w:r>
        <w:rPr>
          <w:i/>
          <w:color w:val="222222"/>
        </w:rPr>
        <w:t xml:space="preserve">Around </w:t>
      </w:r>
      <w:r>
        <w:rPr>
          <w:i/>
          <w:color w:val="222222"/>
        </w:rPr>
        <w:tab/>
        <w:t xml:space="preserve">The </w:t>
      </w:r>
      <w:r>
        <w:rPr>
          <w:i/>
          <w:color w:val="222222"/>
        </w:rPr>
        <w:tab/>
        <w:t xml:space="preserve">World </w:t>
      </w:r>
      <w:r>
        <w:rPr>
          <w:i/>
          <w:color w:val="222222"/>
        </w:rPr>
        <w:tab/>
        <w:t>Highlights</w:t>
      </w:r>
      <w:r>
        <w:rPr>
          <w:color w:val="222222"/>
        </w:rPr>
        <w:t xml:space="preserve">. </w:t>
      </w:r>
      <w:r>
        <w:rPr>
          <w:color w:val="222222"/>
        </w:rPr>
        <w:tab/>
        <w:t xml:space="preserve">Available </w:t>
      </w:r>
      <w:r>
        <w:rPr>
          <w:color w:val="222222"/>
        </w:rPr>
        <w:tab/>
        <w:t xml:space="preserve">at: </w:t>
      </w:r>
    </w:p>
    <w:p w14:paraId="3F1C491D" w14:textId="77777777" w:rsidR="004009C9" w:rsidRDefault="004009C9">
      <w:pPr>
        <w:spacing w:after="240" w:line="359" w:lineRule="auto"/>
        <w:ind w:left="-5" w:right="0"/>
      </w:pPr>
      <w:hyperlink r:id="rId37">
        <w:r>
          <w:rPr>
            <w:color w:val="1155CC"/>
            <w:u w:val="single" w:color="1155CC"/>
          </w:rPr>
          <w:t>https://serve360.marriott.com/wp</w:t>
        </w:r>
      </w:hyperlink>
      <w:hyperlink r:id="rId38">
        <w:r>
          <w:rPr>
            <w:color w:val="1155CC"/>
            <w:u w:val="single" w:color="1155CC"/>
          </w:rPr>
          <w:t>-</w:t>
        </w:r>
      </w:hyperlink>
      <w:hyperlink r:id="rId39">
        <w:r>
          <w:rPr>
            <w:color w:val="1155CC"/>
            <w:u w:val="single" w:color="1155CC"/>
          </w:rPr>
          <w:t>content/uploads/2025/07/2025AroundTheWorld.pdf</w:t>
        </w:r>
      </w:hyperlink>
      <w:hyperlink r:id="rId40">
        <w:r>
          <w:rPr>
            <w:color w:val="222222"/>
          </w:rPr>
          <w:t xml:space="preserve"> </w:t>
        </w:r>
      </w:hyperlink>
      <w:r w:rsidR="00000000">
        <w:rPr>
          <w:color w:val="222222"/>
        </w:rPr>
        <w:t xml:space="preserve">[Accessed: 26 September 2025]. </w:t>
      </w:r>
    </w:p>
    <w:p w14:paraId="3B2DC17D" w14:textId="77777777" w:rsidR="004009C9" w:rsidRDefault="00000000">
      <w:pPr>
        <w:spacing w:after="240" w:line="359" w:lineRule="auto"/>
        <w:ind w:left="-5" w:right="0"/>
      </w:pPr>
      <w:r>
        <w:rPr>
          <w:color w:val="222222"/>
        </w:rPr>
        <w:lastRenderedPageBreak/>
        <w:t xml:space="preserve">Marriott International (2021). </w:t>
      </w:r>
      <w:r>
        <w:rPr>
          <w:i/>
          <w:color w:val="222222"/>
        </w:rPr>
        <w:t>Environmental, Social, and Governance Progress at Marriott International</w:t>
      </w:r>
      <w:r>
        <w:rPr>
          <w:color w:val="222222"/>
        </w:rPr>
        <w:t xml:space="preserve">. Available at: </w:t>
      </w:r>
      <w:hyperlink r:id="rId41">
        <w:r w:rsidR="004009C9">
          <w:rPr>
            <w:color w:val="1155CC"/>
            <w:u w:val="single" w:color="1155CC"/>
          </w:rPr>
          <w:t>https://serve360.marriott.com/wp</w:t>
        </w:r>
      </w:hyperlink>
      <w:hyperlink r:id="rId42"/>
      <w:hyperlink r:id="rId43">
        <w:r w:rsidR="004009C9">
          <w:rPr>
            <w:color w:val="1155CC"/>
            <w:u w:val="single" w:color="1155CC"/>
          </w:rPr>
          <w:t>content/uploads/2021/09/2021_Serve_360_Report.pdf</w:t>
        </w:r>
      </w:hyperlink>
      <w:hyperlink r:id="rId44">
        <w:r w:rsidR="004009C9">
          <w:rPr>
            <w:color w:val="222222"/>
          </w:rPr>
          <w:t xml:space="preserve"> </w:t>
        </w:r>
      </w:hyperlink>
      <w:r>
        <w:rPr>
          <w:color w:val="222222"/>
        </w:rPr>
        <w:t xml:space="preserve">[Accessed: 27 September 2025]. </w:t>
      </w:r>
    </w:p>
    <w:p w14:paraId="6564BE16" w14:textId="77777777" w:rsidR="004009C9" w:rsidRDefault="00000000">
      <w:pPr>
        <w:spacing w:after="240" w:line="359" w:lineRule="auto"/>
        <w:ind w:left="-5" w:right="0"/>
      </w:pPr>
      <w:r>
        <w:rPr>
          <w:color w:val="222222"/>
        </w:rPr>
        <w:t xml:space="preserve">Marriott International Inc. (2024). </w:t>
      </w:r>
      <w:r>
        <w:rPr>
          <w:i/>
          <w:color w:val="222222"/>
        </w:rPr>
        <w:t>Marriott International Highlights ESG Progress in Annual Serve 360 Report</w:t>
      </w:r>
      <w:r>
        <w:rPr>
          <w:color w:val="222222"/>
        </w:rPr>
        <w:t xml:space="preserve">. Available at: </w:t>
      </w:r>
      <w:hyperlink r:id="rId45">
        <w:r w:rsidR="004009C9">
          <w:rPr>
            <w:color w:val="1155CC"/>
            <w:u w:val="single" w:color="1155CC"/>
          </w:rPr>
          <w:t>https://www.prnewswire.com/news</w:t>
        </w:r>
      </w:hyperlink>
      <w:hyperlink r:id="rId46"/>
      <w:hyperlink r:id="rId47">
        <w:r w:rsidR="004009C9">
          <w:rPr>
            <w:color w:val="1155CC"/>
            <w:u w:val="single" w:color="1155CC"/>
          </w:rPr>
          <w:t>releases/marriott</w:t>
        </w:r>
      </w:hyperlink>
      <w:hyperlink r:id="rId48">
        <w:r w:rsidR="004009C9">
          <w:rPr>
            <w:color w:val="1155CC"/>
            <w:u w:val="single" w:color="1155CC"/>
          </w:rPr>
          <w:t>-</w:t>
        </w:r>
      </w:hyperlink>
      <w:hyperlink r:id="rId49">
        <w:r w:rsidR="004009C9">
          <w:rPr>
            <w:color w:val="1155CC"/>
            <w:u w:val="single" w:color="1155CC"/>
          </w:rPr>
          <w:t>international</w:t>
        </w:r>
      </w:hyperlink>
      <w:hyperlink r:id="rId50">
        <w:r w:rsidR="004009C9">
          <w:rPr>
            <w:color w:val="1155CC"/>
            <w:u w:val="single" w:color="1155CC"/>
          </w:rPr>
          <w:t>-</w:t>
        </w:r>
      </w:hyperlink>
      <w:hyperlink r:id="rId51">
        <w:r w:rsidR="004009C9">
          <w:rPr>
            <w:color w:val="1155CC"/>
            <w:u w:val="single" w:color="1155CC"/>
          </w:rPr>
          <w:t>highlights</w:t>
        </w:r>
      </w:hyperlink>
      <w:hyperlink r:id="rId52">
        <w:r w:rsidR="004009C9">
          <w:rPr>
            <w:color w:val="1155CC"/>
            <w:u w:val="single" w:color="1155CC"/>
          </w:rPr>
          <w:t>-</w:t>
        </w:r>
      </w:hyperlink>
      <w:hyperlink r:id="rId53">
        <w:r w:rsidR="004009C9">
          <w:rPr>
            <w:color w:val="1155CC"/>
            <w:u w:val="single" w:color="1155CC"/>
          </w:rPr>
          <w:t>esg</w:t>
        </w:r>
      </w:hyperlink>
      <w:hyperlink r:id="rId54">
        <w:r w:rsidR="004009C9">
          <w:rPr>
            <w:color w:val="1155CC"/>
            <w:u w:val="single" w:color="1155CC"/>
          </w:rPr>
          <w:t>-</w:t>
        </w:r>
      </w:hyperlink>
      <w:hyperlink r:id="rId55">
        <w:r w:rsidR="004009C9">
          <w:rPr>
            <w:color w:val="1155CC"/>
            <w:u w:val="single" w:color="1155CC"/>
          </w:rPr>
          <w:t>progress</w:t>
        </w:r>
      </w:hyperlink>
      <w:hyperlink r:id="rId56">
        <w:r w:rsidR="004009C9">
          <w:rPr>
            <w:color w:val="1155CC"/>
            <w:u w:val="single" w:color="1155CC"/>
          </w:rPr>
          <w:t>-</w:t>
        </w:r>
      </w:hyperlink>
      <w:hyperlink r:id="rId57">
        <w:r w:rsidR="004009C9">
          <w:rPr>
            <w:color w:val="1155CC"/>
            <w:u w:val="single" w:color="1155CC"/>
          </w:rPr>
          <w:t>in</w:t>
        </w:r>
      </w:hyperlink>
      <w:hyperlink r:id="rId58">
        <w:r w:rsidR="004009C9">
          <w:rPr>
            <w:color w:val="1155CC"/>
            <w:u w:val="single" w:color="1155CC"/>
          </w:rPr>
          <w:t>-</w:t>
        </w:r>
      </w:hyperlink>
      <w:hyperlink r:id="rId59">
        <w:r w:rsidR="004009C9">
          <w:rPr>
            <w:color w:val="1155CC"/>
            <w:u w:val="single" w:color="1155CC"/>
          </w:rPr>
          <w:t>annual</w:t>
        </w:r>
      </w:hyperlink>
      <w:hyperlink r:id="rId60">
        <w:r w:rsidR="004009C9">
          <w:rPr>
            <w:color w:val="1155CC"/>
            <w:u w:val="single" w:color="1155CC"/>
          </w:rPr>
          <w:t>-</w:t>
        </w:r>
      </w:hyperlink>
      <w:hyperlink r:id="rId61">
        <w:r w:rsidR="004009C9">
          <w:rPr>
            <w:color w:val="1155CC"/>
            <w:u w:val="single" w:color="1155CC"/>
          </w:rPr>
          <w:t>serve</w:t>
        </w:r>
      </w:hyperlink>
      <w:hyperlink r:id="rId62">
        <w:r w:rsidR="004009C9">
          <w:rPr>
            <w:color w:val="1155CC"/>
            <w:u w:val="single" w:color="1155CC"/>
          </w:rPr>
          <w:t>-</w:t>
        </w:r>
      </w:hyperlink>
      <w:hyperlink r:id="rId63">
        <w:r w:rsidR="004009C9">
          <w:rPr>
            <w:color w:val="1155CC"/>
            <w:u w:val="single" w:color="1155CC"/>
          </w:rPr>
          <w:t>360</w:t>
        </w:r>
      </w:hyperlink>
      <w:hyperlink r:id="rId64">
        <w:r w:rsidR="004009C9">
          <w:rPr>
            <w:color w:val="1155CC"/>
            <w:u w:val="single" w:color="1155CC"/>
          </w:rPr>
          <w:t>-</w:t>
        </w:r>
      </w:hyperlink>
      <w:hyperlink r:id="rId65">
        <w:r w:rsidR="004009C9">
          <w:rPr>
            <w:color w:val="1155CC"/>
            <w:u w:val="single" w:color="1155CC"/>
          </w:rPr>
          <w:t>report</w:t>
        </w:r>
      </w:hyperlink>
      <w:hyperlink r:id="rId66"/>
      <w:hyperlink r:id="rId67">
        <w:r w:rsidR="004009C9">
          <w:rPr>
            <w:color w:val="1155CC"/>
            <w:u w:val="single" w:color="1155CC"/>
          </w:rPr>
          <w:t>302192986.html</w:t>
        </w:r>
      </w:hyperlink>
      <w:hyperlink r:id="rId68">
        <w:r w:rsidR="004009C9">
          <w:rPr>
            <w:color w:val="222222"/>
          </w:rPr>
          <w:t xml:space="preserve"> </w:t>
        </w:r>
      </w:hyperlink>
      <w:r>
        <w:rPr>
          <w:color w:val="222222"/>
        </w:rPr>
        <w:t xml:space="preserve">[Accessed: 25 September 2025]. </w:t>
      </w:r>
    </w:p>
    <w:p w14:paraId="64DD3E7D" w14:textId="77777777" w:rsidR="004009C9" w:rsidRDefault="00000000">
      <w:pPr>
        <w:spacing w:after="240"/>
        <w:ind w:left="0" w:right="0" w:firstLine="0"/>
        <w:jc w:val="left"/>
      </w:pPr>
      <w:r>
        <w:rPr>
          <w:color w:val="222222"/>
        </w:rPr>
        <w:t xml:space="preserve">Nogueira, E., Gomes, S. and Lopes, J.M. (2025). Unveiling triple bottom line’s influence on business performance. </w:t>
      </w:r>
      <w:r>
        <w:rPr>
          <w:i/>
          <w:color w:val="222222"/>
        </w:rPr>
        <w:t>Discover Sustainability</w:t>
      </w:r>
      <w:r>
        <w:rPr>
          <w:color w:val="222222"/>
        </w:rPr>
        <w:t>, 6(1</w:t>
      </w:r>
      <w:proofErr w:type="gramStart"/>
      <w:r>
        <w:rPr>
          <w:color w:val="222222"/>
        </w:rPr>
        <w:t>),p.</w:t>
      </w:r>
      <w:proofErr w:type="gramEnd"/>
      <w:r>
        <w:rPr>
          <w:color w:val="222222"/>
        </w:rPr>
        <w:t xml:space="preserve">43.  </w:t>
      </w:r>
    </w:p>
    <w:p w14:paraId="16B31BDA" w14:textId="77777777" w:rsidR="004009C9" w:rsidRDefault="00000000">
      <w:pPr>
        <w:spacing w:after="249" w:line="350" w:lineRule="auto"/>
        <w:ind w:left="-5" w:right="-6"/>
      </w:pPr>
      <w:proofErr w:type="spellStart"/>
      <w:r>
        <w:rPr>
          <w:color w:val="222222"/>
        </w:rPr>
        <w:t>Piramanayagam</w:t>
      </w:r>
      <w:proofErr w:type="spellEnd"/>
      <w:r>
        <w:rPr>
          <w:color w:val="222222"/>
        </w:rPr>
        <w:t xml:space="preserve">, S., Sen, S. and Seal, P.P. (2023). Sustainable Consumption Behaviour among Guests in Luxury Hotels through the Lens of the Extended Theory of Planned Behaviour. </w:t>
      </w:r>
      <w:r>
        <w:rPr>
          <w:i/>
          <w:color w:val="222222"/>
        </w:rPr>
        <w:t>Environment, Development and Sustainability</w:t>
      </w:r>
      <w:r>
        <w:rPr>
          <w:color w:val="222222"/>
        </w:rPr>
        <w:t xml:space="preserve">, 26(10), pp.25397-25413.  </w:t>
      </w:r>
    </w:p>
    <w:p w14:paraId="704036E2" w14:textId="77777777" w:rsidR="004009C9" w:rsidRDefault="00000000">
      <w:pPr>
        <w:spacing w:after="1" w:line="360" w:lineRule="auto"/>
        <w:ind w:left="0" w:right="0" w:firstLine="0"/>
        <w:jc w:val="left"/>
      </w:pPr>
      <w:r>
        <w:rPr>
          <w:color w:val="222222"/>
        </w:rPr>
        <w:t xml:space="preserve">Prakash, S., Sharma, V.P., Singh, R., </w:t>
      </w:r>
      <w:proofErr w:type="spellStart"/>
      <w:r>
        <w:rPr>
          <w:color w:val="222222"/>
        </w:rPr>
        <w:t>Vijayvargy</w:t>
      </w:r>
      <w:proofErr w:type="spellEnd"/>
      <w:r>
        <w:rPr>
          <w:color w:val="222222"/>
        </w:rPr>
        <w:t xml:space="preserve">, L. and </w:t>
      </w:r>
      <w:proofErr w:type="spellStart"/>
      <w:r>
        <w:rPr>
          <w:color w:val="222222"/>
        </w:rPr>
        <w:t>Nilaish</w:t>
      </w:r>
      <w:proofErr w:type="spellEnd"/>
      <w:r>
        <w:rPr>
          <w:color w:val="222222"/>
        </w:rPr>
        <w:t xml:space="preserve">, (2023). Adopting green and sustainable practices in the hotel industry operations-an analysis of critical performance indicators for improved environmental quality. </w:t>
      </w:r>
      <w:r>
        <w:rPr>
          <w:i/>
          <w:color w:val="222222"/>
        </w:rPr>
        <w:t>Management of Environmental Quality: An International Journal</w:t>
      </w:r>
      <w:r>
        <w:rPr>
          <w:color w:val="222222"/>
        </w:rPr>
        <w:t xml:space="preserve">, </w:t>
      </w:r>
      <w:r>
        <w:rPr>
          <w:i/>
          <w:color w:val="222222"/>
        </w:rPr>
        <w:t>34</w:t>
      </w:r>
      <w:r>
        <w:rPr>
          <w:color w:val="222222"/>
        </w:rPr>
        <w:t xml:space="preserve">(4), pp.1057-1076. </w:t>
      </w:r>
    </w:p>
    <w:p w14:paraId="6A86813F" w14:textId="77777777" w:rsidR="004009C9" w:rsidRDefault="00000000">
      <w:pPr>
        <w:spacing w:after="0"/>
        <w:ind w:left="-5" w:right="-5"/>
      </w:pPr>
      <w:r>
        <w:t xml:space="preserve">Sloan, P., Legrand, W. and Chen, J.S. (2017). </w:t>
      </w:r>
      <w:r>
        <w:rPr>
          <w:i/>
        </w:rPr>
        <w:t xml:space="preserve">Sustainability in the hospitality </w:t>
      </w:r>
      <w:proofErr w:type="gramStart"/>
      <w:r>
        <w:rPr>
          <w:i/>
        </w:rPr>
        <w:t>industry :</w:t>
      </w:r>
      <w:proofErr w:type="gramEnd"/>
      <w:r>
        <w:rPr>
          <w:i/>
        </w:rPr>
        <w:t xml:space="preserve"> principles of sustainable operations</w:t>
      </w:r>
      <w:r>
        <w:t xml:space="preserve">. 3rd </w:t>
      </w:r>
      <w:proofErr w:type="spellStart"/>
      <w:r>
        <w:t>edn</w:t>
      </w:r>
      <w:proofErr w:type="spellEnd"/>
      <w:r>
        <w:t xml:space="preserve">. London: </w:t>
      </w:r>
      <w:proofErr w:type="spellStart"/>
      <w:r>
        <w:t>ButterworthHeinemann</w:t>
      </w:r>
      <w:proofErr w:type="spellEnd"/>
      <w:r>
        <w:t>.</w:t>
      </w:r>
      <w:r>
        <w:rPr>
          <w:color w:val="222222"/>
        </w:rPr>
        <w:t xml:space="preserve"> </w:t>
      </w:r>
    </w:p>
    <w:p w14:paraId="4519458C" w14:textId="77777777" w:rsidR="004009C9" w:rsidRDefault="00000000">
      <w:pPr>
        <w:spacing w:after="249" w:line="350" w:lineRule="auto"/>
        <w:ind w:left="-5" w:right="-6"/>
      </w:pPr>
      <w:r>
        <w:rPr>
          <w:color w:val="222222"/>
        </w:rPr>
        <w:t xml:space="preserve">Sørensen, F. and Grindsted, T.S. (2021). Sustainability approaches and nature tourism development. </w:t>
      </w:r>
      <w:r>
        <w:rPr>
          <w:i/>
          <w:color w:val="222222"/>
        </w:rPr>
        <w:t>Annals of Tourism Research</w:t>
      </w:r>
      <w:r>
        <w:rPr>
          <w:color w:val="222222"/>
        </w:rPr>
        <w:t xml:space="preserve">, 91, p.103307.  </w:t>
      </w:r>
    </w:p>
    <w:p w14:paraId="758DE8C4" w14:textId="77777777" w:rsidR="004009C9" w:rsidRDefault="00000000">
      <w:pPr>
        <w:spacing w:after="272" w:line="350" w:lineRule="auto"/>
        <w:ind w:left="-5" w:right="-6"/>
      </w:pPr>
      <w:r>
        <w:rPr>
          <w:color w:val="222222"/>
        </w:rPr>
        <w:t xml:space="preserve">Strippoli, R., Gallucci, T. and Ingrao, C. (2024). Circular economy and sustainable development in the tourism sector - An overview of the </w:t>
      </w:r>
      <w:proofErr w:type="gramStart"/>
      <w:r>
        <w:rPr>
          <w:color w:val="222222"/>
        </w:rPr>
        <w:t>truly-effective</w:t>
      </w:r>
      <w:proofErr w:type="gramEnd"/>
      <w:r>
        <w:rPr>
          <w:color w:val="222222"/>
        </w:rPr>
        <w:t xml:space="preserve"> strategies and related benefits. </w:t>
      </w:r>
      <w:proofErr w:type="spellStart"/>
      <w:r>
        <w:rPr>
          <w:i/>
          <w:color w:val="222222"/>
        </w:rPr>
        <w:t>Heliyon</w:t>
      </w:r>
      <w:proofErr w:type="spellEnd"/>
      <w:r>
        <w:rPr>
          <w:color w:val="222222"/>
        </w:rPr>
        <w:t xml:space="preserve">, 10(17), </w:t>
      </w:r>
      <w:proofErr w:type="gramStart"/>
      <w:r>
        <w:rPr>
          <w:color w:val="222222"/>
        </w:rPr>
        <w:t>pp.e</w:t>
      </w:r>
      <w:proofErr w:type="gramEnd"/>
      <w:r>
        <w:rPr>
          <w:color w:val="222222"/>
        </w:rPr>
        <w:t xml:space="preserve">36801–e36801. </w:t>
      </w:r>
    </w:p>
    <w:p w14:paraId="6027B065" w14:textId="77777777" w:rsidR="004009C9" w:rsidRDefault="00000000">
      <w:pPr>
        <w:tabs>
          <w:tab w:val="center" w:pos="1411"/>
          <w:tab w:val="center" w:pos="2506"/>
          <w:tab w:val="center" w:pos="3823"/>
          <w:tab w:val="center" w:pos="5463"/>
          <w:tab w:val="center" w:pos="6824"/>
          <w:tab w:val="center" w:pos="7966"/>
          <w:tab w:val="right" w:pos="9039"/>
        </w:tabs>
        <w:spacing w:after="120" w:line="259" w:lineRule="auto"/>
        <w:ind w:left="-15" w:right="-6" w:firstLine="0"/>
        <w:jc w:val="left"/>
      </w:pPr>
      <w:r>
        <w:rPr>
          <w:color w:val="222222"/>
        </w:rPr>
        <w:t xml:space="preserve">United </w:t>
      </w:r>
      <w:r>
        <w:rPr>
          <w:color w:val="222222"/>
        </w:rPr>
        <w:tab/>
        <w:t xml:space="preserve">Nations </w:t>
      </w:r>
      <w:r>
        <w:rPr>
          <w:color w:val="222222"/>
        </w:rPr>
        <w:tab/>
        <w:t xml:space="preserve">(2023). </w:t>
      </w:r>
      <w:r>
        <w:rPr>
          <w:color w:val="222222"/>
        </w:rPr>
        <w:tab/>
      </w:r>
      <w:r>
        <w:rPr>
          <w:i/>
          <w:color w:val="222222"/>
        </w:rPr>
        <w:t xml:space="preserve">Sustainable </w:t>
      </w:r>
      <w:r>
        <w:rPr>
          <w:i/>
          <w:color w:val="222222"/>
        </w:rPr>
        <w:tab/>
        <w:t xml:space="preserve">Development </w:t>
      </w:r>
      <w:r>
        <w:rPr>
          <w:i/>
          <w:color w:val="222222"/>
        </w:rPr>
        <w:tab/>
        <w:t>Goals</w:t>
      </w:r>
      <w:r>
        <w:rPr>
          <w:color w:val="222222"/>
        </w:rPr>
        <w:t xml:space="preserve">. </w:t>
      </w:r>
      <w:r>
        <w:rPr>
          <w:color w:val="222222"/>
        </w:rPr>
        <w:tab/>
        <w:t xml:space="preserve">Available </w:t>
      </w:r>
      <w:r>
        <w:rPr>
          <w:color w:val="222222"/>
        </w:rPr>
        <w:tab/>
        <w:t xml:space="preserve">at: </w:t>
      </w:r>
    </w:p>
    <w:p w14:paraId="6DA70302" w14:textId="77777777" w:rsidR="004009C9" w:rsidRDefault="004009C9">
      <w:pPr>
        <w:spacing w:after="0"/>
        <w:ind w:left="0" w:right="0" w:firstLine="0"/>
        <w:jc w:val="left"/>
      </w:pPr>
      <w:hyperlink r:id="rId69">
        <w:r>
          <w:rPr>
            <w:color w:val="0000FF"/>
            <w:u w:val="single" w:color="0000FF"/>
          </w:rPr>
          <w:t>https://www.un.org/sustainabledevelopment/sustainable</w:t>
        </w:r>
      </w:hyperlink>
      <w:hyperlink r:id="rId70">
        <w:r>
          <w:rPr>
            <w:color w:val="0000FF"/>
            <w:u w:val="single" w:color="0000FF"/>
          </w:rPr>
          <w:t>-</w:t>
        </w:r>
      </w:hyperlink>
      <w:hyperlink r:id="rId71">
        <w:r>
          <w:rPr>
            <w:color w:val="0000FF"/>
            <w:u w:val="single" w:color="0000FF"/>
          </w:rPr>
          <w:t>development</w:t>
        </w:r>
      </w:hyperlink>
      <w:hyperlink r:id="rId72">
        <w:r>
          <w:rPr>
            <w:color w:val="0000FF"/>
            <w:u w:val="single" w:color="0000FF"/>
          </w:rPr>
          <w:t>-</w:t>
        </w:r>
      </w:hyperlink>
      <w:hyperlink r:id="rId73">
        <w:r>
          <w:rPr>
            <w:color w:val="0000FF"/>
            <w:u w:val="single" w:color="0000FF"/>
          </w:rPr>
          <w:t>goals/</w:t>
        </w:r>
      </w:hyperlink>
      <w:hyperlink r:id="rId74">
        <w:r>
          <w:rPr>
            <w:color w:val="222222"/>
          </w:rPr>
          <w:t xml:space="preserve"> </w:t>
        </w:r>
      </w:hyperlink>
      <w:r w:rsidR="00000000">
        <w:rPr>
          <w:color w:val="222222"/>
        </w:rPr>
        <w:t xml:space="preserve">[Accessed: 24 September 2025]. </w:t>
      </w:r>
    </w:p>
    <w:p w14:paraId="3B2B4848" w14:textId="77777777" w:rsidR="004009C9" w:rsidRDefault="00000000">
      <w:pPr>
        <w:spacing w:after="1"/>
        <w:ind w:left="-5" w:right="-5"/>
      </w:pPr>
      <w:r>
        <w:t xml:space="preserve">Wickham, Donnelly, T., and French, L. (2021). Strategic Sustainability Management in the Event Sector. </w:t>
      </w:r>
      <w:r>
        <w:rPr>
          <w:i/>
        </w:rPr>
        <w:t>Event Management,</w:t>
      </w:r>
      <w:r>
        <w:t xml:space="preserve"> 25(3), 279–296. </w:t>
      </w:r>
    </w:p>
    <w:p w14:paraId="0680C302" w14:textId="77777777" w:rsidR="004009C9" w:rsidRDefault="00000000">
      <w:pPr>
        <w:spacing w:after="249" w:line="350" w:lineRule="auto"/>
        <w:ind w:left="-5" w:right="-6"/>
        <w:rPr>
          <w:color w:val="222222"/>
        </w:rPr>
      </w:pPr>
      <w:proofErr w:type="spellStart"/>
      <w:r>
        <w:rPr>
          <w:color w:val="222222"/>
        </w:rPr>
        <w:lastRenderedPageBreak/>
        <w:t>Wiryawan</w:t>
      </w:r>
      <w:proofErr w:type="spellEnd"/>
      <w:r>
        <w:rPr>
          <w:color w:val="222222"/>
        </w:rPr>
        <w:t xml:space="preserve">, M. and Arief, N.N. (2023). Implementation of sustainable hospitality by improving brand equity in tourism industry: A study case. </w:t>
      </w:r>
      <w:r>
        <w:rPr>
          <w:i/>
          <w:color w:val="222222"/>
        </w:rPr>
        <w:t>Indonesian Journal of Multidisciplinary Science</w:t>
      </w:r>
      <w:r>
        <w:rPr>
          <w:color w:val="222222"/>
        </w:rPr>
        <w:t xml:space="preserve">, 3(2), pp.115–124.  </w:t>
      </w:r>
    </w:p>
    <w:p w14:paraId="6E6C5A6C" w14:textId="77777777" w:rsidR="00726884" w:rsidRDefault="00726884" w:rsidP="00726884">
      <w:pPr>
        <w:spacing w:after="200" w:line="276" w:lineRule="auto"/>
        <w:rPr>
          <w:rFonts w:eastAsiaTheme="majorEastAsia"/>
          <w:color w:val="000000" w:themeColor="text1"/>
          <w:kern w:val="24"/>
          <w:sz w:val="28"/>
          <w:szCs w:val="28"/>
        </w:rPr>
      </w:pPr>
    </w:p>
    <w:p w14:paraId="21365770" w14:textId="77777777" w:rsidR="00726884" w:rsidRDefault="00726884" w:rsidP="00726884">
      <w:pPr>
        <w:spacing w:after="200" w:line="276" w:lineRule="auto"/>
        <w:rPr>
          <w:rFonts w:eastAsiaTheme="majorEastAsia"/>
          <w:color w:val="000000" w:themeColor="text1"/>
          <w:kern w:val="24"/>
          <w:sz w:val="28"/>
          <w:szCs w:val="28"/>
        </w:rPr>
      </w:pPr>
    </w:p>
    <w:p w14:paraId="21E6A918" w14:textId="4DD5E170" w:rsidR="00726884" w:rsidRPr="001C1E07" w:rsidRDefault="00726884" w:rsidP="00726884">
      <w:pPr>
        <w:spacing w:after="200" w:line="276" w:lineRule="auto"/>
        <w:rPr>
          <w:rFonts w:eastAsiaTheme="majorEastAsia"/>
          <w:color w:val="000000" w:themeColor="text1"/>
          <w:kern w:val="24"/>
          <w:sz w:val="28"/>
          <w:szCs w:val="28"/>
        </w:rPr>
      </w:pPr>
      <w:r w:rsidRPr="001C1E07">
        <w:rPr>
          <w:rFonts w:eastAsiaTheme="majorEastAsia"/>
          <w:color w:val="000000" w:themeColor="text1"/>
          <w:kern w:val="24"/>
          <w:sz w:val="28"/>
          <w:szCs w:val="28"/>
        </w:rPr>
        <w:t>AI declaration</w:t>
      </w:r>
    </w:p>
    <w:p w14:paraId="3DF95961" w14:textId="28F1C2CE" w:rsidR="00726884" w:rsidRDefault="00726884" w:rsidP="00726884">
      <w:pPr>
        <w:spacing w:after="249" w:line="350" w:lineRule="auto"/>
        <w:ind w:left="-5" w:right="-6"/>
      </w:pPr>
      <w:r w:rsidRPr="001C1E07">
        <w:rPr>
          <w:rFonts w:eastAsiaTheme="minorEastAsia"/>
          <w:color w:val="000000" w:themeColor="text1"/>
          <w:kern w:val="24"/>
          <w:sz w:val="28"/>
          <w:szCs w:val="28"/>
        </w:rPr>
        <w:t>I have used for this presentation AI powered search engines such as Google Schoolar, Google and Yahoo.</w:t>
      </w:r>
    </w:p>
    <w:p w14:paraId="14C5D6D5" w14:textId="77777777" w:rsidR="004009C9" w:rsidRDefault="00000000">
      <w:pPr>
        <w:spacing w:after="0"/>
        <w:ind w:left="0" w:right="8972" w:firstLine="0"/>
        <w:jc w:val="left"/>
      </w:pPr>
      <w:r>
        <w:t xml:space="preserve">   </w:t>
      </w:r>
    </w:p>
    <w:sectPr w:rsidR="004009C9">
      <w:footerReference w:type="even" r:id="rId75"/>
      <w:footerReference w:type="default" r:id="rId76"/>
      <w:footerReference w:type="first" r:id="rId77"/>
      <w:pgSz w:w="11910" w:h="16835"/>
      <w:pgMar w:top="1440" w:right="1430" w:bottom="854" w:left="1441"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421886" w14:textId="77777777" w:rsidR="00C37993" w:rsidRDefault="00C37993">
      <w:pPr>
        <w:spacing w:after="0" w:line="240" w:lineRule="auto"/>
      </w:pPr>
      <w:r>
        <w:separator/>
      </w:r>
    </w:p>
  </w:endnote>
  <w:endnote w:type="continuationSeparator" w:id="0">
    <w:p w14:paraId="5A77D1EC" w14:textId="77777777" w:rsidR="00C37993" w:rsidRDefault="00C37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E80B49" w14:textId="77777777" w:rsidR="004009C9" w:rsidRDefault="00000000">
    <w:pPr>
      <w:spacing w:after="0" w:line="259" w:lineRule="auto"/>
      <w:ind w:left="0" w:right="7" w:firstLine="0"/>
      <w:jc w:val="right"/>
    </w:pPr>
    <w:r>
      <w:fldChar w:fldCharType="begin"/>
    </w:r>
    <w:r>
      <w:instrText xml:space="preserve"> PAGE   \* MERGEFORMAT </w:instrText>
    </w:r>
    <w:r>
      <w:fldChar w:fldCharType="separate"/>
    </w:r>
    <w:r>
      <w:t>2</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194A8" w14:textId="77777777" w:rsidR="004009C9" w:rsidRDefault="00000000">
    <w:pPr>
      <w:spacing w:after="0" w:line="259" w:lineRule="auto"/>
      <w:ind w:left="0" w:right="7" w:firstLine="0"/>
      <w:jc w:val="right"/>
    </w:pPr>
    <w:r>
      <w:fldChar w:fldCharType="begin"/>
    </w:r>
    <w:r>
      <w:instrText xml:space="preserve"> PAGE   \* MERGEFORMAT </w:instrText>
    </w:r>
    <w:r>
      <w:fldChar w:fldCharType="separate"/>
    </w:r>
    <w:r>
      <w:t>2</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083A29" w14:textId="77777777" w:rsidR="004009C9" w:rsidRDefault="004009C9">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5DE3F" w14:textId="77777777" w:rsidR="00C37993" w:rsidRDefault="00C37993">
      <w:pPr>
        <w:spacing w:after="0" w:line="240" w:lineRule="auto"/>
      </w:pPr>
      <w:r>
        <w:separator/>
      </w:r>
    </w:p>
  </w:footnote>
  <w:footnote w:type="continuationSeparator" w:id="0">
    <w:p w14:paraId="77DFA856" w14:textId="77777777" w:rsidR="00C37993" w:rsidRDefault="00C379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9C9"/>
    <w:rsid w:val="004009C9"/>
    <w:rsid w:val="00491ACB"/>
    <w:rsid w:val="00612C02"/>
    <w:rsid w:val="00726884"/>
    <w:rsid w:val="0076094C"/>
    <w:rsid w:val="007E3034"/>
    <w:rsid w:val="0080023F"/>
    <w:rsid w:val="00B9139F"/>
    <w:rsid w:val="00C37993"/>
    <w:rsid w:val="00D13EE4"/>
    <w:rsid w:val="00D55684"/>
    <w:rsid w:val="00DB6D63"/>
    <w:rsid w:val="00ED2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0AF2E"/>
  <w15:docId w15:val="{7F1F4F23-E19F-4E88-9D48-1986D3007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78" w:line="361" w:lineRule="auto"/>
      <w:ind w:left="10" w:right="2"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263" w:line="259" w:lineRule="auto"/>
      <w:ind w:left="10" w:hanging="10"/>
      <w:outlineLvl w:val="0"/>
    </w:pPr>
    <w:rPr>
      <w:rFonts w:ascii="Arial" w:eastAsia="Arial" w:hAnsi="Arial" w:cs="Arial"/>
      <w:b/>
      <w:color w:val="000000"/>
      <w:sz w:val="28"/>
    </w:rPr>
  </w:style>
  <w:style w:type="paragraph" w:styleId="Heading2">
    <w:name w:val="heading 2"/>
    <w:next w:val="Normal"/>
    <w:link w:val="Heading2Char"/>
    <w:uiPriority w:val="9"/>
    <w:unhideWhenUsed/>
    <w:qFormat/>
    <w:pPr>
      <w:keepNext/>
      <w:keepLines/>
      <w:spacing w:after="280" w:line="285" w:lineRule="auto"/>
      <w:ind w:left="10" w:hanging="10"/>
      <w:outlineLvl w:val="1"/>
    </w:pPr>
    <w:rPr>
      <w:rFonts w:ascii="Arial" w:eastAsia="Arial" w:hAnsi="Arial" w:cs="Arial"/>
      <w:b/>
      <w: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i/>
      <w:color w:val="000000"/>
      <w:sz w:val="24"/>
    </w:rPr>
  </w:style>
  <w:style w:type="character" w:customStyle="1" w:styleId="Heading1Char">
    <w:name w:val="Heading 1 Char"/>
    <w:link w:val="Heading1"/>
    <w:rPr>
      <w:rFonts w:ascii="Arial" w:eastAsia="Arial" w:hAnsi="Arial" w:cs="Arial"/>
      <w:b/>
      <w:color w:val="000000"/>
      <w:sz w:val="28"/>
    </w:rPr>
  </w:style>
  <w:style w:type="paragraph" w:styleId="ListParagraph">
    <w:name w:val="List Paragraph"/>
    <w:basedOn w:val="Normal"/>
    <w:uiPriority w:val="34"/>
    <w:qFormat/>
    <w:rsid w:val="00491A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serve360.marriott.com/wp-content/uploads/2019/10/Serve-360-goals-page-tabloid_2-updated-20180916-English.pdf" TargetMode="External"/><Relationship Id="rId21" Type="http://schemas.openxmlformats.org/officeDocument/2006/relationships/hyperlink" Target="https://serve360.marriott.com/wp-content/uploads/2019/10/Serve-360-goals-page-tabloid_2-updated-20180916-English.pdf" TargetMode="External"/><Relationship Id="rId42" Type="http://schemas.openxmlformats.org/officeDocument/2006/relationships/hyperlink" Target="https://serve360.marriott.com/wp-content/uploads/2021/09/2021_Serve_360_Report.pdf" TargetMode="External"/><Relationship Id="rId47" Type="http://schemas.openxmlformats.org/officeDocument/2006/relationships/hyperlink" Target="https://www.prnewswire.com/news-releases/marriott-international-highlights-esg-progress-in-annual-serve-360-report-302192986.html" TargetMode="External"/><Relationship Id="rId63" Type="http://schemas.openxmlformats.org/officeDocument/2006/relationships/hyperlink" Target="https://www.prnewswire.com/news-releases/marriott-international-highlights-esg-progress-in-annual-serve-360-report-302192986.html" TargetMode="External"/><Relationship Id="rId68" Type="http://schemas.openxmlformats.org/officeDocument/2006/relationships/hyperlink" Target="https://www.prnewswire.com/news-releases/marriott-international-highlights-esg-progress-in-annual-serve-360-report-302192986.html" TargetMode="External"/><Relationship Id="rId16" Type="http://schemas.openxmlformats.org/officeDocument/2006/relationships/hyperlink" Target="https://www.deloitte.com/uk/en/Industries/consumer/blogs/sustainability-in-the-hospitality-industry.html" TargetMode="External"/><Relationship Id="rId11" Type="http://schemas.openxmlformats.org/officeDocument/2006/relationships/hyperlink" Target="https://www.deloitte.com/uk/en/Industries/consumer/blogs/sustainability-in-the-hospitality-industry.html" TargetMode="External"/><Relationship Id="rId24" Type="http://schemas.openxmlformats.org/officeDocument/2006/relationships/hyperlink" Target="https://serve360.marriott.com/wp-content/uploads/2019/10/Serve-360-goals-page-tabloid_2-updated-20180916-English.pdf" TargetMode="External"/><Relationship Id="rId32" Type="http://schemas.openxmlformats.org/officeDocument/2006/relationships/hyperlink" Target="https://serve360.marriott.com/wp-content/uploads/2019/10/Serve-360-goals-page-tabloid_2-updated-20180916-English.pdf" TargetMode="External"/><Relationship Id="rId37" Type="http://schemas.openxmlformats.org/officeDocument/2006/relationships/hyperlink" Target="https://serve360.marriott.com/wp-content/uploads/2025/07/2025AroundTheWorld.pdf" TargetMode="External"/><Relationship Id="rId40" Type="http://schemas.openxmlformats.org/officeDocument/2006/relationships/hyperlink" Target="https://serve360.marriott.com/wp-content/uploads/2025/07/2025AroundTheWorld.pdf" TargetMode="External"/><Relationship Id="rId45" Type="http://schemas.openxmlformats.org/officeDocument/2006/relationships/hyperlink" Target="https://www.prnewswire.com/news-releases/marriott-international-highlights-esg-progress-in-annual-serve-360-report-302192986.html" TargetMode="External"/><Relationship Id="rId53" Type="http://schemas.openxmlformats.org/officeDocument/2006/relationships/hyperlink" Target="https://www.prnewswire.com/news-releases/marriott-international-highlights-esg-progress-in-annual-serve-360-report-302192986.html" TargetMode="External"/><Relationship Id="rId58" Type="http://schemas.openxmlformats.org/officeDocument/2006/relationships/hyperlink" Target="https://www.prnewswire.com/news-releases/marriott-international-highlights-esg-progress-in-annual-serve-360-report-302192986.html" TargetMode="External"/><Relationship Id="rId66" Type="http://schemas.openxmlformats.org/officeDocument/2006/relationships/hyperlink" Target="https://www.prnewswire.com/news-releases/marriott-international-highlights-esg-progress-in-annual-serve-360-report-302192986.html" TargetMode="External"/><Relationship Id="rId74" Type="http://schemas.openxmlformats.org/officeDocument/2006/relationships/hyperlink" Target="https://www.un.org/sustainabledevelopment/sustainable-development-goals/" TargetMode="External"/><Relationship Id="rId79" Type="http://schemas.openxmlformats.org/officeDocument/2006/relationships/theme" Target="theme/theme1.xml"/><Relationship Id="rId5" Type="http://schemas.openxmlformats.org/officeDocument/2006/relationships/endnotes" Target="endnotes.xml"/><Relationship Id="rId61" Type="http://schemas.openxmlformats.org/officeDocument/2006/relationships/hyperlink" Target="https://www.prnewswire.com/news-releases/marriott-international-highlights-esg-progress-in-annual-serve-360-report-302192986.html" TargetMode="External"/><Relationship Id="rId19" Type="http://schemas.openxmlformats.org/officeDocument/2006/relationships/hyperlink" Target="https://serve360.marriott.com/wp-content/uploads/2019/10/Serve-360-goals-page-tabloid_2-updated-20180916-English.pdf" TargetMode="External"/><Relationship Id="rId14" Type="http://schemas.openxmlformats.org/officeDocument/2006/relationships/hyperlink" Target="https://www.deloitte.com/uk/en/Industries/consumer/blogs/sustainability-in-the-hospitality-industry.html" TargetMode="External"/><Relationship Id="rId22" Type="http://schemas.openxmlformats.org/officeDocument/2006/relationships/hyperlink" Target="https://serve360.marriott.com/wp-content/uploads/2019/10/Serve-360-goals-page-tabloid_2-updated-20180916-English.pdf" TargetMode="External"/><Relationship Id="rId27" Type="http://schemas.openxmlformats.org/officeDocument/2006/relationships/hyperlink" Target="https://serve360.marriott.com/wp-content/uploads/2019/10/Serve-360-goals-page-tabloid_2-updated-20180916-English.pdf" TargetMode="External"/><Relationship Id="rId30" Type="http://schemas.openxmlformats.org/officeDocument/2006/relationships/hyperlink" Target="https://serve360.marriott.com/wp-content/uploads/2019/10/Serve-360-goals-page-tabloid_2-updated-20180916-English.pdf" TargetMode="External"/><Relationship Id="rId35" Type="http://schemas.openxmlformats.org/officeDocument/2006/relationships/hyperlink" Target="https://serve360.marriott.com/wp-content/uploads/2019/10/Serve-360-goals-page-tabloid_2-updated-20180916-English.pdf" TargetMode="External"/><Relationship Id="rId43" Type="http://schemas.openxmlformats.org/officeDocument/2006/relationships/hyperlink" Target="https://serve360.marriott.com/wp-content/uploads/2021/09/2021_Serve_360_Report.pdf" TargetMode="External"/><Relationship Id="rId48" Type="http://schemas.openxmlformats.org/officeDocument/2006/relationships/hyperlink" Target="https://www.prnewswire.com/news-releases/marriott-international-highlights-esg-progress-in-annual-serve-360-report-302192986.html" TargetMode="External"/><Relationship Id="rId56" Type="http://schemas.openxmlformats.org/officeDocument/2006/relationships/hyperlink" Target="https://www.prnewswire.com/news-releases/marriott-international-highlights-esg-progress-in-annual-serve-360-report-302192986.html" TargetMode="External"/><Relationship Id="rId64" Type="http://schemas.openxmlformats.org/officeDocument/2006/relationships/hyperlink" Target="https://www.prnewswire.com/news-releases/marriott-international-highlights-esg-progress-in-annual-serve-360-report-302192986.html" TargetMode="External"/><Relationship Id="rId69" Type="http://schemas.openxmlformats.org/officeDocument/2006/relationships/hyperlink" Target="https://www.un.org/sustainabledevelopment/sustainable-development-goals/" TargetMode="External"/><Relationship Id="rId77" Type="http://schemas.openxmlformats.org/officeDocument/2006/relationships/footer" Target="footer3.xml"/><Relationship Id="rId8" Type="http://schemas.openxmlformats.org/officeDocument/2006/relationships/hyperlink" Target="https://www.deloitte.com/uk/en/Industries/consumer/blogs/sustainability-in-the-hospitality-industry.html" TargetMode="External"/><Relationship Id="rId51" Type="http://schemas.openxmlformats.org/officeDocument/2006/relationships/hyperlink" Target="https://www.prnewswire.com/news-releases/marriott-international-highlights-esg-progress-in-annual-serve-360-report-302192986.html" TargetMode="External"/><Relationship Id="rId72" Type="http://schemas.openxmlformats.org/officeDocument/2006/relationships/hyperlink" Target="https://www.un.org/sustainabledevelopment/sustainable-development-goals/" TargetMode="External"/><Relationship Id="rId3" Type="http://schemas.openxmlformats.org/officeDocument/2006/relationships/webSettings" Target="webSettings.xml"/><Relationship Id="rId12" Type="http://schemas.openxmlformats.org/officeDocument/2006/relationships/hyperlink" Target="https://www.deloitte.com/uk/en/Industries/consumer/blogs/sustainability-in-the-hospitality-industry.html" TargetMode="External"/><Relationship Id="rId17" Type="http://schemas.openxmlformats.org/officeDocument/2006/relationships/hyperlink" Target="https://serve360.marriott.com/sustain/" TargetMode="External"/><Relationship Id="rId25" Type="http://schemas.openxmlformats.org/officeDocument/2006/relationships/hyperlink" Target="https://serve360.marriott.com/wp-content/uploads/2019/10/Serve-360-goals-page-tabloid_2-updated-20180916-English.pdf" TargetMode="External"/><Relationship Id="rId33" Type="http://schemas.openxmlformats.org/officeDocument/2006/relationships/hyperlink" Target="https://serve360.marriott.com/wp-content/uploads/2019/10/Serve-360-goals-page-tabloid_2-updated-20180916-English.pdf" TargetMode="External"/><Relationship Id="rId38" Type="http://schemas.openxmlformats.org/officeDocument/2006/relationships/hyperlink" Target="https://serve360.marriott.com/wp-content/uploads/2025/07/2025AroundTheWorld.pdf" TargetMode="External"/><Relationship Id="rId46" Type="http://schemas.openxmlformats.org/officeDocument/2006/relationships/hyperlink" Target="https://www.prnewswire.com/news-releases/marriott-international-highlights-esg-progress-in-annual-serve-360-report-302192986.html" TargetMode="External"/><Relationship Id="rId59" Type="http://schemas.openxmlformats.org/officeDocument/2006/relationships/hyperlink" Target="https://www.prnewswire.com/news-releases/marriott-international-highlights-esg-progress-in-annual-serve-360-report-302192986.html" TargetMode="External"/><Relationship Id="rId67" Type="http://schemas.openxmlformats.org/officeDocument/2006/relationships/hyperlink" Target="https://www.prnewswire.com/news-releases/marriott-international-highlights-esg-progress-in-annual-serve-360-report-302192986.html" TargetMode="External"/><Relationship Id="rId20" Type="http://schemas.openxmlformats.org/officeDocument/2006/relationships/hyperlink" Target="https://serve360.marriott.com/wp-content/uploads/2019/10/Serve-360-goals-page-tabloid_2-updated-20180916-English.pdf" TargetMode="External"/><Relationship Id="rId41" Type="http://schemas.openxmlformats.org/officeDocument/2006/relationships/hyperlink" Target="https://serve360.marriott.com/wp-content/uploads/2021/09/2021_Serve_360_Report.pdf" TargetMode="External"/><Relationship Id="rId54" Type="http://schemas.openxmlformats.org/officeDocument/2006/relationships/hyperlink" Target="https://www.prnewswire.com/news-releases/marriott-international-highlights-esg-progress-in-annual-serve-360-report-302192986.html" TargetMode="External"/><Relationship Id="rId62" Type="http://schemas.openxmlformats.org/officeDocument/2006/relationships/hyperlink" Target="https://www.prnewswire.com/news-releases/marriott-international-highlights-esg-progress-in-annual-serve-360-report-302192986.html" TargetMode="External"/><Relationship Id="rId70" Type="http://schemas.openxmlformats.org/officeDocument/2006/relationships/hyperlink" Target="https://www.un.org/sustainabledevelopment/sustainable-development-goals/" TargetMode="External"/><Relationship Id="rId75"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g"/><Relationship Id="rId15" Type="http://schemas.openxmlformats.org/officeDocument/2006/relationships/hyperlink" Target="https://www.deloitte.com/uk/en/Industries/consumer/blogs/sustainability-in-the-hospitality-industry.html" TargetMode="External"/><Relationship Id="rId23" Type="http://schemas.openxmlformats.org/officeDocument/2006/relationships/hyperlink" Target="https://serve360.marriott.com/wp-content/uploads/2019/10/Serve-360-goals-page-tabloid_2-updated-20180916-English.pdf" TargetMode="External"/><Relationship Id="rId28" Type="http://schemas.openxmlformats.org/officeDocument/2006/relationships/hyperlink" Target="https://serve360.marriott.com/wp-content/uploads/2019/10/Serve-360-goals-page-tabloid_2-updated-20180916-English.pdf" TargetMode="External"/><Relationship Id="rId36" Type="http://schemas.openxmlformats.org/officeDocument/2006/relationships/hyperlink" Target="https://serve360.marriott.com/wp-content/uploads/2019/10/Serve-360-goals-page-tabloid_2-updated-20180916-English.pdf" TargetMode="External"/><Relationship Id="rId49" Type="http://schemas.openxmlformats.org/officeDocument/2006/relationships/hyperlink" Target="https://www.prnewswire.com/news-releases/marriott-international-highlights-esg-progress-in-annual-serve-360-report-302192986.html" TargetMode="External"/><Relationship Id="rId57" Type="http://schemas.openxmlformats.org/officeDocument/2006/relationships/hyperlink" Target="https://www.prnewswire.com/news-releases/marriott-international-highlights-esg-progress-in-annual-serve-360-report-302192986.html" TargetMode="External"/><Relationship Id="rId10" Type="http://schemas.openxmlformats.org/officeDocument/2006/relationships/hyperlink" Target="https://www.deloitte.com/uk/en/Industries/consumer/blogs/sustainability-in-the-hospitality-industry.html" TargetMode="External"/><Relationship Id="rId31" Type="http://schemas.openxmlformats.org/officeDocument/2006/relationships/hyperlink" Target="https://serve360.marriott.com/wp-content/uploads/2019/10/Serve-360-goals-page-tabloid_2-updated-20180916-English.pdf" TargetMode="External"/><Relationship Id="rId44" Type="http://schemas.openxmlformats.org/officeDocument/2006/relationships/hyperlink" Target="https://serve360.marriott.com/wp-content/uploads/2021/09/2021_Serve_360_Report.pdf" TargetMode="External"/><Relationship Id="rId52" Type="http://schemas.openxmlformats.org/officeDocument/2006/relationships/hyperlink" Target="https://www.prnewswire.com/news-releases/marriott-international-highlights-esg-progress-in-annual-serve-360-report-302192986.html" TargetMode="External"/><Relationship Id="rId60" Type="http://schemas.openxmlformats.org/officeDocument/2006/relationships/hyperlink" Target="https://www.prnewswire.com/news-releases/marriott-international-highlights-esg-progress-in-annual-serve-360-report-302192986.html" TargetMode="External"/><Relationship Id="rId65" Type="http://schemas.openxmlformats.org/officeDocument/2006/relationships/hyperlink" Target="https://www.prnewswire.com/news-releases/marriott-international-highlights-esg-progress-in-annual-serve-360-report-302192986.html" TargetMode="External"/><Relationship Id="rId73" Type="http://schemas.openxmlformats.org/officeDocument/2006/relationships/hyperlink" Target="https://www.un.org/sustainabledevelopment/sustainable-development-goals/" TargetMode="External"/><Relationship Id="rId78"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deloitte.com/uk/en/Industries/consumer/blogs/sustainability-in-the-hospitality-industry.html" TargetMode="External"/><Relationship Id="rId13" Type="http://schemas.openxmlformats.org/officeDocument/2006/relationships/hyperlink" Target="https://www.deloitte.com/uk/en/Industries/consumer/blogs/sustainability-in-the-hospitality-industry.html" TargetMode="External"/><Relationship Id="rId18" Type="http://schemas.openxmlformats.org/officeDocument/2006/relationships/hyperlink" Target="https://serve360.marriott.com/sustain/" TargetMode="External"/><Relationship Id="rId39" Type="http://schemas.openxmlformats.org/officeDocument/2006/relationships/hyperlink" Target="https://serve360.marriott.com/wp-content/uploads/2025/07/2025AroundTheWorld.pdf" TargetMode="External"/><Relationship Id="rId34" Type="http://schemas.openxmlformats.org/officeDocument/2006/relationships/hyperlink" Target="https://serve360.marriott.com/wp-content/uploads/2019/10/Serve-360-goals-page-tabloid_2-updated-20180916-English.pdf" TargetMode="External"/><Relationship Id="rId50" Type="http://schemas.openxmlformats.org/officeDocument/2006/relationships/hyperlink" Target="https://www.prnewswire.com/news-releases/marriott-international-highlights-esg-progress-in-annual-serve-360-report-302192986.html" TargetMode="External"/><Relationship Id="rId55" Type="http://schemas.openxmlformats.org/officeDocument/2006/relationships/hyperlink" Target="https://www.prnewswire.com/news-releases/marriott-international-highlights-esg-progress-in-annual-serve-360-report-302192986.html" TargetMode="External"/><Relationship Id="rId76" Type="http://schemas.openxmlformats.org/officeDocument/2006/relationships/footer" Target="footer2.xml"/><Relationship Id="rId7" Type="http://schemas.openxmlformats.org/officeDocument/2006/relationships/hyperlink" Target="https://www.deloitte.com/uk/en/Industries/consumer/blogs/sustainability-in-the-hospitality-industry.html" TargetMode="External"/><Relationship Id="rId71" Type="http://schemas.openxmlformats.org/officeDocument/2006/relationships/hyperlink" Target="https://www.un.org/sustainabledevelopment/sustainable-development-goals/" TargetMode="External"/><Relationship Id="rId2" Type="http://schemas.openxmlformats.org/officeDocument/2006/relationships/settings" Target="settings.xml"/><Relationship Id="rId29" Type="http://schemas.openxmlformats.org/officeDocument/2006/relationships/hyperlink" Target="https://serve360.marriott.com/wp-content/uploads/2019/10/Serve-360-goals-page-tabloid_2-updated-20180916-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3674</Words>
  <Characters>24068</Characters>
  <Application>Microsoft Office Word</Application>
  <DocSecurity>0</DocSecurity>
  <Lines>394</Lines>
  <Paragraphs>74</Paragraphs>
  <ScaleCrop>false</ScaleCrop>
  <Company/>
  <LinksUpToDate>false</LinksUpToDate>
  <CharactersWithSpaces>27668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Iuliana Giurgiu (2240417)</dc:creator>
  <cp:keywords/>
  <cp:lastModifiedBy>Gabriela Iuliana Giurgiu (2240417)</cp:lastModifiedBy>
  <cp:revision>9</cp:revision>
  <dcterms:created xsi:type="dcterms:W3CDTF">2025-10-20T11:18:00Z</dcterms:created>
  <dcterms:modified xsi:type="dcterms:W3CDTF">2025-10-20T11:26:00Z</dcterms:modified>
</cp:coreProperties>
</file>