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6E02" w:rsidRPr="005B58F7" w:rsidRDefault="00096E02" w:rsidP="00096E02">
      <w:pPr>
        <w:jc w:val="center"/>
        <w:rPr>
          <w:rFonts w:ascii="Arial" w:hAnsi="Arial" w:cs="Arial"/>
          <w:b/>
          <w:i/>
          <w:sz w:val="28"/>
          <w:szCs w:val="24"/>
        </w:rPr>
      </w:pPr>
      <w:r w:rsidRPr="005B58F7">
        <w:rPr>
          <w:rFonts w:ascii="Arial" w:hAnsi="Arial" w:cs="Arial"/>
          <w:b/>
          <w:i/>
          <w:sz w:val="28"/>
          <w:szCs w:val="24"/>
        </w:rPr>
        <w:t>Advanced Application of Employment Law – Task 2</w:t>
      </w:r>
    </w:p>
    <w:p w:rsidR="00A369EA" w:rsidRPr="00096E02" w:rsidRDefault="00102161" w:rsidP="00096E02">
      <w:pPr>
        <w:jc w:val="center"/>
        <w:rPr>
          <w:rFonts w:ascii="Arial" w:hAnsi="Arial" w:cs="Arial"/>
          <w:b/>
          <w:sz w:val="24"/>
          <w:szCs w:val="24"/>
        </w:rPr>
      </w:pPr>
      <w:r>
        <w:rPr>
          <w:rFonts w:ascii="Arial" w:hAnsi="Arial" w:cs="Arial"/>
          <w:b/>
          <w:sz w:val="24"/>
          <w:szCs w:val="24"/>
        </w:rPr>
        <w:t>Awareness, Inclusion and Support of Transgender People at Tyndall Hugh School</w:t>
      </w:r>
    </w:p>
    <w:p w:rsidR="00102161" w:rsidRDefault="00102161" w:rsidP="00B22942">
      <w:pPr>
        <w:tabs>
          <w:tab w:val="left" w:pos="950"/>
        </w:tabs>
        <w:rPr>
          <w:rFonts w:ascii="Arial" w:hAnsi="Arial" w:cs="Arial"/>
          <w:sz w:val="24"/>
          <w:szCs w:val="24"/>
        </w:rPr>
      </w:pPr>
      <w:r>
        <w:rPr>
          <w:rFonts w:ascii="Arial" w:hAnsi="Arial" w:cs="Arial"/>
          <w:sz w:val="24"/>
          <w:szCs w:val="24"/>
        </w:rPr>
        <w:t xml:space="preserve">Tyndall High School </w:t>
      </w:r>
      <w:r w:rsidRPr="00096E02">
        <w:rPr>
          <w:rFonts w:ascii="Arial" w:hAnsi="Arial" w:cs="Arial"/>
          <w:sz w:val="24"/>
          <w:szCs w:val="24"/>
        </w:rPr>
        <w:t>promot</w:t>
      </w:r>
      <w:r>
        <w:rPr>
          <w:rFonts w:ascii="Arial" w:hAnsi="Arial" w:cs="Arial"/>
          <w:sz w:val="24"/>
          <w:szCs w:val="24"/>
        </w:rPr>
        <w:t>es</w:t>
      </w:r>
      <w:r w:rsidRPr="00096E02">
        <w:rPr>
          <w:rFonts w:ascii="Arial" w:hAnsi="Arial" w:cs="Arial"/>
          <w:sz w:val="24"/>
          <w:szCs w:val="24"/>
        </w:rPr>
        <w:t xml:space="preserve"> an inclusive work force for all colleagues and pupils</w:t>
      </w:r>
      <w:r>
        <w:rPr>
          <w:rFonts w:ascii="Arial" w:hAnsi="Arial" w:cs="Arial"/>
          <w:sz w:val="24"/>
          <w:szCs w:val="24"/>
        </w:rPr>
        <w:t>. W</w:t>
      </w:r>
      <w:r w:rsidRPr="00096E02">
        <w:rPr>
          <w:rFonts w:ascii="Arial" w:hAnsi="Arial" w:cs="Arial"/>
          <w:sz w:val="24"/>
          <w:szCs w:val="24"/>
        </w:rPr>
        <w:t>ith a focus on the protection and inclusion of transgender individuals</w:t>
      </w:r>
      <w:r>
        <w:rPr>
          <w:rFonts w:ascii="Arial" w:hAnsi="Arial" w:cs="Arial"/>
          <w:sz w:val="24"/>
          <w:szCs w:val="24"/>
        </w:rPr>
        <w:t>, t</w:t>
      </w:r>
      <w:r w:rsidRPr="00096E02">
        <w:rPr>
          <w:rFonts w:ascii="Arial" w:hAnsi="Arial" w:cs="Arial"/>
          <w:sz w:val="24"/>
          <w:szCs w:val="24"/>
        </w:rPr>
        <w:t xml:space="preserve">his leaflet sets out key legal considerations and expectations </w:t>
      </w:r>
      <w:r>
        <w:rPr>
          <w:rFonts w:ascii="Arial" w:hAnsi="Arial" w:cs="Arial"/>
          <w:sz w:val="24"/>
          <w:szCs w:val="24"/>
        </w:rPr>
        <w:t xml:space="preserve">for our staff. </w:t>
      </w:r>
    </w:p>
    <w:p w:rsidR="00857316" w:rsidRPr="00096E02" w:rsidRDefault="00096E02" w:rsidP="00B22942">
      <w:pPr>
        <w:tabs>
          <w:tab w:val="left" w:pos="950"/>
        </w:tabs>
        <w:rPr>
          <w:rFonts w:ascii="Arial" w:hAnsi="Arial" w:cs="Arial"/>
          <w:sz w:val="24"/>
          <w:szCs w:val="24"/>
        </w:rPr>
      </w:pPr>
      <w:r>
        <w:rPr>
          <w:rFonts w:ascii="Arial" w:hAnsi="Arial" w:cs="Arial"/>
          <w:sz w:val="24"/>
          <w:szCs w:val="24"/>
        </w:rPr>
        <w:t>As a</w:t>
      </w:r>
      <w:r w:rsidR="00857316" w:rsidRPr="00096E02">
        <w:rPr>
          <w:rFonts w:ascii="Arial" w:hAnsi="Arial" w:cs="Arial"/>
          <w:sz w:val="24"/>
          <w:szCs w:val="24"/>
        </w:rPr>
        <w:t xml:space="preserve"> diverse society </w:t>
      </w:r>
      <w:r w:rsidR="00063FBF" w:rsidRPr="00096E02">
        <w:rPr>
          <w:rFonts w:ascii="Arial" w:hAnsi="Arial" w:cs="Arial"/>
          <w:sz w:val="24"/>
          <w:szCs w:val="24"/>
        </w:rPr>
        <w:t xml:space="preserve">positive progression has been seen in the </w:t>
      </w:r>
      <w:r w:rsidR="00BA2BD7" w:rsidRPr="00096E02">
        <w:rPr>
          <w:rFonts w:ascii="Arial" w:hAnsi="Arial" w:cs="Arial"/>
          <w:sz w:val="24"/>
          <w:szCs w:val="24"/>
        </w:rPr>
        <w:t xml:space="preserve">legal equality of the lesbian, gay, bisexual and transgender (LGBT) community </w:t>
      </w:r>
      <w:r w:rsidR="00125C0A" w:rsidRPr="00096E02">
        <w:rPr>
          <w:rFonts w:ascii="Arial" w:hAnsi="Arial" w:cs="Arial"/>
          <w:sz w:val="24"/>
          <w:szCs w:val="24"/>
        </w:rPr>
        <w:t xml:space="preserve">in recent years </w:t>
      </w:r>
      <w:r w:rsidR="00BA2BD7" w:rsidRPr="00096E02">
        <w:rPr>
          <w:rFonts w:ascii="Arial" w:hAnsi="Arial" w:cs="Arial"/>
          <w:sz w:val="24"/>
          <w:szCs w:val="24"/>
        </w:rPr>
        <w:t>(Channing and Ward, 2017)</w:t>
      </w:r>
      <w:r w:rsidR="00125C0A" w:rsidRPr="00096E02">
        <w:rPr>
          <w:rFonts w:ascii="Arial" w:hAnsi="Arial" w:cs="Arial"/>
          <w:sz w:val="24"/>
          <w:szCs w:val="24"/>
        </w:rPr>
        <w:t xml:space="preserve">. </w:t>
      </w:r>
      <w:r w:rsidR="00434E69" w:rsidRPr="00096E02">
        <w:rPr>
          <w:rFonts w:ascii="Arial" w:hAnsi="Arial" w:cs="Arial"/>
          <w:sz w:val="24"/>
          <w:szCs w:val="24"/>
        </w:rPr>
        <w:t>However,</w:t>
      </w:r>
      <w:r w:rsidR="00125C0A" w:rsidRPr="00096E02">
        <w:rPr>
          <w:rFonts w:ascii="Arial" w:hAnsi="Arial" w:cs="Arial"/>
          <w:sz w:val="24"/>
          <w:szCs w:val="24"/>
        </w:rPr>
        <w:t xml:space="preserve"> </w:t>
      </w:r>
      <w:r w:rsidR="00BA2BD7" w:rsidRPr="00096E02">
        <w:rPr>
          <w:rFonts w:ascii="Arial" w:hAnsi="Arial" w:cs="Arial"/>
          <w:sz w:val="24"/>
          <w:szCs w:val="24"/>
        </w:rPr>
        <w:t xml:space="preserve">the national LGBT survey highlighted </w:t>
      </w:r>
      <w:r w:rsidR="00125C0A" w:rsidRPr="00096E02">
        <w:rPr>
          <w:rFonts w:ascii="Arial" w:hAnsi="Arial" w:cs="Arial"/>
          <w:sz w:val="24"/>
          <w:szCs w:val="24"/>
        </w:rPr>
        <w:t>the persistence of homophobic, bi-phobic, and transphobic bullying and overall barriers to full participation in public life in the education sector</w:t>
      </w:r>
      <w:r w:rsidR="007E3B5D" w:rsidRPr="00096E02">
        <w:rPr>
          <w:rFonts w:ascii="Arial" w:hAnsi="Arial" w:cs="Arial"/>
          <w:sz w:val="24"/>
          <w:szCs w:val="24"/>
        </w:rPr>
        <w:t xml:space="preserve"> with 67% of transgender (trans) respondents reporting fear of a negative reaction about their gender identity</w:t>
      </w:r>
      <w:r w:rsidR="00125C0A" w:rsidRPr="00096E02">
        <w:rPr>
          <w:rFonts w:ascii="Arial" w:hAnsi="Arial" w:cs="Arial"/>
          <w:sz w:val="24"/>
          <w:szCs w:val="24"/>
        </w:rPr>
        <w:t xml:space="preserve"> (Government Equalities Office, 2019). </w:t>
      </w:r>
    </w:p>
    <w:p w:rsidR="004D623E" w:rsidRPr="00096E02" w:rsidRDefault="004D623E" w:rsidP="00B22942">
      <w:pPr>
        <w:tabs>
          <w:tab w:val="left" w:pos="950"/>
        </w:tabs>
        <w:rPr>
          <w:rFonts w:ascii="Arial" w:hAnsi="Arial" w:cs="Arial"/>
          <w:sz w:val="24"/>
          <w:szCs w:val="24"/>
        </w:rPr>
      </w:pPr>
      <w:r w:rsidRPr="00096E02">
        <w:rPr>
          <w:rFonts w:ascii="Arial" w:hAnsi="Arial" w:cs="Arial"/>
          <w:sz w:val="24"/>
          <w:szCs w:val="24"/>
        </w:rPr>
        <w:t xml:space="preserve">Challenges for trans and non-binary people in the working environment include bullying, harassment, discrimination, difficulty in gaining employment, and a general lack of awareness from colleagues about gender identity (Prosser, 2021). </w:t>
      </w:r>
    </w:p>
    <w:p w:rsidR="00434E69" w:rsidRPr="00096E02" w:rsidRDefault="00A8070D" w:rsidP="00096E02">
      <w:pPr>
        <w:tabs>
          <w:tab w:val="left" w:pos="950"/>
        </w:tabs>
        <w:jc w:val="center"/>
        <w:rPr>
          <w:rFonts w:ascii="Arial" w:hAnsi="Arial" w:cs="Arial"/>
          <w:b/>
          <w:i/>
          <w:sz w:val="24"/>
          <w:szCs w:val="24"/>
        </w:rPr>
      </w:pPr>
      <w:r w:rsidRPr="00096E02">
        <w:rPr>
          <w:rFonts w:ascii="Arial" w:hAnsi="Arial" w:cs="Arial"/>
          <w:b/>
          <w:i/>
          <w:sz w:val="24"/>
          <w:szCs w:val="24"/>
        </w:rPr>
        <w:t>Key Language</w:t>
      </w:r>
    </w:p>
    <w:p w:rsidR="00A8070D" w:rsidRPr="00096E02" w:rsidRDefault="00A8070D" w:rsidP="00096E02">
      <w:pPr>
        <w:tabs>
          <w:tab w:val="left" w:pos="950"/>
        </w:tabs>
        <w:jc w:val="center"/>
        <w:rPr>
          <w:rFonts w:ascii="Arial" w:hAnsi="Arial" w:cs="Arial"/>
          <w:b/>
          <w:i/>
          <w:sz w:val="24"/>
          <w:szCs w:val="24"/>
        </w:rPr>
      </w:pPr>
      <w:r w:rsidRPr="00096E02">
        <w:rPr>
          <w:rFonts w:ascii="Arial" w:hAnsi="Arial" w:cs="Arial"/>
          <w:b/>
          <w:i/>
          <w:sz w:val="24"/>
          <w:szCs w:val="24"/>
        </w:rPr>
        <w:t>“</w:t>
      </w:r>
      <w:r w:rsidR="00096E02">
        <w:rPr>
          <w:rFonts w:ascii="Arial" w:hAnsi="Arial" w:cs="Arial"/>
          <w:b/>
          <w:i/>
          <w:sz w:val="24"/>
          <w:szCs w:val="24"/>
        </w:rPr>
        <w:t xml:space="preserve">Transgender / </w:t>
      </w:r>
      <w:r w:rsidRPr="00096E02">
        <w:rPr>
          <w:rFonts w:ascii="Arial" w:hAnsi="Arial" w:cs="Arial"/>
          <w:b/>
          <w:i/>
          <w:sz w:val="24"/>
          <w:szCs w:val="24"/>
        </w:rPr>
        <w:t>Trans”</w:t>
      </w:r>
    </w:p>
    <w:p w:rsidR="00125C0A" w:rsidRPr="00096E02" w:rsidRDefault="007E3B5D" w:rsidP="00096E02">
      <w:pPr>
        <w:tabs>
          <w:tab w:val="left" w:pos="950"/>
        </w:tabs>
        <w:jc w:val="center"/>
        <w:rPr>
          <w:rFonts w:ascii="Arial" w:hAnsi="Arial" w:cs="Arial"/>
          <w:sz w:val="24"/>
          <w:szCs w:val="24"/>
        </w:rPr>
      </w:pPr>
      <w:r w:rsidRPr="00096E02">
        <w:rPr>
          <w:rFonts w:ascii="Arial" w:hAnsi="Arial" w:cs="Arial"/>
          <w:sz w:val="24"/>
          <w:szCs w:val="24"/>
        </w:rPr>
        <w:t>“An umbrella term for people whose gender identity and/or gender expression differs from what is typically associated with the sex they were assigned at birth” (</w:t>
      </w:r>
      <w:r w:rsidR="00137686" w:rsidRPr="00096E02">
        <w:rPr>
          <w:rFonts w:ascii="Arial" w:hAnsi="Arial" w:cs="Arial"/>
          <w:sz w:val="24"/>
          <w:szCs w:val="24"/>
        </w:rPr>
        <w:t>American Psychological Association</w:t>
      </w:r>
      <w:r w:rsidRPr="00096E02">
        <w:rPr>
          <w:rFonts w:ascii="Arial" w:hAnsi="Arial" w:cs="Arial"/>
          <w:sz w:val="24"/>
          <w:szCs w:val="24"/>
        </w:rPr>
        <w:t>,</w:t>
      </w:r>
      <w:r w:rsidR="00137686" w:rsidRPr="00096E02">
        <w:rPr>
          <w:rFonts w:ascii="Arial" w:hAnsi="Arial" w:cs="Arial"/>
          <w:sz w:val="24"/>
          <w:szCs w:val="24"/>
        </w:rPr>
        <w:t xml:space="preserve"> </w:t>
      </w:r>
      <w:r w:rsidRPr="00096E02">
        <w:rPr>
          <w:rFonts w:ascii="Arial" w:hAnsi="Arial" w:cs="Arial"/>
          <w:sz w:val="24"/>
          <w:szCs w:val="24"/>
        </w:rPr>
        <w:t>2023)</w:t>
      </w:r>
    </w:p>
    <w:p w:rsidR="00A8070D" w:rsidRPr="00096E02" w:rsidRDefault="00A8070D" w:rsidP="00096E02">
      <w:pPr>
        <w:tabs>
          <w:tab w:val="left" w:pos="950"/>
        </w:tabs>
        <w:jc w:val="center"/>
        <w:rPr>
          <w:rFonts w:ascii="Arial" w:hAnsi="Arial" w:cs="Arial"/>
          <w:b/>
          <w:sz w:val="24"/>
          <w:szCs w:val="24"/>
        </w:rPr>
      </w:pPr>
      <w:r w:rsidRPr="00096E02">
        <w:rPr>
          <w:rFonts w:ascii="Arial" w:hAnsi="Arial" w:cs="Arial"/>
          <w:b/>
          <w:sz w:val="24"/>
          <w:szCs w:val="24"/>
        </w:rPr>
        <w:t>“Non-Binary”</w:t>
      </w:r>
    </w:p>
    <w:p w:rsidR="00F754EC" w:rsidRPr="00096E02" w:rsidRDefault="00137686" w:rsidP="00096E02">
      <w:pPr>
        <w:tabs>
          <w:tab w:val="left" w:pos="950"/>
        </w:tabs>
        <w:jc w:val="center"/>
        <w:rPr>
          <w:rFonts w:ascii="Arial" w:hAnsi="Arial" w:cs="Arial"/>
          <w:sz w:val="24"/>
          <w:szCs w:val="24"/>
        </w:rPr>
      </w:pPr>
      <w:r w:rsidRPr="00096E02">
        <w:rPr>
          <w:rFonts w:ascii="Arial" w:hAnsi="Arial" w:cs="Arial"/>
          <w:sz w:val="24"/>
          <w:szCs w:val="24"/>
        </w:rPr>
        <w:t>“A general term for people whose gender identity doesn’t sit comfortably with ‘man’ or ‘woman’. (Stonewall, 2022)</w:t>
      </w:r>
    </w:p>
    <w:p w:rsidR="00A8070D" w:rsidRPr="00096E02" w:rsidRDefault="00A8070D" w:rsidP="00096E02">
      <w:pPr>
        <w:tabs>
          <w:tab w:val="left" w:pos="950"/>
        </w:tabs>
        <w:jc w:val="center"/>
        <w:rPr>
          <w:rFonts w:ascii="Arial" w:hAnsi="Arial" w:cs="Arial"/>
          <w:b/>
          <w:sz w:val="24"/>
          <w:szCs w:val="24"/>
        </w:rPr>
      </w:pPr>
      <w:r w:rsidRPr="00096E02">
        <w:rPr>
          <w:rFonts w:ascii="Arial" w:hAnsi="Arial" w:cs="Arial"/>
          <w:b/>
          <w:sz w:val="24"/>
          <w:szCs w:val="24"/>
        </w:rPr>
        <w:t>“Transitioning”</w:t>
      </w:r>
    </w:p>
    <w:p w:rsidR="0023212A" w:rsidRDefault="00A8070D" w:rsidP="00096E02">
      <w:pPr>
        <w:tabs>
          <w:tab w:val="left" w:pos="950"/>
        </w:tabs>
        <w:jc w:val="center"/>
        <w:rPr>
          <w:rFonts w:ascii="Arial" w:hAnsi="Arial" w:cs="Arial"/>
          <w:sz w:val="24"/>
          <w:szCs w:val="24"/>
        </w:rPr>
      </w:pPr>
      <w:r w:rsidRPr="00096E02">
        <w:rPr>
          <w:rFonts w:ascii="Arial" w:hAnsi="Arial" w:cs="Arial"/>
          <w:sz w:val="24"/>
          <w:szCs w:val="24"/>
        </w:rPr>
        <w:t xml:space="preserve">Describes the process whereby a person aligns their physical identity to match their gender identity and will be a different experience for each person. It may involve changing the way an individual dressed, changing their pronouns, or undertaking </w:t>
      </w:r>
      <w:r w:rsidR="00096E02">
        <w:rPr>
          <w:rFonts w:ascii="Arial" w:hAnsi="Arial" w:cs="Arial"/>
          <w:sz w:val="24"/>
          <w:szCs w:val="24"/>
        </w:rPr>
        <w:t>medical</w:t>
      </w:r>
      <w:r w:rsidRPr="00096E02">
        <w:rPr>
          <w:rFonts w:ascii="Arial" w:hAnsi="Arial" w:cs="Arial"/>
          <w:sz w:val="24"/>
          <w:szCs w:val="24"/>
        </w:rPr>
        <w:t xml:space="preserve"> treatment or surgery (Stonewall, No Date).</w:t>
      </w:r>
    </w:p>
    <w:p w:rsidR="006348C5" w:rsidRPr="00096E02" w:rsidRDefault="006348C5" w:rsidP="006348C5">
      <w:pPr>
        <w:tabs>
          <w:tab w:val="left" w:pos="950"/>
        </w:tabs>
        <w:rPr>
          <w:rFonts w:ascii="Arial" w:hAnsi="Arial" w:cs="Arial"/>
          <w:sz w:val="24"/>
          <w:szCs w:val="24"/>
        </w:rPr>
      </w:pPr>
      <w:r w:rsidRPr="00096E02">
        <w:rPr>
          <w:rFonts w:ascii="Arial" w:hAnsi="Arial" w:cs="Arial"/>
          <w:sz w:val="24"/>
          <w:szCs w:val="24"/>
        </w:rPr>
        <w:t xml:space="preserve">We would encourage </w:t>
      </w:r>
      <w:r w:rsidR="003D42E8">
        <w:rPr>
          <w:rFonts w:ascii="Arial" w:hAnsi="Arial" w:cs="Arial"/>
          <w:sz w:val="24"/>
          <w:szCs w:val="24"/>
        </w:rPr>
        <w:t>you</w:t>
      </w:r>
      <w:r w:rsidRPr="00096E02">
        <w:rPr>
          <w:rFonts w:ascii="Arial" w:hAnsi="Arial" w:cs="Arial"/>
          <w:sz w:val="24"/>
          <w:szCs w:val="24"/>
        </w:rPr>
        <w:t xml:space="preserve"> to familiarise yourselves with LGBTQ+ terms as we appreciate some colleagues may have gaps in their understanding to help support an inclusive environment for our staff and pupils (Dunn, 2020). The charity ‘Stonewall’ has put together a useful guide to help understand key terms available at </w:t>
      </w:r>
      <w:hyperlink r:id="rId7" w:history="1">
        <w:r w:rsidRPr="00096E02">
          <w:rPr>
            <w:rFonts w:ascii="Arial" w:hAnsi="Arial" w:cs="Arial"/>
            <w:sz w:val="24"/>
            <w:szCs w:val="24"/>
          </w:rPr>
          <w:t>http://www.stonewall.org.uk/list-lgbtq-terms</w:t>
        </w:r>
      </w:hyperlink>
      <w:r w:rsidRPr="00096E02">
        <w:rPr>
          <w:rFonts w:ascii="Arial" w:hAnsi="Arial" w:cs="Arial"/>
          <w:sz w:val="24"/>
          <w:szCs w:val="24"/>
        </w:rPr>
        <w:t xml:space="preserve">  </w:t>
      </w:r>
    </w:p>
    <w:p w:rsidR="00B22942" w:rsidRPr="00096E02" w:rsidRDefault="00C43A4F" w:rsidP="0023212A">
      <w:pPr>
        <w:tabs>
          <w:tab w:val="left" w:pos="950"/>
        </w:tabs>
        <w:jc w:val="center"/>
        <w:rPr>
          <w:rFonts w:ascii="Arial" w:hAnsi="Arial" w:cs="Arial"/>
          <w:b/>
          <w:sz w:val="24"/>
          <w:szCs w:val="24"/>
        </w:rPr>
      </w:pPr>
      <w:r w:rsidRPr="00096E02">
        <w:rPr>
          <w:rFonts w:ascii="Arial" w:hAnsi="Arial" w:cs="Arial"/>
          <w:b/>
          <w:sz w:val="24"/>
          <w:szCs w:val="24"/>
        </w:rPr>
        <w:t xml:space="preserve">Know the Law - </w:t>
      </w:r>
      <w:r w:rsidR="00B22942" w:rsidRPr="00096E02">
        <w:rPr>
          <w:rFonts w:ascii="Arial" w:hAnsi="Arial" w:cs="Arial"/>
          <w:b/>
          <w:sz w:val="24"/>
          <w:szCs w:val="24"/>
        </w:rPr>
        <w:t>Legal Protections in place</w:t>
      </w:r>
    </w:p>
    <w:p w:rsidR="00434E69" w:rsidRPr="00096E02" w:rsidRDefault="00434E69" w:rsidP="00B22942">
      <w:pPr>
        <w:tabs>
          <w:tab w:val="left" w:pos="950"/>
        </w:tabs>
        <w:rPr>
          <w:rFonts w:ascii="Arial" w:hAnsi="Arial" w:cs="Arial"/>
          <w:sz w:val="24"/>
          <w:szCs w:val="24"/>
        </w:rPr>
      </w:pPr>
      <w:r w:rsidRPr="00096E02">
        <w:rPr>
          <w:rFonts w:ascii="Arial" w:hAnsi="Arial" w:cs="Arial"/>
          <w:sz w:val="24"/>
          <w:szCs w:val="24"/>
        </w:rPr>
        <w:t xml:space="preserve">There have been </w:t>
      </w:r>
      <w:r w:rsidR="00C43A4F" w:rsidRPr="00096E02">
        <w:rPr>
          <w:rFonts w:ascii="Arial" w:hAnsi="Arial" w:cs="Arial"/>
          <w:sz w:val="24"/>
          <w:szCs w:val="24"/>
        </w:rPr>
        <w:t xml:space="preserve">a number of </w:t>
      </w:r>
      <w:r w:rsidRPr="00096E02">
        <w:rPr>
          <w:rFonts w:ascii="Arial" w:hAnsi="Arial" w:cs="Arial"/>
          <w:sz w:val="24"/>
          <w:szCs w:val="24"/>
        </w:rPr>
        <w:t xml:space="preserve">inclusion-focused legal and social reforms supporting an emerging acceptance of </w:t>
      </w:r>
      <w:r w:rsidR="00181429">
        <w:rPr>
          <w:rFonts w:ascii="Arial" w:hAnsi="Arial" w:cs="Arial"/>
          <w:sz w:val="24"/>
          <w:szCs w:val="24"/>
        </w:rPr>
        <w:t xml:space="preserve">transgender equality and </w:t>
      </w:r>
      <w:r w:rsidRPr="00096E02">
        <w:rPr>
          <w:rFonts w:ascii="Arial" w:hAnsi="Arial" w:cs="Arial"/>
          <w:sz w:val="24"/>
          <w:szCs w:val="24"/>
        </w:rPr>
        <w:t>self-identified genders (Raj and Dunne, 2021)</w:t>
      </w:r>
      <w:r w:rsidR="00C43A4F" w:rsidRPr="00096E02">
        <w:rPr>
          <w:rFonts w:ascii="Arial" w:hAnsi="Arial" w:cs="Arial"/>
          <w:sz w:val="24"/>
          <w:szCs w:val="24"/>
        </w:rPr>
        <w:t xml:space="preserve">. It is therefore important as staff at Tyndall High, you are aware of the legal protections in place to support transgender and non-binary individuals: </w:t>
      </w:r>
    </w:p>
    <w:p w:rsidR="00C43A4F" w:rsidRPr="00096E02" w:rsidRDefault="00C43A4F" w:rsidP="00B22942">
      <w:pPr>
        <w:tabs>
          <w:tab w:val="left" w:pos="950"/>
        </w:tabs>
        <w:rPr>
          <w:rFonts w:ascii="Arial" w:hAnsi="Arial" w:cs="Arial"/>
          <w:b/>
          <w:i/>
          <w:sz w:val="24"/>
          <w:szCs w:val="24"/>
        </w:rPr>
      </w:pPr>
      <w:r w:rsidRPr="00096E02">
        <w:rPr>
          <w:rFonts w:ascii="Arial" w:hAnsi="Arial" w:cs="Arial"/>
          <w:b/>
          <w:i/>
          <w:sz w:val="24"/>
          <w:szCs w:val="24"/>
        </w:rPr>
        <w:lastRenderedPageBreak/>
        <w:t>The Equality Act 2010</w:t>
      </w:r>
    </w:p>
    <w:p w:rsidR="00C43A4F" w:rsidRPr="00096E02" w:rsidRDefault="00C43A4F" w:rsidP="00B22942">
      <w:pPr>
        <w:tabs>
          <w:tab w:val="left" w:pos="950"/>
        </w:tabs>
        <w:rPr>
          <w:rFonts w:ascii="Arial" w:hAnsi="Arial" w:cs="Arial"/>
          <w:sz w:val="24"/>
          <w:szCs w:val="24"/>
        </w:rPr>
      </w:pPr>
      <w:r w:rsidRPr="00096E02">
        <w:rPr>
          <w:rFonts w:ascii="Arial" w:hAnsi="Arial" w:cs="Arial"/>
          <w:sz w:val="24"/>
          <w:szCs w:val="24"/>
        </w:rPr>
        <w:t xml:space="preserve">The equality act sets out gender reassignment as a protected characteristic to provide protection from discrimination in </w:t>
      </w:r>
      <w:r w:rsidR="00D14263" w:rsidRPr="00096E02">
        <w:rPr>
          <w:rFonts w:ascii="Arial" w:hAnsi="Arial" w:cs="Arial"/>
          <w:sz w:val="24"/>
          <w:szCs w:val="24"/>
        </w:rPr>
        <w:t xml:space="preserve">relation to any person who is proposing to undergo, </w:t>
      </w:r>
      <w:r w:rsidR="00181429">
        <w:rPr>
          <w:rFonts w:ascii="Arial" w:hAnsi="Arial" w:cs="Arial"/>
          <w:sz w:val="24"/>
          <w:szCs w:val="24"/>
        </w:rPr>
        <w:t>undergoing</w:t>
      </w:r>
      <w:r w:rsidR="00D14263" w:rsidRPr="00096E02">
        <w:rPr>
          <w:rFonts w:ascii="Arial" w:hAnsi="Arial" w:cs="Arial"/>
          <w:sz w:val="24"/>
          <w:szCs w:val="24"/>
        </w:rPr>
        <w:t xml:space="preserve">, or </w:t>
      </w:r>
      <w:r w:rsidR="00181429">
        <w:rPr>
          <w:rFonts w:ascii="Arial" w:hAnsi="Arial" w:cs="Arial"/>
          <w:sz w:val="24"/>
          <w:szCs w:val="24"/>
        </w:rPr>
        <w:t>who has undergone</w:t>
      </w:r>
      <w:r w:rsidR="00D14263" w:rsidRPr="00096E02">
        <w:rPr>
          <w:rFonts w:ascii="Arial" w:hAnsi="Arial" w:cs="Arial"/>
          <w:sz w:val="24"/>
          <w:szCs w:val="24"/>
        </w:rPr>
        <w:t xml:space="preserve"> part of the process to reassign their sex</w:t>
      </w:r>
      <w:r w:rsidR="00B750EB" w:rsidRPr="00096E02">
        <w:rPr>
          <w:rFonts w:ascii="Arial" w:hAnsi="Arial" w:cs="Arial"/>
          <w:sz w:val="24"/>
          <w:szCs w:val="24"/>
        </w:rPr>
        <w:t xml:space="preserve"> (</w:t>
      </w:r>
      <w:r w:rsidR="00D33657" w:rsidRPr="00096E02">
        <w:rPr>
          <w:rFonts w:ascii="Arial" w:hAnsi="Arial" w:cs="Arial"/>
          <w:sz w:val="24"/>
          <w:szCs w:val="24"/>
        </w:rPr>
        <w:t>ACAS, 2022</w:t>
      </w:r>
      <w:r w:rsidR="00B750EB" w:rsidRPr="00096E02">
        <w:rPr>
          <w:rFonts w:ascii="Arial" w:hAnsi="Arial" w:cs="Arial"/>
          <w:sz w:val="24"/>
          <w:szCs w:val="24"/>
        </w:rPr>
        <w:t>)</w:t>
      </w:r>
      <w:r w:rsidR="00181429">
        <w:rPr>
          <w:rFonts w:ascii="Arial" w:hAnsi="Arial" w:cs="Arial"/>
          <w:sz w:val="24"/>
          <w:szCs w:val="24"/>
        </w:rPr>
        <w:t xml:space="preserve">. </w:t>
      </w:r>
      <w:r w:rsidR="00D14263" w:rsidRPr="00096E02">
        <w:rPr>
          <w:rFonts w:ascii="Arial" w:hAnsi="Arial" w:cs="Arial"/>
          <w:sz w:val="24"/>
          <w:szCs w:val="24"/>
        </w:rPr>
        <w:t xml:space="preserve"> </w:t>
      </w:r>
    </w:p>
    <w:p w:rsidR="00181429" w:rsidRDefault="00B750EB" w:rsidP="00B22942">
      <w:pPr>
        <w:tabs>
          <w:tab w:val="left" w:pos="950"/>
        </w:tabs>
        <w:rPr>
          <w:rFonts w:ascii="Arial" w:hAnsi="Arial" w:cs="Arial"/>
          <w:sz w:val="24"/>
          <w:szCs w:val="24"/>
        </w:rPr>
      </w:pPr>
      <w:r w:rsidRPr="00096E02">
        <w:rPr>
          <w:rFonts w:ascii="Arial" w:hAnsi="Arial" w:cs="Arial"/>
          <w:sz w:val="24"/>
          <w:szCs w:val="24"/>
        </w:rPr>
        <w:t>Under the act, both Tyndall High and you as staff are responsible for any discriminatory actions</w:t>
      </w:r>
      <w:r w:rsidR="00A8137C" w:rsidRPr="00096E02">
        <w:rPr>
          <w:rFonts w:ascii="Arial" w:hAnsi="Arial" w:cs="Arial"/>
          <w:sz w:val="24"/>
          <w:szCs w:val="24"/>
        </w:rPr>
        <w:t xml:space="preserve"> which could arise from treating anyone with a</w:t>
      </w:r>
      <w:r w:rsidR="00AF4929" w:rsidRPr="00096E02">
        <w:rPr>
          <w:rFonts w:ascii="Arial" w:hAnsi="Arial" w:cs="Arial"/>
          <w:sz w:val="24"/>
          <w:szCs w:val="24"/>
        </w:rPr>
        <w:t xml:space="preserve">ny trans staff </w:t>
      </w:r>
      <w:r w:rsidR="00A8137C" w:rsidRPr="00096E02">
        <w:rPr>
          <w:rFonts w:ascii="Arial" w:hAnsi="Arial" w:cs="Arial"/>
          <w:sz w:val="24"/>
          <w:szCs w:val="24"/>
        </w:rPr>
        <w:t>less favourably than other staff. As well as discrimination, you have to be aware of Harassment and Victimisation</w:t>
      </w:r>
      <w:r w:rsidR="00181429">
        <w:rPr>
          <w:rFonts w:ascii="Arial" w:hAnsi="Arial" w:cs="Arial"/>
          <w:sz w:val="24"/>
          <w:szCs w:val="24"/>
        </w:rPr>
        <w:t>.</w:t>
      </w:r>
    </w:p>
    <w:p w:rsidR="00EA1E5F" w:rsidRPr="00096E02" w:rsidRDefault="00EA1E5F" w:rsidP="00B22942">
      <w:pPr>
        <w:tabs>
          <w:tab w:val="left" w:pos="950"/>
        </w:tabs>
        <w:rPr>
          <w:rFonts w:ascii="Arial" w:hAnsi="Arial" w:cs="Arial"/>
          <w:sz w:val="24"/>
          <w:szCs w:val="24"/>
        </w:rPr>
      </w:pPr>
      <w:r w:rsidRPr="00096E02">
        <w:rPr>
          <w:rFonts w:ascii="Arial" w:hAnsi="Arial" w:cs="Arial"/>
          <w:sz w:val="24"/>
          <w:szCs w:val="24"/>
        </w:rPr>
        <w:t xml:space="preserve">What does Harassment look like? Harassment is unwanted conduct based on an individual’s gender reassignment, examples of which may include (Lexis Nexus, 2023): </w:t>
      </w:r>
    </w:p>
    <w:p w:rsidR="00EA1E5F" w:rsidRPr="00096E02" w:rsidRDefault="00EA1E5F" w:rsidP="00EA1E5F">
      <w:pPr>
        <w:pStyle w:val="ListParagraph"/>
        <w:numPr>
          <w:ilvl w:val="0"/>
          <w:numId w:val="5"/>
        </w:numPr>
        <w:tabs>
          <w:tab w:val="left" w:pos="950"/>
        </w:tabs>
        <w:rPr>
          <w:rFonts w:ascii="Arial" w:hAnsi="Arial" w:cs="Arial"/>
          <w:sz w:val="24"/>
          <w:szCs w:val="24"/>
        </w:rPr>
      </w:pPr>
      <w:r w:rsidRPr="00096E02">
        <w:rPr>
          <w:rFonts w:ascii="Arial" w:hAnsi="Arial" w:cs="Arial"/>
          <w:sz w:val="24"/>
          <w:szCs w:val="24"/>
        </w:rPr>
        <w:t xml:space="preserve">Unwanted physical contact </w:t>
      </w:r>
    </w:p>
    <w:p w:rsidR="00EA1E5F" w:rsidRPr="00096E02" w:rsidRDefault="00EA1E5F" w:rsidP="00EA1E5F">
      <w:pPr>
        <w:pStyle w:val="ListParagraph"/>
        <w:numPr>
          <w:ilvl w:val="0"/>
          <w:numId w:val="5"/>
        </w:numPr>
        <w:tabs>
          <w:tab w:val="left" w:pos="950"/>
        </w:tabs>
        <w:rPr>
          <w:rFonts w:ascii="Arial" w:hAnsi="Arial" w:cs="Arial"/>
          <w:sz w:val="24"/>
          <w:szCs w:val="24"/>
        </w:rPr>
      </w:pPr>
      <w:r w:rsidRPr="00096E02">
        <w:rPr>
          <w:rFonts w:ascii="Arial" w:hAnsi="Arial" w:cs="Arial"/>
          <w:sz w:val="24"/>
          <w:szCs w:val="24"/>
        </w:rPr>
        <w:t xml:space="preserve">Verbal abuse, insults, threats </w:t>
      </w:r>
    </w:p>
    <w:p w:rsidR="00EA1E5F" w:rsidRPr="00096E02" w:rsidRDefault="00EA1E5F" w:rsidP="00EA1E5F">
      <w:pPr>
        <w:pStyle w:val="ListParagraph"/>
        <w:numPr>
          <w:ilvl w:val="0"/>
          <w:numId w:val="5"/>
        </w:numPr>
        <w:tabs>
          <w:tab w:val="left" w:pos="950"/>
        </w:tabs>
        <w:rPr>
          <w:rFonts w:ascii="Arial" w:hAnsi="Arial" w:cs="Arial"/>
          <w:sz w:val="24"/>
          <w:szCs w:val="24"/>
        </w:rPr>
      </w:pPr>
      <w:r w:rsidRPr="00096E02">
        <w:rPr>
          <w:rFonts w:ascii="Arial" w:hAnsi="Arial" w:cs="Arial"/>
          <w:sz w:val="24"/>
          <w:szCs w:val="24"/>
        </w:rPr>
        <w:t>‘Banter’ or inappropriate jokes</w:t>
      </w:r>
    </w:p>
    <w:p w:rsidR="00EA1E5F" w:rsidRPr="00096E02" w:rsidRDefault="00EA1E5F" w:rsidP="00EA1E5F">
      <w:pPr>
        <w:pStyle w:val="ListParagraph"/>
        <w:numPr>
          <w:ilvl w:val="0"/>
          <w:numId w:val="5"/>
        </w:numPr>
        <w:tabs>
          <w:tab w:val="left" w:pos="950"/>
        </w:tabs>
        <w:rPr>
          <w:rFonts w:ascii="Arial" w:hAnsi="Arial" w:cs="Arial"/>
          <w:sz w:val="24"/>
          <w:szCs w:val="24"/>
        </w:rPr>
      </w:pPr>
      <w:r w:rsidRPr="00096E02">
        <w:rPr>
          <w:rFonts w:ascii="Arial" w:hAnsi="Arial" w:cs="Arial"/>
          <w:sz w:val="24"/>
          <w:szCs w:val="24"/>
        </w:rPr>
        <w:t xml:space="preserve">Asking intrusive questions </w:t>
      </w:r>
    </w:p>
    <w:p w:rsidR="00FF2CD5" w:rsidRPr="00096E02" w:rsidRDefault="006F6CFB" w:rsidP="00B22942">
      <w:pPr>
        <w:tabs>
          <w:tab w:val="left" w:pos="950"/>
        </w:tabs>
        <w:rPr>
          <w:rFonts w:ascii="Arial" w:hAnsi="Arial" w:cs="Arial"/>
          <w:sz w:val="24"/>
          <w:szCs w:val="24"/>
        </w:rPr>
      </w:pPr>
      <w:r w:rsidRPr="00096E02">
        <w:rPr>
          <w:rFonts w:ascii="Arial" w:hAnsi="Arial" w:cs="Arial"/>
          <w:sz w:val="24"/>
          <w:szCs w:val="24"/>
        </w:rPr>
        <w:t>Whilst</w:t>
      </w:r>
      <w:r w:rsidR="00A868A8" w:rsidRPr="00096E02">
        <w:rPr>
          <w:rFonts w:ascii="Arial" w:hAnsi="Arial" w:cs="Arial"/>
          <w:sz w:val="24"/>
          <w:szCs w:val="24"/>
        </w:rPr>
        <w:t xml:space="preserve"> </w:t>
      </w:r>
      <w:r w:rsidR="00F25A34" w:rsidRPr="00096E02">
        <w:rPr>
          <w:rFonts w:ascii="Arial" w:hAnsi="Arial" w:cs="Arial"/>
          <w:sz w:val="24"/>
          <w:szCs w:val="24"/>
        </w:rPr>
        <w:t xml:space="preserve">gender reassignment </w:t>
      </w:r>
      <w:r w:rsidRPr="00096E02">
        <w:rPr>
          <w:rFonts w:ascii="Arial" w:hAnsi="Arial" w:cs="Arial"/>
          <w:sz w:val="24"/>
          <w:szCs w:val="24"/>
        </w:rPr>
        <w:t xml:space="preserve">is </w:t>
      </w:r>
      <w:r w:rsidR="00F25A34" w:rsidRPr="00096E02">
        <w:rPr>
          <w:rFonts w:ascii="Arial" w:hAnsi="Arial" w:cs="Arial"/>
          <w:sz w:val="24"/>
          <w:szCs w:val="24"/>
        </w:rPr>
        <w:t xml:space="preserve">clearly set out as a protected characteristic, gender-critical beliefs are </w:t>
      </w:r>
      <w:r w:rsidR="00FA27CF" w:rsidRPr="00096E02">
        <w:rPr>
          <w:rFonts w:ascii="Arial" w:hAnsi="Arial" w:cs="Arial"/>
          <w:sz w:val="24"/>
          <w:szCs w:val="24"/>
        </w:rPr>
        <w:t xml:space="preserve">also </w:t>
      </w:r>
      <w:r w:rsidR="00F25A34" w:rsidRPr="00096E02">
        <w:rPr>
          <w:rFonts w:ascii="Arial" w:hAnsi="Arial" w:cs="Arial"/>
          <w:sz w:val="24"/>
          <w:szCs w:val="24"/>
        </w:rPr>
        <w:t>protected under the Equality act</w:t>
      </w:r>
      <w:r w:rsidR="00016638" w:rsidRPr="00096E02">
        <w:rPr>
          <w:rFonts w:ascii="Arial" w:hAnsi="Arial" w:cs="Arial"/>
          <w:sz w:val="24"/>
          <w:szCs w:val="24"/>
        </w:rPr>
        <w:t xml:space="preserve"> (‘</w:t>
      </w:r>
      <w:proofErr w:type="spellStart"/>
      <w:r w:rsidR="00016638" w:rsidRPr="00096E02">
        <w:rPr>
          <w:rFonts w:ascii="Arial" w:hAnsi="Arial" w:cs="Arial"/>
          <w:sz w:val="24"/>
          <w:szCs w:val="24"/>
        </w:rPr>
        <w:t>Forstater</w:t>
      </w:r>
      <w:proofErr w:type="spellEnd"/>
      <w:r w:rsidR="00016638" w:rsidRPr="00096E02">
        <w:rPr>
          <w:rFonts w:ascii="Arial" w:hAnsi="Arial" w:cs="Arial"/>
          <w:sz w:val="24"/>
          <w:szCs w:val="24"/>
        </w:rPr>
        <w:t xml:space="preserve"> v CDG Europe and Others’, 2021)</w:t>
      </w:r>
      <w:r w:rsidR="00F25A34" w:rsidRPr="00096E02">
        <w:rPr>
          <w:rFonts w:ascii="Arial" w:hAnsi="Arial" w:cs="Arial"/>
          <w:sz w:val="24"/>
          <w:szCs w:val="24"/>
        </w:rPr>
        <w:t>.</w:t>
      </w:r>
      <w:r w:rsidRPr="00096E02">
        <w:rPr>
          <w:rFonts w:ascii="Arial" w:hAnsi="Arial" w:cs="Arial"/>
          <w:sz w:val="24"/>
          <w:szCs w:val="24"/>
        </w:rPr>
        <w:t xml:space="preserve"> Whilst Tyndall High </w:t>
      </w:r>
      <w:r w:rsidR="002326FC" w:rsidRPr="00096E02">
        <w:rPr>
          <w:rFonts w:ascii="Arial" w:hAnsi="Arial" w:cs="Arial"/>
          <w:sz w:val="24"/>
          <w:szCs w:val="24"/>
        </w:rPr>
        <w:t>wants</w:t>
      </w:r>
      <w:r w:rsidRPr="00096E02">
        <w:rPr>
          <w:rFonts w:ascii="Arial" w:hAnsi="Arial" w:cs="Arial"/>
          <w:sz w:val="24"/>
          <w:szCs w:val="24"/>
        </w:rPr>
        <w:t xml:space="preserve"> to </w:t>
      </w:r>
      <w:r w:rsidR="00AF4929" w:rsidRPr="00096E02">
        <w:rPr>
          <w:rFonts w:ascii="Arial" w:hAnsi="Arial" w:cs="Arial"/>
          <w:sz w:val="24"/>
          <w:szCs w:val="24"/>
        </w:rPr>
        <w:t xml:space="preserve">provide an inclusive school to </w:t>
      </w:r>
      <w:r w:rsidRPr="00096E02">
        <w:rPr>
          <w:rFonts w:ascii="Arial" w:hAnsi="Arial" w:cs="Arial"/>
          <w:sz w:val="24"/>
          <w:szCs w:val="24"/>
        </w:rPr>
        <w:t xml:space="preserve">ensure our workplace as an environment is respectful of all colleagues, </w:t>
      </w:r>
      <w:r w:rsidR="00016638" w:rsidRPr="00096E02">
        <w:rPr>
          <w:rFonts w:ascii="Arial" w:hAnsi="Arial" w:cs="Arial"/>
          <w:sz w:val="24"/>
          <w:szCs w:val="24"/>
        </w:rPr>
        <w:t>beliefs that conflict with the fundamental rights of others should not be expressed in work (‘</w:t>
      </w:r>
      <w:proofErr w:type="spellStart"/>
      <w:r w:rsidR="00016638" w:rsidRPr="00096E02">
        <w:rPr>
          <w:rFonts w:ascii="Arial" w:hAnsi="Arial" w:cs="Arial"/>
          <w:sz w:val="24"/>
          <w:szCs w:val="24"/>
        </w:rPr>
        <w:t>Mackereth</w:t>
      </w:r>
      <w:proofErr w:type="spellEnd"/>
      <w:r w:rsidR="00016638" w:rsidRPr="00096E02">
        <w:rPr>
          <w:rFonts w:ascii="Arial" w:hAnsi="Arial" w:cs="Arial"/>
          <w:sz w:val="24"/>
          <w:szCs w:val="24"/>
        </w:rPr>
        <w:t xml:space="preserve"> v DWP’, 2022). We </w:t>
      </w:r>
      <w:r w:rsidRPr="00096E02">
        <w:rPr>
          <w:rFonts w:ascii="Arial" w:hAnsi="Arial" w:cs="Arial"/>
          <w:sz w:val="24"/>
          <w:szCs w:val="24"/>
        </w:rPr>
        <w:t xml:space="preserve">would therefore remind staff of our Social Media Policy which sets out clear expectations of acceptable standards of behaviour on social media platforms as comments made may constitute harassment or discriminate against other staff (Gwyneth, 2022). </w:t>
      </w:r>
    </w:p>
    <w:p w:rsidR="00FF7B22" w:rsidRPr="00096E02" w:rsidRDefault="00C62F3C" w:rsidP="00B22942">
      <w:pPr>
        <w:tabs>
          <w:tab w:val="left" w:pos="950"/>
        </w:tabs>
        <w:rPr>
          <w:rFonts w:ascii="Arial" w:hAnsi="Arial" w:cs="Arial"/>
          <w:b/>
          <w:i/>
          <w:sz w:val="24"/>
          <w:szCs w:val="24"/>
        </w:rPr>
      </w:pPr>
      <w:r w:rsidRPr="00096E02">
        <w:rPr>
          <w:rFonts w:ascii="Arial" w:hAnsi="Arial" w:cs="Arial"/>
          <w:b/>
          <w:i/>
          <w:sz w:val="24"/>
          <w:szCs w:val="24"/>
        </w:rPr>
        <w:t>Gender Recognition Act 2004</w:t>
      </w:r>
    </w:p>
    <w:p w:rsidR="00F71F0C" w:rsidRPr="00096E02" w:rsidRDefault="007B1C7A" w:rsidP="00B22942">
      <w:pPr>
        <w:tabs>
          <w:tab w:val="left" w:pos="950"/>
        </w:tabs>
        <w:rPr>
          <w:rFonts w:ascii="Arial" w:hAnsi="Arial" w:cs="Arial"/>
          <w:sz w:val="24"/>
          <w:szCs w:val="24"/>
        </w:rPr>
      </w:pPr>
      <w:r w:rsidRPr="00096E02">
        <w:rPr>
          <w:rFonts w:ascii="Arial" w:hAnsi="Arial" w:cs="Arial"/>
          <w:sz w:val="24"/>
          <w:szCs w:val="24"/>
        </w:rPr>
        <w:t>Following the introduction of this</w:t>
      </w:r>
      <w:r w:rsidR="008F2BA9" w:rsidRPr="00096E02">
        <w:rPr>
          <w:rFonts w:ascii="Arial" w:hAnsi="Arial" w:cs="Arial"/>
          <w:sz w:val="24"/>
          <w:szCs w:val="24"/>
        </w:rPr>
        <w:t xml:space="preserve"> key legislation in 2004</w:t>
      </w:r>
      <w:r w:rsidRPr="00096E02">
        <w:rPr>
          <w:rFonts w:ascii="Arial" w:hAnsi="Arial" w:cs="Arial"/>
          <w:sz w:val="24"/>
          <w:szCs w:val="24"/>
        </w:rPr>
        <w:t xml:space="preserve">, </w:t>
      </w:r>
      <w:r w:rsidR="008F2BA9" w:rsidRPr="00096E02">
        <w:rPr>
          <w:rFonts w:ascii="Arial" w:hAnsi="Arial" w:cs="Arial"/>
          <w:sz w:val="24"/>
          <w:szCs w:val="24"/>
        </w:rPr>
        <w:t xml:space="preserve">trans people over the age of 18 </w:t>
      </w:r>
      <w:r w:rsidRPr="00096E02">
        <w:rPr>
          <w:rFonts w:ascii="Arial" w:hAnsi="Arial" w:cs="Arial"/>
          <w:sz w:val="24"/>
          <w:szCs w:val="24"/>
        </w:rPr>
        <w:t xml:space="preserve">can </w:t>
      </w:r>
      <w:r w:rsidR="008F2BA9" w:rsidRPr="00096E02">
        <w:rPr>
          <w:rFonts w:ascii="Arial" w:hAnsi="Arial" w:cs="Arial"/>
          <w:sz w:val="24"/>
          <w:szCs w:val="24"/>
        </w:rPr>
        <w:t>legally change their gender</w:t>
      </w:r>
      <w:r w:rsidR="00C277B1" w:rsidRPr="00096E02">
        <w:rPr>
          <w:rFonts w:ascii="Arial" w:hAnsi="Arial" w:cs="Arial"/>
          <w:sz w:val="24"/>
          <w:szCs w:val="24"/>
        </w:rPr>
        <w:t xml:space="preserve"> and </w:t>
      </w:r>
      <w:r w:rsidRPr="00096E02">
        <w:rPr>
          <w:rFonts w:ascii="Arial" w:hAnsi="Arial" w:cs="Arial"/>
          <w:sz w:val="24"/>
          <w:szCs w:val="24"/>
        </w:rPr>
        <w:t xml:space="preserve">anyone who is granted a gender recognition certificate </w:t>
      </w:r>
      <w:r w:rsidR="00F71F0C" w:rsidRPr="00096E02">
        <w:rPr>
          <w:rFonts w:ascii="Arial" w:hAnsi="Arial" w:cs="Arial"/>
          <w:sz w:val="24"/>
          <w:szCs w:val="24"/>
        </w:rPr>
        <w:t xml:space="preserve">(GRC) </w:t>
      </w:r>
      <w:r w:rsidRPr="00096E02">
        <w:rPr>
          <w:rFonts w:ascii="Arial" w:hAnsi="Arial" w:cs="Arial"/>
          <w:sz w:val="24"/>
          <w:szCs w:val="24"/>
        </w:rPr>
        <w:t xml:space="preserve">will be afforded the </w:t>
      </w:r>
      <w:r w:rsidR="008F2BA9" w:rsidRPr="00096E02">
        <w:rPr>
          <w:rFonts w:ascii="Arial" w:hAnsi="Arial" w:cs="Arial"/>
          <w:sz w:val="24"/>
          <w:szCs w:val="24"/>
        </w:rPr>
        <w:t xml:space="preserve">recognition of their acquired gender </w:t>
      </w:r>
      <w:r w:rsidR="00F71F0C" w:rsidRPr="00096E02">
        <w:rPr>
          <w:rFonts w:ascii="Arial" w:hAnsi="Arial" w:cs="Arial"/>
          <w:sz w:val="24"/>
          <w:szCs w:val="24"/>
        </w:rPr>
        <w:t>for all legal purpose</w:t>
      </w:r>
      <w:r w:rsidR="00181429">
        <w:rPr>
          <w:rFonts w:ascii="Arial" w:hAnsi="Arial" w:cs="Arial"/>
          <w:sz w:val="24"/>
          <w:szCs w:val="24"/>
        </w:rPr>
        <w:t>s</w:t>
      </w:r>
      <w:r w:rsidR="00F71F0C" w:rsidRPr="00096E02">
        <w:rPr>
          <w:rFonts w:ascii="Arial" w:hAnsi="Arial" w:cs="Arial"/>
          <w:sz w:val="24"/>
          <w:szCs w:val="24"/>
        </w:rPr>
        <w:t xml:space="preserve"> </w:t>
      </w:r>
      <w:r w:rsidR="008F2BA9" w:rsidRPr="00096E02">
        <w:rPr>
          <w:rFonts w:ascii="Arial" w:hAnsi="Arial" w:cs="Arial"/>
          <w:sz w:val="24"/>
          <w:szCs w:val="24"/>
        </w:rPr>
        <w:t xml:space="preserve">(Gender Recognition Act, 2004). </w:t>
      </w:r>
    </w:p>
    <w:p w:rsidR="00F71F0C" w:rsidRPr="00096E02" w:rsidRDefault="00A45344" w:rsidP="00B22942">
      <w:pPr>
        <w:tabs>
          <w:tab w:val="left" w:pos="950"/>
        </w:tabs>
        <w:rPr>
          <w:rFonts w:ascii="Arial" w:hAnsi="Arial" w:cs="Arial"/>
          <w:sz w:val="24"/>
          <w:szCs w:val="24"/>
        </w:rPr>
      </w:pPr>
      <w:r w:rsidRPr="00096E02">
        <w:rPr>
          <w:rFonts w:ascii="Arial" w:hAnsi="Arial" w:cs="Arial"/>
          <w:sz w:val="24"/>
          <w:szCs w:val="24"/>
        </w:rPr>
        <w:t xml:space="preserve">Under this legislation data protection and confidentiality requirements </w:t>
      </w:r>
      <w:r w:rsidR="00AF4929" w:rsidRPr="00096E02">
        <w:rPr>
          <w:rFonts w:ascii="Arial" w:hAnsi="Arial" w:cs="Arial"/>
          <w:sz w:val="24"/>
          <w:szCs w:val="24"/>
        </w:rPr>
        <w:t xml:space="preserve">are clearly set out </w:t>
      </w:r>
      <w:r w:rsidRPr="00096E02">
        <w:rPr>
          <w:rFonts w:ascii="Arial" w:hAnsi="Arial" w:cs="Arial"/>
          <w:sz w:val="24"/>
          <w:szCs w:val="24"/>
        </w:rPr>
        <w:t xml:space="preserve">and therefore Tyndall High must not disclose the any transition history </w:t>
      </w:r>
      <w:r w:rsidR="00AF4929" w:rsidRPr="00096E02">
        <w:rPr>
          <w:rFonts w:ascii="Arial" w:hAnsi="Arial" w:cs="Arial"/>
          <w:sz w:val="24"/>
          <w:szCs w:val="24"/>
        </w:rPr>
        <w:t xml:space="preserve">of any staff </w:t>
      </w:r>
      <w:r w:rsidRPr="00096E02">
        <w:rPr>
          <w:rFonts w:ascii="Arial" w:hAnsi="Arial" w:cs="Arial"/>
          <w:sz w:val="24"/>
          <w:szCs w:val="24"/>
        </w:rPr>
        <w:t xml:space="preserve">without express consent from the individual (Wyvern, 2021). </w:t>
      </w:r>
      <w:r w:rsidR="00181429">
        <w:rPr>
          <w:rFonts w:ascii="Arial" w:hAnsi="Arial" w:cs="Arial"/>
          <w:sz w:val="24"/>
          <w:szCs w:val="24"/>
        </w:rPr>
        <w:t>D</w:t>
      </w:r>
      <w:r w:rsidRPr="00096E02">
        <w:rPr>
          <w:rFonts w:ascii="Arial" w:hAnsi="Arial" w:cs="Arial"/>
          <w:sz w:val="24"/>
          <w:szCs w:val="24"/>
        </w:rPr>
        <w:t xml:space="preserve">isclosing someone is transgender without their </w:t>
      </w:r>
      <w:r w:rsidR="00AF4929" w:rsidRPr="00096E02">
        <w:rPr>
          <w:rFonts w:ascii="Arial" w:hAnsi="Arial" w:cs="Arial"/>
          <w:sz w:val="24"/>
          <w:szCs w:val="24"/>
        </w:rPr>
        <w:t>permission</w:t>
      </w:r>
      <w:r w:rsidRPr="00096E02">
        <w:rPr>
          <w:rFonts w:ascii="Arial" w:hAnsi="Arial" w:cs="Arial"/>
          <w:sz w:val="24"/>
          <w:szCs w:val="24"/>
        </w:rPr>
        <w:t xml:space="preserve">, is considered direct discrimination and could result in criminal charges under this legislation. </w:t>
      </w:r>
    </w:p>
    <w:p w:rsidR="00B750EB" w:rsidRPr="00096E02" w:rsidRDefault="00A45344" w:rsidP="00B22942">
      <w:pPr>
        <w:tabs>
          <w:tab w:val="left" w:pos="950"/>
        </w:tabs>
        <w:rPr>
          <w:rFonts w:ascii="Arial" w:hAnsi="Arial" w:cs="Arial"/>
          <w:sz w:val="24"/>
          <w:szCs w:val="24"/>
        </w:rPr>
      </w:pPr>
      <w:r w:rsidRPr="00096E02">
        <w:rPr>
          <w:rFonts w:ascii="Arial" w:hAnsi="Arial" w:cs="Arial"/>
          <w:sz w:val="24"/>
          <w:szCs w:val="24"/>
        </w:rPr>
        <w:t xml:space="preserve">The landmark case of ‘P v S and Cornwall County Council’ </w:t>
      </w:r>
      <w:r w:rsidR="00C277B1" w:rsidRPr="00096E02">
        <w:rPr>
          <w:rFonts w:ascii="Arial" w:hAnsi="Arial" w:cs="Arial"/>
          <w:sz w:val="24"/>
          <w:szCs w:val="24"/>
        </w:rPr>
        <w:t xml:space="preserve">(1996) </w:t>
      </w:r>
      <w:r w:rsidRPr="00096E02">
        <w:rPr>
          <w:rFonts w:ascii="Arial" w:hAnsi="Arial" w:cs="Arial"/>
          <w:sz w:val="24"/>
          <w:szCs w:val="24"/>
        </w:rPr>
        <w:t xml:space="preserve">saw a teacher </w:t>
      </w:r>
      <w:r w:rsidR="00C277B1" w:rsidRPr="00096E02">
        <w:rPr>
          <w:rFonts w:ascii="Arial" w:hAnsi="Arial" w:cs="Arial"/>
          <w:sz w:val="24"/>
          <w:szCs w:val="24"/>
        </w:rPr>
        <w:t>denied the opportunity</w:t>
      </w:r>
      <w:r w:rsidRPr="00096E02">
        <w:rPr>
          <w:rFonts w:ascii="Arial" w:hAnsi="Arial" w:cs="Arial"/>
          <w:sz w:val="24"/>
          <w:szCs w:val="24"/>
        </w:rPr>
        <w:t xml:space="preserve"> to continue in their role and subsequently dismissed after transitioning which was found to be discriminatory and unlawful</w:t>
      </w:r>
      <w:r w:rsidR="00C277B1" w:rsidRPr="00096E02">
        <w:rPr>
          <w:rFonts w:ascii="Arial" w:hAnsi="Arial" w:cs="Arial"/>
          <w:sz w:val="24"/>
          <w:szCs w:val="24"/>
        </w:rPr>
        <w:t>. This</w:t>
      </w:r>
      <w:r w:rsidRPr="00096E02">
        <w:rPr>
          <w:rFonts w:ascii="Arial" w:hAnsi="Arial" w:cs="Arial"/>
          <w:sz w:val="24"/>
          <w:szCs w:val="24"/>
        </w:rPr>
        <w:t xml:space="preserve"> highlights the importance of </w:t>
      </w:r>
      <w:r w:rsidR="00C277B1" w:rsidRPr="00096E02">
        <w:rPr>
          <w:rFonts w:ascii="Arial" w:hAnsi="Arial" w:cs="Arial"/>
          <w:sz w:val="24"/>
          <w:szCs w:val="24"/>
        </w:rPr>
        <w:t xml:space="preserve">both Tyndall High and our staff of being aware </w:t>
      </w:r>
      <w:r w:rsidR="00AF4929" w:rsidRPr="00096E02">
        <w:rPr>
          <w:rFonts w:ascii="Arial" w:hAnsi="Arial" w:cs="Arial"/>
          <w:sz w:val="24"/>
          <w:szCs w:val="24"/>
        </w:rPr>
        <w:t xml:space="preserve">of both </w:t>
      </w:r>
      <w:r w:rsidR="00C277B1" w:rsidRPr="00096E02">
        <w:rPr>
          <w:rFonts w:ascii="Arial" w:hAnsi="Arial" w:cs="Arial"/>
          <w:sz w:val="24"/>
          <w:szCs w:val="24"/>
        </w:rPr>
        <w:t xml:space="preserve">direct </w:t>
      </w:r>
      <w:r w:rsidR="00AF4929" w:rsidRPr="00096E02">
        <w:rPr>
          <w:rFonts w:ascii="Arial" w:hAnsi="Arial" w:cs="Arial"/>
          <w:sz w:val="24"/>
          <w:szCs w:val="24"/>
        </w:rPr>
        <w:t>and</w:t>
      </w:r>
      <w:r w:rsidR="00C277B1" w:rsidRPr="00096E02">
        <w:rPr>
          <w:rFonts w:ascii="Arial" w:hAnsi="Arial" w:cs="Arial"/>
          <w:sz w:val="24"/>
          <w:szCs w:val="24"/>
        </w:rPr>
        <w:t xml:space="preserve"> indirect </w:t>
      </w:r>
      <w:r w:rsidR="00AF4929" w:rsidRPr="00096E02">
        <w:rPr>
          <w:rFonts w:ascii="Arial" w:hAnsi="Arial" w:cs="Arial"/>
          <w:sz w:val="24"/>
          <w:szCs w:val="24"/>
        </w:rPr>
        <w:t xml:space="preserve">discrimination </w:t>
      </w:r>
      <w:r w:rsidR="00C277B1" w:rsidRPr="00096E02">
        <w:rPr>
          <w:rFonts w:ascii="Arial" w:hAnsi="Arial" w:cs="Arial"/>
          <w:sz w:val="24"/>
          <w:szCs w:val="24"/>
        </w:rPr>
        <w:t xml:space="preserve">to ensure it is avoided. </w:t>
      </w:r>
      <w:r w:rsidRPr="00096E02">
        <w:rPr>
          <w:rFonts w:ascii="Arial" w:hAnsi="Arial" w:cs="Arial"/>
          <w:sz w:val="24"/>
          <w:szCs w:val="24"/>
        </w:rPr>
        <w:t xml:space="preserve"> </w:t>
      </w:r>
    </w:p>
    <w:p w:rsidR="00FD5FB9" w:rsidRDefault="00FD5FB9" w:rsidP="00FF7B22">
      <w:pPr>
        <w:tabs>
          <w:tab w:val="left" w:pos="950"/>
        </w:tabs>
        <w:rPr>
          <w:rFonts w:ascii="Arial" w:hAnsi="Arial" w:cs="Arial"/>
          <w:b/>
          <w:i/>
          <w:sz w:val="24"/>
          <w:szCs w:val="24"/>
        </w:rPr>
      </w:pPr>
    </w:p>
    <w:p w:rsidR="00FF2CD5" w:rsidRPr="00096E02" w:rsidRDefault="00FF2CD5" w:rsidP="00FF7B22">
      <w:pPr>
        <w:tabs>
          <w:tab w:val="left" w:pos="950"/>
        </w:tabs>
        <w:rPr>
          <w:rFonts w:ascii="Arial" w:hAnsi="Arial" w:cs="Arial"/>
          <w:b/>
          <w:i/>
          <w:sz w:val="24"/>
          <w:szCs w:val="24"/>
        </w:rPr>
      </w:pPr>
      <w:r w:rsidRPr="00096E02">
        <w:rPr>
          <w:rFonts w:ascii="Arial" w:hAnsi="Arial" w:cs="Arial"/>
          <w:b/>
          <w:i/>
          <w:sz w:val="24"/>
          <w:szCs w:val="24"/>
        </w:rPr>
        <w:t>Protection from Harassment Act 1997</w:t>
      </w:r>
    </w:p>
    <w:p w:rsidR="00B22942" w:rsidRPr="00096E02" w:rsidRDefault="005B58F7" w:rsidP="004D238F">
      <w:pPr>
        <w:tabs>
          <w:tab w:val="left" w:pos="950"/>
        </w:tabs>
        <w:rPr>
          <w:rFonts w:ascii="Arial" w:hAnsi="Arial" w:cs="Arial"/>
          <w:sz w:val="24"/>
          <w:szCs w:val="24"/>
        </w:rPr>
      </w:pPr>
      <w:r>
        <w:rPr>
          <w:rFonts w:ascii="Arial" w:hAnsi="Arial" w:cs="Arial"/>
          <w:sz w:val="24"/>
          <w:szCs w:val="24"/>
        </w:rPr>
        <w:t>T</w:t>
      </w:r>
      <w:r w:rsidR="004D238F" w:rsidRPr="00096E02">
        <w:rPr>
          <w:rFonts w:ascii="Arial" w:hAnsi="Arial" w:cs="Arial"/>
          <w:sz w:val="24"/>
          <w:szCs w:val="24"/>
        </w:rPr>
        <w:t xml:space="preserve">he Harassment Act (1997) supports victims of harassment in pursuing a claim in civil court whereby a person’s action towards another may constitute harassment if there are multiple occasions of the </w:t>
      </w:r>
      <w:r w:rsidR="00FA27CF" w:rsidRPr="00096E02">
        <w:rPr>
          <w:rFonts w:ascii="Arial" w:hAnsi="Arial" w:cs="Arial"/>
          <w:sz w:val="24"/>
          <w:szCs w:val="24"/>
        </w:rPr>
        <w:t>mis</w:t>
      </w:r>
      <w:r w:rsidR="004D238F" w:rsidRPr="00096E02">
        <w:rPr>
          <w:rFonts w:ascii="Arial" w:hAnsi="Arial" w:cs="Arial"/>
          <w:sz w:val="24"/>
          <w:szCs w:val="24"/>
        </w:rPr>
        <w:t xml:space="preserve">conduct, and the individual knows or ought to know that the conduct amounts to harassment. This is particularly prevalent with the rise of Social Media whereby </w:t>
      </w:r>
      <w:r w:rsidR="00FA27CF" w:rsidRPr="00096E02">
        <w:rPr>
          <w:rFonts w:ascii="Arial" w:hAnsi="Arial" w:cs="Arial"/>
          <w:sz w:val="24"/>
          <w:szCs w:val="24"/>
        </w:rPr>
        <w:t xml:space="preserve">some </w:t>
      </w:r>
      <w:r w:rsidR="004D238F" w:rsidRPr="00096E02">
        <w:rPr>
          <w:rFonts w:ascii="Arial" w:hAnsi="Arial" w:cs="Arial"/>
          <w:sz w:val="24"/>
          <w:szCs w:val="24"/>
        </w:rPr>
        <w:t xml:space="preserve">social media posts </w:t>
      </w:r>
      <w:r w:rsidR="00FA27CF" w:rsidRPr="00096E02">
        <w:rPr>
          <w:rFonts w:ascii="Arial" w:hAnsi="Arial" w:cs="Arial"/>
          <w:sz w:val="24"/>
          <w:szCs w:val="24"/>
        </w:rPr>
        <w:t>could be</w:t>
      </w:r>
      <w:r w:rsidR="004D238F" w:rsidRPr="00096E02">
        <w:rPr>
          <w:rFonts w:ascii="Arial" w:hAnsi="Arial" w:cs="Arial"/>
          <w:sz w:val="24"/>
          <w:szCs w:val="24"/>
        </w:rPr>
        <w:t xml:space="preserve"> deemed oppressive and unacceptable (Bliss, 2019). This again highlights the risks of social media in posting content that could be considered as Harassment and whereby claims could be personally pursued against you. </w:t>
      </w:r>
    </w:p>
    <w:p w:rsidR="004D238F" w:rsidRPr="00096E02" w:rsidRDefault="004D238F" w:rsidP="004D238F">
      <w:pPr>
        <w:tabs>
          <w:tab w:val="left" w:pos="950"/>
        </w:tabs>
        <w:rPr>
          <w:rFonts w:ascii="Arial" w:hAnsi="Arial" w:cs="Arial"/>
          <w:b/>
          <w:sz w:val="24"/>
          <w:szCs w:val="24"/>
        </w:rPr>
      </w:pPr>
      <w:r w:rsidRPr="00096E02">
        <w:rPr>
          <w:rFonts w:ascii="Arial" w:hAnsi="Arial" w:cs="Arial"/>
          <w:b/>
          <w:sz w:val="24"/>
          <w:szCs w:val="24"/>
        </w:rPr>
        <w:t>Risks and Potential Claims</w:t>
      </w:r>
      <w:r w:rsidR="004E14FD" w:rsidRPr="00096E02">
        <w:rPr>
          <w:rFonts w:ascii="Arial" w:hAnsi="Arial" w:cs="Arial"/>
          <w:b/>
          <w:sz w:val="24"/>
          <w:szCs w:val="24"/>
        </w:rPr>
        <w:t xml:space="preserve"> in Breaching Law</w:t>
      </w:r>
    </w:p>
    <w:p w:rsidR="006745CF" w:rsidRPr="00096E02" w:rsidRDefault="00D11CB4" w:rsidP="00B22942">
      <w:pPr>
        <w:tabs>
          <w:tab w:val="left" w:pos="950"/>
        </w:tabs>
        <w:rPr>
          <w:rFonts w:ascii="Arial" w:hAnsi="Arial" w:cs="Arial"/>
          <w:sz w:val="24"/>
          <w:szCs w:val="24"/>
        </w:rPr>
      </w:pPr>
      <w:r w:rsidRPr="00096E02">
        <w:rPr>
          <w:rFonts w:ascii="Arial" w:hAnsi="Arial" w:cs="Arial"/>
          <w:sz w:val="24"/>
          <w:szCs w:val="24"/>
        </w:rPr>
        <w:t xml:space="preserve">Now you know the the legal protections in place, it is important to understand the risks and potential claims that could be faced in breaching these laws. </w:t>
      </w:r>
      <w:r w:rsidR="006745CF" w:rsidRPr="00096E02">
        <w:rPr>
          <w:rFonts w:ascii="Arial" w:hAnsi="Arial" w:cs="Arial"/>
          <w:sz w:val="24"/>
          <w:szCs w:val="24"/>
        </w:rPr>
        <w:t xml:space="preserve">As </w:t>
      </w:r>
      <w:r w:rsidR="00181429">
        <w:rPr>
          <w:rFonts w:ascii="Arial" w:hAnsi="Arial" w:cs="Arial"/>
          <w:sz w:val="24"/>
          <w:szCs w:val="24"/>
        </w:rPr>
        <w:t xml:space="preserve">an </w:t>
      </w:r>
      <w:r w:rsidR="006745CF" w:rsidRPr="00096E02">
        <w:rPr>
          <w:rFonts w:ascii="Arial" w:hAnsi="Arial" w:cs="Arial"/>
          <w:sz w:val="24"/>
          <w:szCs w:val="24"/>
        </w:rPr>
        <w:t xml:space="preserve">employer </w:t>
      </w:r>
      <w:r w:rsidR="00181429">
        <w:rPr>
          <w:rFonts w:ascii="Arial" w:hAnsi="Arial" w:cs="Arial"/>
          <w:sz w:val="24"/>
          <w:szCs w:val="24"/>
        </w:rPr>
        <w:t xml:space="preserve">Tyndall High </w:t>
      </w:r>
      <w:r w:rsidR="006745CF" w:rsidRPr="00096E02">
        <w:rPr>
          <w:rFonts w:ascii="Arial" w:hAnsi="Arial" w:cs="Arial"/>
          <w:sz w:val="24"/>
          <w:szCs w:val="24"/>
        </w:rPr>
        <w:t>have a duty of care to staff</w:t>
      </w:r>
      <w:r w:rsidR="00181429">
        <w:rPr>
          <w:rFonts w:ascii="Arial" w:hAnsi="Arial" w:cs="Arial"/>
          <w:sz w:val="24"/>
          <w:szCs w:val="24"/>
        </w:rPr>
        <w:t xml:space="preserve"> and</w:t>
      </w:r>
      <w:r w:rsidR="006745CF" w:rsidRPr="00096E02">
        <w:rPr>
          <w:rFonts w:ascii="Arial" w:hAnsi="Arial" w:cs="Arial"/>
          <w:sz w:val="24"/>
          <w:szCs w:val="24"/>
        </w:rPr>
        <w:t xml:space="preserve"> fail</w:t>
      </w:r>
      <w:r w:rsidR="00181429">
        <w:rPr>
          <w:rFonts w:ascii="Arial" w:hAnsi="Arial" w:cs="Arial"/>
          <w:sz w:val="24"/>
          <w:szCs w:val="24"/>
        </w:rPr>
        <w:t>ing</w:t>
      </w:r>
      <w:r w:rsidR="006745CF" w:rsidRPr="00096E02">
        <w:rPr>
          <w:rFonts w:ascii="Arial" w:hAnsi="Arial" w:cs="Arial"/>
          <w:sz w:val="24"/>
          <w:szCs w:val="24"/>
        </w:rPr>
        <w:t xml:space="preserve"> to ensure the wellbeing of staff could lead to claims of discrimination and even constructive dismissal</w:t>
      </w:r>
      <w:r w:rsidR="00181429">
        <w:rPr>
          <w:rFonts w:ascii="Arial" w:hAnsi="Arial" w:cs="Arial"/>
          <w:sz w:val="24"/>
          <w:szCs w:val="24"/>
        </w:rPr>
        <w:t xml:space="preserve"> under the Equality Act </w:t>
      </w:r>
      <w:r w:rsidR="00181429" w:rsidRPr="00096E02">
        <w:rPr>
          <w:rFonts w:ascii="Arial" w:hAnsi="Arial" w:cs="Arial"/>
          <w:sz w:val="24"/>
          <w:szCs w:val="24"/>
        </w:rPr>
        <w:t>(ACAS, 2023).</w:t>
      </w:r>
      <w:r w:rsidR="00181429">
        <w:rPr>
          <w:rFonts w:ascii="Arial" w:hAnsi="Arial" w:cs="Arial"/>
          <w:sz w:val="24"/>
          <w:szCs w:val="24"/>
        </w:rPr>
        <w:t xml:space="preserve">. </w:t>
      </w:r>
    </w:p>
    <w:p w:rsidR="009459D9" w:rsidRPr="00096E02" w:rsidRDefault="00331A99" w:rsidP="009459D9">
      <w:pPr>
        <w:tabs>
          <w:tab w:val="left" w:pos="950"/>
        </w:tabs>
        <w:rPr>
          <w:rFonts w:ascii="Arial" w:hAnsi="Arial" w:cs="Arial"/>
          <w:sz w:val="24"/>
          <w:szCs w:val="24"/>
        </w:rPr>
      </w:pPr>
      <w:r w:rsidRPr="00096E02">
        <w:rPr>
          <w:rFonts w:ascii="Arial" w:hAnsi="Arial" w:cs="Arial"/>
          <w:sz w:val="24"/>
          <w:szCs w:val="24"/>
        </w:rPr>
        <w:t xml:space="preserve">There are a number of financial penalties that can be pursued in cases of discrimination, harassment or victimisation on the basis of gender reassignment. Alongside ‘basic’ and ‘compensatory’ </w:t>
      </w:r>
      <w:r w:rsidR="009459D9" w:rsidRPr="00096E02">
        <w:rPr>
          <w:rFonts w:ascii="Arial" w:hAnsi="Arial" w:cs="Arial"/>
          <w:sz w:val="24"/>
          <w:szCs w:val="24"/>
        </w:rPr>
        <w:t>awards that hold a statutory cap of £105,707, t</w:t>
      </w:r>
      <w:r w:rsidRPr="00096E02">
        <w:rPr>
          <w:rFonts w:ascii="Arial" w:hAnsi="Arial" w:cs="Arial"/>
          <w:sz w:val="24"/>
          <w:szCs w:val="24"/>
        </w:rPr>
        <w:t>here can be ‘Injury to Feelings award’ set out in the landmark case of ‘Vento v Chief Constable of West Yorkshire Police’ (2003). In the most serious cases whereby there has been a lengthy campaign of discriminatory harassment</w:t>
      </w:r>
      <w:r w:rsidR="00181429">
        <w:rPr>
          <w:rFonts w:ascii="Arial" w:hAnsi="Arial" w:cs="Arial"/>
          <w:sz w:val="24"/>
          <w:szCs w:val="24"/>
        </w:rPr>
        <w:t>,</w:t>
      </w:r>
      <w:r w:rsidRPr="00096E02">
        <w:rPr>
          <w:rFonts w:ascii="Arial" w:hAnsi="Arial" w:cs="Arial"/>
          <w:sz w:val="24"/>
          <w:szCs w:val="24"/>
        </w:rPr>
        <w:t xml:space="preserve"> </w:t>
      </w:r>
      <w:r w:rsidR="009459D9" w:rsidRPr="00096E02">
        <w:rPr>
          <w:rFonts w:ascii="Arial" w:hAnsi="Arial" w:cs="Arial"/>
          <w:sz w:val="24"/>
          <w:szCs w:val="24"/>
        </w:rPr>
        <w:t>a</w:t>
      </w:r>
      <w:r w:rsidRPr="00096E02">
        <w:rPr>
          <w:rFonts w:ascii="Arial" w:hAnsi="Arial" w:cs="Arial"/>
          <w:sz w:val="24"/>
          <w:szCs w:val="24"/>
        </w:rPr>
        <w:t xml:space="preserve"> claimant could be awarded up</w:t>
      </w:r>
      <w:r w:rsidR="009459D9" w:rsidRPr="00096E02">
        <w:rPr>
          <w:rFonts w:ascii="Arial" w:hAnsi="Arial" w:cs="Arial"/>
          <w:sz w:val="24"/>
          <w:szCs w:val="24"/>
        </w:rPr>
        <w:t xml:space="preserve"> to £56,200 from 6</w:t>
      </w:r>
      <w:r w:rsidR="009459D9" w:rsidRPr="00096E02">
        <w:rPr>
          <w:rFonts w:ascii="Arial" w:hAnsi="Arial" w:cs="Arial"/>
          <w:sz w:val="24"/>
          <w:szCs w:val="24"/>
          <w:vertAlign w:val="superscript"/>
        </w:rPr>
        <w:t>th</w:t>
      </w:r>
      <w:r w:rsidR="009459D9" w:rsidRPr="00096E02">
        <w:rPr>
          <w:rFonts w:ascii="Arial" w:hAnsi="Arial" w:cs="Arial"/>
          <w:sz w:val="24"/>
          <w:szCs w:val="24"/>
        </w:rPr>
        <w:t xml:space="preserve"> April 2023 (Thomson Reuters, 2023). </w:t>
      </w:r>
    </w:p>
    <w:p w:rsidR="00331A99" w:rsidRPr="00096E02" w:rsidRDefault="009459D9" w:rsidP="00B22942">
      <w:pPr>
        <w:tabs>
          <w:tab w:val="left" w:pos="950"/>
        </w:tabs>
        <w:rPr>
          <w:rFonts w:ascii="Arial" w:hAnsi="Arial" w:cs="Arial"/>
          <w:sz w:val="24"/>
          <w:szCs w:val="24"/>
        </w:rPr>
      </w:pPr>
      <w:r w:rsidRPr="00096E02">
        <w:rPr>
          <w:rFonts w:ascii="Arial" w:hAnsi="Arial" w:cs="Arial"/>
          <w:sz w:val="24"/>
          <w:szCs w:val="24"/>
        </w:rPr>
        <w:t xml:space="preserve">With evidence highlighting the mental health and wellbeing risks associated with discrimination and harassment of trans employees (Daniels, 2022), there could also be claims of </w:t>
      </w:r>
      <w:r w:rsidR="00BE5690" w:rsidRPr="00096E02">
        <w:rPr>
          <w:rFonts w:ascii="Arial" w:hAnsi="Arial" w:cs="Arial"/>
          <w:sz w:val="24"/>
          <w:szCs w:val="24"/>
        </w:rPr>
        <w:t xml:space="preserve">personal injury to mental health for aggravated damages (Citizens Advice, 2023). </w:t>
      </w:r>
    </w:p>
    <w:p w:rsidR="00B22942" w:rsidRPr="00096E02" w:rsidRDefault="00BE5690" w:rsidP="00B22942">
      <w:pPr>
        <w:tabs>
          <w:tab w:val="left" w:pos="950"/>
        </w:tabs>
        <w:rPr>
          <w:rFonts w:ascii="Arial" w:hAnsi="Arial" w:cs="Arial"/>
          <w:sz w:val="24"/>
          <w:szCs w:val="24"/>
        </w:rPr>
      </w:pPr>
      <w:r w:rsidRPr="00096E02">
        <w:rPr>
          <w:rFonts w:ascii="Arial" w:hAnsi="Arial" w:cs="Arial"/>
          <w:sz w:val="24"/>
          <w:szCs w:val="24"/>
        </w:rPr>
        <w:t xml:space="preserve">The severity of the financial risks to Tyndall Hall are underpinned by the gender reassignment discrimination case of ‘Taylor v Jaguar Land Rover’ (2020). It was ruled that a non-binary member of staff was subjected to insults and abusive joke and was discriminated against and in being restricted toilet access. The claimant was awarded £180,000 including aggravated damages which underlines the significant financial risk to the school in cases of discrimination (Lexis Nexus, 2023). </w:t>
      </w:r>
    </w:p>
    <w:p w:rsidR="00F57328" w:rsidRPr="00096E02" w:rsidRDefault="0024138D" w:rsidP="00F57328">
      <w:pPr>
        <w:tabs>
          <w:tab w:val="left" w:pos="950"/>
        </w:tabs>
        <w:rPr>
          <w:rFonts w:ascii="Arial" w:hAnsi="Arial" w:cs="Arial"/>
          <w:b/>
          <w:sz w:val="24"/>
          <w:szCs w:val="24"/>
        </w:rPr>
      </w:pPr>
      <w:r>
        <w:rPr>
          <w:rFonts w:ascii="Arial" w:hAnsi="Arial" w:cs="Arial"/>
          <w:b/>
          <w:sz w:val="24"/>
          <w:szCs w:val="24"/>
        </w:rPr>
        <w:t xml:space="preserve">Steps for creating an Inclusive Environment at Tyndall High School </w:t>
      </w:r>
    </w:p>
    <w:p w:rsidR="00AF4113" w:rsidRPr="00096E02" w:rsidRDefault="00AF4113" w:rsidP="00B22942">
      <w:pPr>
        <w:tabs>
          <w:tab w:val="left" w:pos="950"/>
        </w:tabs>
        <w:rPr>
          <w:rFonts w:ascii="Arial" w:hAnsi="Arial" w:cs="Arial"/>
          <w:sz w:val="24"/>
          <w:szCs w:val="24"/>
        </w:rPr>
      </w:pPr>
      <w:r w:rsidRPr="00096E02">
        <w:rPr>
          <w:rFonts w:ascii="Arial" w:hAnsi="Arial" w:cs="Arial"/>
          <w:sz w:val="24"/>
          <w:szCs w:val="24"/>
        </w:rPr>
        <w:t xml:space="preserve">In supporting an inclusive environment and to take steps to reduce discrimination, Tyndall High will be implementing the following steps with the aim of supporting any staff or pupils that are going through, or who have already transitioned.   </w:t>
      </w:r>
    </w:p>
    <w:p w:rsidR="00B22942" w:rsidRPr="00096E02" w:rsidRDefault="004E14FD" w:rsidP="00B22942">
      <w:pPr>
        <w:tabs>
          <w:tab w:val="left" w:pos="950"/>
        </w:tabs>
        <w:rPr>
          <w:rFonts w:ascii="Arial" w:hAnsi="Arial" w:cs="Arial"/>
          <w:sz w:val="24"/>
          <w:szCs w:val="24"/>
        </w:rPr>
      </w:pPr>
      <w:r w:rsidRPr="00096E02">
        <w:rPr>
          <w:rFonts w:ascii="Arial" w:hAnsi="Arial" w:cs="Arial"/>
          <w:sz w:val="24"/>
          <w:szCs w:val="24"/>
        </w:rPr>
        <w:t>The Equality, Diversity, and Inclusion policy will be updated clearly setting out the expectations or staff and outlining the zero-tolerance stance for discrimination on the grounds of gender reassignment or identity</w:t>
      </w:r>
      <w:r w:rsidR="00F62853" w:rsidRPr="00096E02">
        <w:rPr>
          <w:rFonts w:ascii="Arial" w:hAnsi="Arial" w:cs="Arial"/>
          <w:sz w:val="24"/>
          <w:szCs w:val="24"/>
        </w:rPr>
        <w:t xml:space="preserve"> (Ali, 2021)</w:t>
      </w:r>
      <w:r w:rsidRPr="00096E02">
        <w:rPr>
          <w:rFonts w:ascii="Arial" w:hAnsi="Arial" w:cs="Arial"/>
          <w:sz w:val="24"/>
          <w:szCs w:val="24"/>
        </w:rPr>
        <w:t xml:space="preserve">. All employment policies will also be trans inclusive and we </w:t>
      </w:r>
      <w:r w:rsidR="0082202D" w:rsidRPr="00096E02">
        <w:rPr>
          <w:rFonts w:ascii="Arial" w:hAnsi="Arial" w:cs="Arial"/>
          <w:sz w:val="24"/>
          <w:szCs w:val="24"/>
        </w:rPr>
        <w:t>aim to</w:t>
      </w:r>
      <w:r w:rsidRPr="00096E02">
        <w:rPr>
          <w:rFonts w:ascii="Arial" w:hAnsi="Arial" w:cs="Arial"/>
          <w:sz w:val="24"/>
          <w:szCs w:val="24"/>
        </w:rPr>
        <w:t xml:space="preserve"> work with </w:t>
      </w:r>
      <w:r w:rsidR="0082202D" w:rsidRPr="00096E02">
        <w:rPr>
          <w:rFonts w:ascii="Arial" w:hAnsi="Arial" w:cs="Arial"/>
          <w:sz w:val="24"/>
          <w:szCs w:val="24"/>
        </w:rPr>
        <w:t xml:space="preserve">any openly trans </w:t>
      </w:r>
      <w:r w:rsidRPr="00096E02">
        <w:rPr>
          <w:rFonts w:ascii="Arial" w:hAnsi="Arial" w:cs="Arial"/>
          <w:sz w:val="24"/>
          <w:szCs w:val="24"/>
        </w:rPr>
        <w:t xml:space="preserve">staff to put measures in place to remove the possibility of inadvertent discrimination with a view to create an inclusive environment. </w:t>
      </w:r>
      <w:r w:rsidR="0082202D" w:rsidRPr="00096E02">
        <w:rPr>
          <w:rFonts w:ascii="Arial" w:hAnsi="Arial" w:cs="Arial"/>
          <w:sz w:val="24"/>
          <w:szCs w:val="24"/>
        </w:rPr>
        <w:t xml:space="preserve">The </w:t>
      </w:r>
      <w:r w:rsidRPr="00096E02">
        <w:rPr>
          <w:rFonts w:ascii="Arial" w:hAnsi="Arial" w:cs="Arial"/>
          <w:sz w:val="24"/>
          <w:szCs w:val="24"/>
        </w:rPr>
        <w:t xml:space="preserve">(EHRC, 2022). </w:t>
      </w:r>
    </w:p>
    <w:p w:rsidR="000A488F" w:rsidRDefault="000A488F" w:rsidP="0063737C">
      <w:pPr>
        <w:tabs>
          <w:tab w:val="left" w:pos="950"/>
        </w:tabs>
        <w:rPr>
          <w:rFonts w:ascii="Arial" w:hAnsi="Arial" w:cs="Arial"/>
          <w:sz w:val="24"/>
          <w:szCs w:val="24"/>
        </w:rPr>
      </w:pPr>
      <w:r w:rsidRPr="00096E02">
        <w:rPr>
          <w:rFonts w:ascii="Arial" w:hAnsi="Arial" w:cs="Arial"/>
          <w:sz w:val="24"/>
          <w:szCs w:val="24"/>
        </w:rPr>
        <w:t xml:space="preserve">ACAS (2017) reports that a key practical obstacle in supporting trans employees is access to changing </w:t>
      </w:r>
      <w:r w:rsidR="0063737C" w:rsidRPr="00096E02">
        <w:rPr>
          <w:rFonts w:ascii="Arial" w:hAnsi="Arial" w:cs="Arial"/>
          <w:sz w:val="24"/>
          <w:szCs w:val="24"/>
        </w:rPr>
        <w:t xml:space="preserve">and </w:t>
      </w:r>
      <w:r w:rsidRPr="00096E02">
        <w:rPr>
          <w:rFonts w:ascii="Arial" w:hAnsi="Arial" w:cs="Arial"/>
          <w:sz w:val="24"/>
          <w:szCs w:val="24"/>
        </w:rPr>
        <w:t xml:space="preserve">toilet facilities. </w:t>
      </w:r>
      <w:r w:rsidR="0063737C" w:rsidRPr="00096E02">
        <w:rPr>
          <w:rFonts w:ascii="Arial" w:hAnsi="Arial" w:cs="Arial"/>
          <w:sz w:val="24"/>
          <w:szCs w:val="24"/>
        </w:rPr>
        <w:t xml:space="preserve">Therefore, in line with Government Equalities Office </w:t>
      </w:r>
      <w:r w:rsidR="003C7704" w:rsidRPr="00096E02">
        <w:rPr>
          <w:rFonts w:ascii="Arial" w:hAnsi="Arial" w:cs="Arial"/>
          <w:sz w:val="24"/>
          <w:szCs w:val="24"/>
        </w:rPr>
        <w:t>g</w:t>
      </w:r>
      <w:r w:rsidR="0063737C" w:rsidRPr="00096E02">
        <w:rPr>
          <w:rFonts w:ascii="Arial" w:hAnsi="Arial" w:cs="Arial"/>
          <w:sz w:val="24"/>
          <w:szCs w:val="24"/>
        </w:rPr>
        <w:t xml:space="preserve">uidance (2015) trans staff should select the facilities most appropriate to the gender in which they identify whilst Tyndall High seek to designate gender-neutral toilets and changing facilities for staff and pupils to reduce any barriers. The creation of </w:t>
      </w:r>
      <w:r w:rsidR="003C7704" w:rsidRPr="00096E02">
        <w:rPr>
          <w:rFonts w:ascii="Arial" w:hAnsi="Arial" w:cs="Arial"/>
          <w:sz w:val="24"/>
          <w:szCs w:val="24"/>
        </w:rPr>
        <w:t xml:space="preserve">gender-neutral spaces improves accessibility for trans and non-binary staff and also </w:t>
      </w:r>
      <w:r w:rsidR="009419A4" w:rsidRPr="00096E02">
        <w:rPr>
          <w:rFonts w:ascii="Arial" w:hAnsi="Arial" w:cs="Arial"/>
          <w:sz w:val="24"/>
          <w:szCs w:val="24"/>
        </w:rPr>
        <w:t>promotes the school’s commitment to supporting a trans inclusive environment (</w:t>
      </w:r>
      <w:proofErr w:type="spellStart"/>
      <w:r w:rsidR="009419A4" w:rsidRPr="00096E02">
        <w:rPr>
          <w:rFonts w:ascii="Arial" w:hAnsi="Arial" w:cs="Arial"/>
          <w:sz w:val="24"/>
          <w:szCs w:val="24"/>
        </w:rPr>
        <w:t>Colliver</w:t>
      </w:r>
      <w:proofErr w:type="spellEnd"/>
      <w:r w:rsidR="009419A4" w:rsidRPr="00096E02">
        <w:rPr>
          <w:rFonts w:ascii="Arial" w:hAnsi="Arial" w:cs="Arial"/>
          <w:sz w:val="24"/>
          <w:szCs w:val="24"/>
        </w:rPr>
        <w:t xml:space="preserve"> and </w:t>
      </w:r>
      <w:proofErr w:type="spellStart"/>
      <w:r w:rsidR="009419A4" w:rsidRPr="00096E02">
        <w:rPr>
          <w:rFonts w:ascii="Arial" w:hAnsi="Arial" w:cs="Arial"/>
          <w:sz w:val="24"/>
          <w:szCs w:val="24"/>
        </w:rPr>
        <w:t>Duffus</w:t>
      </w:r>
      <w:proofErr w:type="spellEnd"/>
      <w:r w:rsidR="009419A4" w:rsidRPr="00096E02">
        <w:rPr>
          <w:rFonts w:ascii="Arial" w:hAnsi="Arial" w:cs="Arial"/>
          <w:sz w:val="24"/>
          <w:szCs w:val="24"/>
        </w:rPr>
        <w:t xml:space="preserve">, 2022). </w:t>
      </w:r>
    </w:p>
    <w:p w:rsidR="00181429" w:rsidRPr="00096E02" w:rsidRDefault="00102161" w:rsidP="0063737C">
      <w:pPr>
        <w:tabs>
          <w:tab w:val="left" w:pos="950"/>
        </w:tabs>
        <w:rPr>
          <w:rFonts w:ascii="Arial" w:hAnsi="Arial" w:cs="Arial"/>
          <w:sz w:val="24"/>
          <w:szCs w:val="24"/>
        </w:rPr>
      </w:pPr>
      <w:r>
        <w:rPr>
          <w:rFonts w:ascii="Arial" w:hAnsi="Arial" w:cs="Arial"/>
          <w:sz w:val="24"/>
          <w:szCs w:val="24"/>
        </w:rPr>
        <w:t xml:space="preserve">There were significant learning outcomes from the case of </w:t>
      </w:r>
      <w:r w:rsidR="00181429" w:rsidRPr="00096E02">
        <w:rPr>
          <w:rFonts w:ascii="Arial" w:hAnsi="Arial" w:cs="Arial"/>
          <w:sz w:val="24"/>
          <w:szCs w:val="24"/>
        </w:rPr>
        <w:t xml:space="preserve">‘Taylor v Jaguar Land Rover’ (2020). </w:t>
      </w:r>
      <w:r w:rsidR="005B58F7">
        <w:rPr>
          <w:rFonts w:ascii="Arial" w:hAnsi="Arial" w:cs="Arial"/>
          <w:sz w:val="24"/>
          <w:szCs w:val="24"/>
        </w:rPr>
        <w:t>W</w:t>
      </w:r>
      <w:r w:rsidR="00181429" w:rsidRPr="00096E02">
        <w:rPr>
          <w:rFonts w:ascii="Arial" w:hAnsi="Arial" w:cs="Arial"/>
          <w:sz w:val="24"/>
          <w:szCs w:val="24"/>
        </w:rPr>
        <w:t xml:space="preserve">e will </w:t>
      </w:r>
      <w:r w:rsidR="005B58F7">
        <w:rPr>
          <w:rFonts w:ascii="Arial" w:hAnsi="Arial" w:cs="Arial"/>
          <w:sz w:val="24"/>
          <w:szCs w:val="24"/>
        </w:rPr>
        <w:t xml:space="preserve">therefore </w:t>
      </w:r>
      <w:r w:rsidR="00181429" w:rsidRPr="00096E02">
        <w:rPr>
          <w:rFonts w:ascii="Arial" w:hAnsi="Arial" w:cs="Arial"/>
          <w:sz w:val="24"/>
          <w:szCs w:val="24"/>
        </w:rPr>
        <w:t xml:space="preserve">arrange training for all staff on Equality, Diversity and Inclusion including tailored training </w:t>
      </w:r>
      <w:r w:rsidR="00181429">
        <w:rPr>
          <w:rFonts w:ascii="Arial" w:hAnsi="Arial" w:cs="Arial"/>
          <w:sz w:val="24"/>
          <w:szCs w:val="24"/>
        </w:rPr>
        <w:t xml:space="preserve">on </w:t>
      </w:r>
      <w:r w:rsidR="00181429" w:rsidRPr="00096E02">
        <w:rPr>
          <w:rFonts w:ascii="Arial" w:hAnsi="Arial" w:cs="Arial"/>
          <w:sz w:val="24"/>
          <w:szCs w:val="24"/>
        </w:rPr>
        <w:t xml:space="preserve">gender diversity. The training will also examine the revised Tyndall High </w:t>
      </w:r>
      <w:r w:rsidR="00181429">
        <w:rPr>
          <w:rFonts w:ascii="Arial" w:hAnsi="Arial" w:cs="Arial"/>
          <w:sz w:val="24"/>
          <w:szCs w:val="24"/>
        </w:rPr>
        <w:t xml:space="preserve">policies and </w:t>
      </w:r>
      <w:r w:rsidR="00181429" w:rsidRPr="00096E02">
        <w:rPr>
          <w:rFonts w:ascii="Arial" w:hAnsi="Arial" w:cs="Arial"/>
          <w:sz w:val="24"/>
          <w:szCs w:val="24"/>
        </w:rPr>
        <w:t>code of conduct, clearly setting out not only the rights of trans staff, but also the behavioural expectations of all staff (</w:t>
      </w:r>
      <w:proofErr w:type="spellStart"/>
      <w:r w:rsidR="00181429" w:rsidRPr="00096E02">
        <w:rPr>
          <w:rFonts w:ascii="Arial" w:hAnsi="Arial" w:cs="Arial"/>
          <w:sz w:val="24"/>
          <w:szCs w:val="24"/>
        </w:rPr>
        <w:t>Zangina</w:t>
      </w:r>
      <w:proofErr w:type="spellEnd"/>
      <w:r w:rsidR="00181429" w:rsidRPr="00096E02">
        <w:rPr>
          <w:rFonts w:ascii="Arial" w:hAnsi="Arial" w:cs="Arial"/>
          <w:sz w:val="24"/>
          <w:szCs w:val="24"/>
        </w:rPr>
        <w:t xml:space="preserve">, 2023). Training will then be regularly reviewed and reissued to reflect any updates and to ensure a culture of acceptable behaviour is established (Easton, 2022). We would welcome any feedback from staff on any areas they feel would be beneficial to include.  </w:t>
      </w:r>
    </w:p>
    <w:p w:rsidR="006348C5" w:rsidRDefault="009419A4" w:rsidP="00B22942">
      <w:pPr>
        <w:tabs>
          <w:tab w:val="left" w:pos="950"/>
        </w:tabs>
        <w:rPr>
          <w:rFonts w:ascii="Arial" w:hAnsi="Arial" w:cs="Arial"/>
          <w:sz w:val="24"/>
          <w:szCs w:val="24"/>
        </w:rPr>
      </w:pPr>
      <w:r w:rsidRPr="00096E02">
        <w:rPr>
          <w:rFonts w:ascii="Arial" w:hAnsi="Arial" w:cs="Arial"/>
          <w:sz w:val="24"/>
          <w:szCs w:val="24"/>
        </w:rPr>
        <w:t xml:space="preserve">Tyndall High </w:t>
      </w:r>
      <w:r w:rsidR="00DD74FC" w:rsidRPr="00096E02">
        <w:rPr>
          <w:rFonts w:ascii="Arial" w:hAnsi="Arial" w:cs="Arial"/>
          <w:sz w:val="24"/>
          <w:szCs w:val="24"/>
        </w:rPr>
        <w:t>is committed to providing an inclusive environment for all staff and pupils and understands that both social and medical transitioning can be a complex and difficult time.</w:t>
      </w:r>
      <w:r w:rsidR="006348C5">
        <w:rPr>
          <w:rFonts w:ascii="Arial" w:hAnsi="Arial" w:cs="Arial"/>
          <w:sz w:val="24"/>
          <w:szCs w:val="24"/>
        </w:rPr>
        <w:t xml:space="preserve"> </w:t>
      </w:r>
      <w:r w:rsidR="006348C5" w:rsidRPr="00096E02">
        <w:rPr>
          <w:rFonts w:ascii="Arial" w:hAnsi="Arial" w:cs="Arial"/>
          <w:sz w:val="24"/>
          <w:szCs w:val="24"/>
        </w:rPr>
        <w:t xml:space="preserve">With this being considered, we propose the discussion of a transition plan or personal timeline so that support can be provided to individuals in terms of key dates such as medical appointments, any time off required, when they intent to start using their affirmed gender, preferred pronouns, and whether they wish for colleagues or students to be informed with their consent so it can be managed sensitively (UCL, 2023).    </w:t>
      </w:r>
    </w:p>
    <w:p w:rsidR="0024138D" w:rsidRPr="0024138D" w:rsidRDefault="0024138D" w:rsidP="00B22942">
      <w:pPr>
        <w:tabs>
          <w:tab w:val="left" w:pos="950"/>
        </w:tabs>
        <w:rPr>
          <w:rFonts w:ascii="Arial" w:hAnsi="Arial" w:cs="Arial"/>
          <w:b/>
          <w:sz w:val="24"/>
          <w:szCs w:val="24"/>
        </w:rPr>
      </w:pPr>
      <w:r>
        <w:rPr>
          <w:rFonts w:ascii="Arial" w:hAnsi="Arial" w:cs="Arial"/>
          <w:b/>
          <w:sz w:val="24"/>
          <w:szCs w:val="24"/>
        </w:rPr>
        <w:t xml:space="preserve">More Information </w:t>
      </w:r>
    </w:p>
    <w:p w:rsidR="006348C5" w:rsidRPr="00096E02" w:rsidRDefault="006348C5" w:rsidP="00B22942">
      <w:pPr>
        <w:tabs>
          <w:tab w:val="left" w:pos="950"/>
        </w:tabs>
        <w:rPr>
          <w:rFonts w:ascii="Arial" w:hAnsi="Arial" w:cs="Arial"/>
          <w:sz w:val="24"/>
          <w:szCs w:val="24"/>
        </w:rPr>
      </w:pPr>
      <w:r>
        <w:rPr>
          <w:rFonts w:ascii="Arial" w:hAnsi="Arial" w:cs="Arial"/>
          <w:sz w:val="24"/>
          <w:szCs w:val="24"/>
        </w:rPr>
        <w:t>As well as colleagues, y</w:t>
      </w:r>
      <w:r w:rsidRPr="00096E02">
        <w:rPr>
          <w:rFonts w:ascii="Arial" w:hAnsi="Arial" w:cs="Arial"/>
          <w:sz w:val="24"/>
          <w:szCs w:val="24"/>
        </w:rPr>
        <w:t xml:space="preserve">ou may also need to support </w:t>
      </w:r>
      <w:r>
        <w:rPr>
          <w:rFonts w:ascii="Arial" w:hAnsi="Arial" w:cs="Arial"/>
          <w:sz w:val="24"/>
          <w:szCs w:val="24"/>
        </w:rPr>
        <w:t>trans and gender questioning students which can be supported in creating a more trans-friendly environment to demonstrate respect and acceptance to students (NEU, 2019)</w:t>
      </w:r>
      <w:r w:rsidRPr="00096E02">
        <w:rPr>
          <w:rFonts w:ascii="Arial" w:hAnsi="Arial" w:cs="Arial"/>
          <w:sz w:val="24"/>
          <w:szCs w:val="24"/>
        </w:rPr>
        <w:t xml:space="preserve">. </w:t>
      </w:r>
    </w:p>
    <w:p w:rsidR="00BA2BD7" w:rsidRPr="00096E02" w:rsidRDefault="00F57328" w:rsidP="0024138D">
      <w:pPr>
        <w:tabs>
          <w:tab w:val="left" w:pos="950"/>
        </w:tabs>
        <w:jc w:val="center"/>
        <w:rPr>
          <w:rFonts w:ascii="Arial" w:hAnsi="Arial" w:cs="Arial"/>
          <w:sz w:val="24"/>
          <w:szCs w:val="24"/>
        </w:rPr>
      </w:pPr>
      <w:r w:rsidRPr="00096E02">
        <w:rPr>
          <w:rFonts w:ascii="Arial" w:hAnsi="Arial" w:cs="Arial"/>
          <w:sz w:val="24"/>
          <w:szCs w:val="24"/>
        </w:rPr>
        <w:t xml:space="preserve">For any further information, queries or concerns regarding the issues raised, please contact Mr. Brown (Headteacher, Tyndall High School). There are also numerous online resources including the charity Stonewall.org for LGBT resources, or ACAS for workplace rights and legal considerations. </w:t>
      </w:r>
    </w:p>
    <w:p w:rsidR="00BA2BD7" w:rsidRPr="00096E02" w:rsidRDefault="0024138D" w:rsidP="0024138D">
      <w:pPr>
        <w:tabs>
          <w:tab w:val="left" w:pos="950"/>
        </w:tabs>
        <w:jc w:val="center"/>
        <w:rPr>
          <w:rFonts w:ascii="Arial" w:hAnsi="Arial" w:cs="Arial"/>
          <w:sz w:val="24"/>
          <w:szCs w:val="24"/>
        </w:rPr>
      </w:pPr>
      <w:r w:rsidRPr="0024138D">
        <w:rPr>
          <w:rFonts w:ascii="Arial" w:hAnsi="Arial" w:cs="Arial"/>
          <w:sz w:val="24"/>
          <w:szCs w:val="24"/>
        </w:rPr>
        <w:t>“Inclusion and fairness in the workplace</w:t>
      </w:r>
      <w:r w:rsidR="005B58F7">
        <w:rPr>
          <w:rFonts w:ascii="Arial" w:hAnsi="Arial" w:cs="Arial"/>
          <w:sz w:val="24"/>
          <w:szCs w:val="24"/>
        </w:rPr>
        <w:t>..</w:t>
      </w:r>
      <w:bookmarkStart w:id="0" w:name="_GoBack"/>
      <w:bookmarkEnd w:id="0"/>
      <w:r w:rsidRPr="0024138D">
        <w:rPr>
          <w:rFonts w:ascii="Arial" w:hAnsi="Arial" w:cs="Arial"/>
          <w:sz w:val="24"/>
          <w:szCs w:val="24"/>
        </w:rPr>
        <w:t xml:space="preserve"> </w:t>
      </w:r>
      <w:proofErr w:type="gramStart"/>
      <w:r w:rsidRPr="0024138D">
        <w:rPr>
          <w:rFonts w:ascii="Arial" w:hAnsi="Arial" w:cs="Arial"/>
          <w:sz w:val="24"/>
          <w:szCs w:val="24"/>
        </w:rPr>
        <w:t>is</w:t>
      </w:r>
      <w:proofErr w:type="gramEnd"/>
      <w:r w:rsidRPr="0024138D">
        <w:rPr>
          <w:rFonts w:ascii="Arial" w:hAnsi="Arial" w:cs="Arial"/>
          <w:sz w:val="24"/>
          <w:szCs w:val="24"/>
        </w:rPr>
        <w:t xml:space="preserve"> not simply the right thing to do; it’s the smart thing to do.” </w:t>
      </w:r>
      <w:r>
        <w:rPr>
          <w:rFonts w:ascii="Arial" w:hAnsi="Arial" w:cs="Arial"/>
          <w:sz w:val="24"/>
          <w:szCs w:val="24"/>
        </w:rPr>
        <w:t>(</w:t>
      </w:r>
      <w:r w:rsidRPr="0024138D">
        <w:rPr>
          <w:rFonts w:ascii="Arial" w:hAnsi="Arial" w:cs="Arial"/>
          <w:sz w:val="24"/>
          <w:szCs w:val="24"/>
        </w:rPr>
        <w:t>Herman</w:t>
      </w:r>
      <w:r w:rsidR="00B634F2">
        <w:rPr>
          <w:rFonts w:ascii="Arial" w:hAnsi="Arial" w:cs="Arial"/>
          <w:sz w:val="24"/>
          <w:szCs w:val="24"/>
        </w:rPr>
        <w:t xml:space="preserve"> quoted in Majumdar, 2022)</w:t>
      </w:r>
    </w:p>
    <w:p w:rsidR="00BA2BD7" w:rsidRPr="00096E02" w:rsidRDefault="00BA2BD7" w:rsidP="00B22942">
      <w:pPr>
        <w:tabs>
          <w:tab w:val="left" w:pos="950"/>
        </w:tabs>
        <w:rPr>
          <w:rFonts w:ascii="Arial" w:hAnsi="Arial" w:cs="Arial"/>
          <w:sz w:val="24"/>
          <w:szCs w:val="24"/>
        </w:rPr>
      </w:pPr>
    </w:p>
    <w:p w:rsidR="00BA2BD7" w:rsidRPr="00096E02" w:rsidRDefault="00BA2BD7" w:rsidP="00B22942">
      <w:pPr>
        <w:tabs>
          <w:tab w:val="left" w:pos="950"/>
        </w:tabs>
        <w:rPr>
          <w:rFonts w:ascii="Arial" w:hAnsi="Arial" w:cs="Arial"/>
          <w:sz w:val="24"/>
          <w:szCs w:val="24"/>
        </w:rPr>
      </w:pPr>
    </w:p>
    <w:p w:rsidR="00BA2BD7" w:rsidRPr="00096E02" w:rsidRDefault="00BA2BD7" w:rsidP="00B22942">
      <w:pPr>
        <w:tabs>
          <w:tab w:val="left" w:pos="950"/>
        </w:tabs>
        <w:rPr>
          <w:rFonts w:ascii="Arial" w:hAnsi="Arial" w:cs="Arial"/>
          <w:sz w:val="24"/>
          <w:szCs w:val="24"/>
        </w:rPr>
      </w:pPr>
    </w:p>
    <w:p w:rsidR="00BA2BD7" w:rsidRPr="00096E02" w:rsidRDefault="00BA2BD7" w:rsidP="00B22942">
      <w:pPr>
        <w:tabs>
          <w:tab w:val="left" w:pos="950"/>
        </w:tabs>
        <w:rPr>
          <w:rFonts w:ascii="Arial" w:hAnsi="Arial" w:cs="Arial"/>
          <w:sz w:val="24"/>
          <w:szCs w:val="24"/>
        </w:rPr>
      </w:pPr>
    </w:p>
    <w:p w:rsidR="00BA2BD7" w:rsidRPr="00096E02" w:rsidRDefault="00BA2BD7" w:rsidP="00B22942">
      <w:pPr>
        <w:tabs>
          <w:tab w:val="left" w:pos="950"/>
        </w:tabs>
        <w:rPr>
          <w:rFonts w:ascii="Arial" w:hAnsi="Arial" w:cs="Arial"/>
          <w:sz w:val="24"/>
          <w:szCs w:val="24"/>
        </w:rPr>
      </w:pPr>
    </w:p>
    <w:p w:rsidR="00BA2BD7" w:rsidRPr="00096E02" w:rsidRDefault="00BA2BD7" w:rsidP="00B22942">
      <w:pPr>
        <w:tabs>
          <w:tab w:val="left" w:pos="950"/>
        </w:tabs>
        <w:rPr>
          <w:rFonts w:ascii="Arial" w:hAnsi="Arial" w:cs="Arial"/>
          <w:sz w:val="24"/>
          <w:szCs w:val="24"/>
        </w:rPr>
      </w:pPr>
    </w:p>
    <w:p w:rsidR="00BA2BD7" w:rsidRPr="002004C5" w:rsidRDefault="00BA2BD7" w:rsidP="002004C5">
      <w:pPr>
        <w:tabs>
          <w:tab w:val="left" w:pos="950"/>
        </w:tabs>
        <w:jc w:val="center"/>
        <w:rPr>
          <w:rFonts w:ascii="Arial" w:hAnsi="Arial" w:cs="Arial"/>
          <w:b/>
          <w:color w:val="000000" w:themeColor="text1"/>
          <w:sz w:val="28"/>
          <w:szCs w:val="24"/>
        </w:rPr>
      </w:pPr>
      <w:r w:rsidRPr="002004C5">
        <w:rPr>
          <w:rFonts w:ascii="Arial" w:hAnsi="Arial" w:cs="Arial"/>
          <w:b/>
          <w:color w:val="000000" w:themeColor="text1"/>
          <w:sz w:val="28"/>
          <w:szCs w:val="24"/>
        </w:rPr>
        <w:t>Bibliography</w:t>
      </w:r>
    </w:p>
    <w:p w:rsidR="000A488F" w:rsidRPr="002004C5" w:rsidRDefault="000A488F"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ACAS (2017) </w:t>
      </w:r>
      <w:r w:rsidRPr="002004C5">
        <w:rPr>
          <w:rFonts w:ascii="Arial" w:hAnsi="Arial" w:cs="Arial"/>
          <w:i/>
          <w:color w:val="000000" w:themeColor="text1"/>
          <w:sz w:val="24"/>
          <w:szCs w:val="24"/>
        </w:rPr>
        <w:t xml:space="preserve">Supporting trans employees in the workplace. </w:t>
      </w:r>
      <w:r w:rsidRPr="002004C5">
        <w:rPr>
          <w:rFonts w:ascii="Arial" w:hAnsi="Arial" w:cs="Arial"/>
          <w:color w:val="000000" w:themeColor="text1"/>
          <w:sz w:val="24"/>
          <w:szCs w:val="24"/>
        </w:rPr>
        <w:t xml:space="preserve">Available at: </w:t>
      </w:r>
      <w:hyperlink r:id="rId8" w:history="1">
        <w:r w:rsidRPr="002004C5">
          <w:rPr>
            <w:rStyle w:val="Hyperlink"/>
            <w:rFonts w:ascii="Arial" w:hAnsi="Arial" w:cs="Arial"/>
            <w:color w:val="000000" w:themeColor="text1"/>
            <w:sz w:val="24"/>
            <w:szCs w:val="24"/>
          </w:rPr>
          <w:t>https://www.equalityhumanrights.com/en/advice-and-guidance/gender-reassignment-provisions-equality-act</w:t>
        </w:r>
      </w:hyperlink>
      <w:r w:rsidRPr="002004C5">
        <w:rPr>
          <w:rFonts w:ascii="Arial" w:hAnsi="Arial" w:cs="Arial"/>
          <w:color w:val="000000" w:themeColor="text1"/>
          <w:sz w:val="24"/>
          <w:szCs w:val="24"/>
        </w:rPr>
        <w:t xml:space="preserve"> (Accessed: 07 May 2023) </w:t>
      </w:r>
    </w:p>
    <w:p w:rsidR="00FA1A9C" w:rsidRPr="002004C5" w:rsidRDefault="00FA1A9C"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ACAS (2023) </w:t>
      </w:r>
      <w:r w:rsidRPr="002004C5">
        <w:rPr>
          <w:rFonts w:ascii="Arial" w:hAnsi="Arial" w:cs="Arial"/>
          <w:i/>
          <w:color w:val="000000" w:themeColor="text1"/>
          <w:sz w:val="24"/>
          <w:szCs w:val="24"/>
        </w:rPr>
        <w:t xml:space="preserve">Disability discrimination at work. </w:t>
      </w:r>
      <w:r w:rsidRPr="002004C5">
        <w:rPr>
          <w:rFonts w:ascii="Arial" w:hAnsi="Arial" w:cs="Arial"/>
          <w:color w:val="000000" w:themeColor="text1"/>
          <w:sz w:val="24"/>
          <w:szCs w:val="24"/>
        </w:rPr>
        <w:t xml:space="preserve">Available at: </w:t>
      </w:r>
      <w:hyperlink r:id="rId9" w:anchor=":~:text=Anyone%20who%20discriminates%20against%20someone%20at%20work%20is,to%20look%20after%20the%20wellbeing%20of%20their%20employees" w:history="1">
        <w:r w:rsidRPr="002004C5">
          <w:rPr>
            <w:rStyle w:val="Hyperlink"/>
            <w:rFonts w:ascii="Arial" w:hAnsi="Arial" w:cs="Arial"/>
            <w:color w:val="000000" w:themeColor="text1"/>
            <w:sz w:val="24"/>
            <w:szCs w:val="24"/>
          </w:rPr>
          <w:t>https://www.acas.org.uk/disability-discrimination#:~:text=Anyone%20who</w:t>
        </w:r>
        <w:r w:rsidR="002004C5">
          <w:rPr>
            <w:rStyle w:val="Hyperlink"/>
            <w:rFonts w:ascii="Arial" w:hAnsi="Arial" w:cs="Arial"/>
            <w:color w:val="000000" w:themeColor="text1"/>
            <w:sz w:val="24"/>
            <w:szCs w:val="24"/>
          </w:rPr>
          <w:t>‌</w:t>
        </w:r>
        <w:r w:rsidRPr="002004C5">
          <w:rPr>
            <w:rStyle w:val="Hyperlink"/>
            <w:rFonts w:ascii="Arial" w:hAnsi="Arial" w:cs="Arial"/>
            <w:color w:val="000000" w:themeColor="text1"/>
            <w:sz w:val="24"/>
            <w:szCs w:val="24"/>
          </w:rPr>
          <w:t>%20discriminates</w:t>
        </w:r>
        <w:r w:rsidR="002004C5">
          <w:rPr>
            <w:rStyle w:val="Hyperlink"/>
            <w:rFonts w:ascii="Arial" w:hAnsi="Arial" w:cs="Arial"/>
            <w:color w:val="000000" w:themeColor="text1"/>
            <w:sz w:val="24"/>
            <w:szCs w:val="24"/>
          </w:rPr>
          <w:t>‌</w:t>
        </w:r>
        <w:r w:rsidRPr="002004C5">
          <w:rPr>
            <w:rStyle w:val="Hyperlink"/>
            <w:rFonts w:ascii="Arial" w:hAnsi="Arial" w:cs="Arial"/>
            <w:color w:val="000000" w:themeColor="text1"/>
            <w:sz w:val="24"/>
            <w:szCs w:val="24"/>
          </w:rPr>
          <w:t>%20against%20someone%20at%20work%20is,to%20look%20</w:t>
        </w:r>
        <w:r w:rsidR="002004C5">
          <w:rPr>
            <w:rStyle w:val="Hyperlink"/>
            <w:rFonts w:ascii="Arial" w:hAnsi="Arial" w:cs="Arial"/>
            <w:color w:val="000000" w:themeColor="text1"/>
            <w:sz w:val="24"/>
            <w:szCs w:val="24"/>
          </w:rPr>
          <w:t>‌</w:t>
        </w:r>
        <w:r w:rsidRPr="002004C5">
          <w:rPr>
            <w:rStyle w:val="Hyperlink"/>
            <w:rFonts w:ascii="Arial" w:hAnsi="Arial" w:cs="Arial"/>
            <w:color w:val="000000" w:themeColor="text1"/>
            <w:sz w:val="24"/>
            <w:szCs w:val="24"/>
          </w:rPr>
          <w:t>after%20the%20wellbeing%20of%20their%20employees</w:t>
        </w:r>
      </w:hyperlink>
      <w:r w:rsidRPr="002004C5">
        <w:rPr>
          <w:rFonts w:ascii="Arial" w:hAnsi="Arial" w:cs="Arial"/>
          <w:color w:val="000000" w:themeColor="text1"/>
          <w:sz w:val="24"/>
          <w:szCs w:val="24"/>
        </w:rPr>
        <w:t xml:space="preserve">. (Accessed: 08 May 2023) </w:t>
      </w:r>
    </w:p>
    <w:p w:rsidR="00F62853" w:rsidRPr="002004C5" w:rsidRDefault="00F62853"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Ali, L. (2021) </w:t>
      </w:r>
      <w:r w:rsidRPr="002004C5">
        <w:rPr>
          <w:rFonts w:ascii="Arial" w:hAnsi="Arial" w:cs="Arial"/>
          <w:i/>
          <w:color w:val="000000" w:themeColor="text1"/>
          <w:sz w:val="24"/>
          <w:szCs w:val="24"/>
        </w:rPr>
        <w:t xml:space="preserve">Sexual orientation, gender identity, gender reassignment and employment. </w:t>
      </w:r>
      <w:r w:rsidRPr="002004C5">
        <w:rPr>
          <w:rFonts w:ascii="Arial" w:hAnsi="Arial" w:cs="Arial"/>
          <w:color w:val="000000" w:themeColor="text1"/>
          <w:sz w:val="24"/>
          <w:szCs w:val="24"/>
        </w:rPr>
        <w:t xml:space="preserve">Available at: </w:t>
      </w:r>
      <w:hyperlink r:id="rId10" w:anchor="the-uk-legal-position" w:history="1">
        <w:r w:rsidRPr="002004C5">
          <w:rPr>
            <w:rStyle w:val="Hyperlink"/>
            <w:rFonts w:ascii="Arial" w:hAnsi="Arial" w:cs="Arial"/>
            <w:color w:val="000000" w:themeColor="text1"/>
            <w:sz w:val="24"/>
            <w:szCs w:val="24"/>
          </w:rPr>
          <w:t>https://www.cipd.org/uk/knowledge/factsheets/sexual-orientation-discrimination-factsheet/#the-uk-legal-position</w:t>
        </w:r>
      </w:hyperlink>
      <w:r w:rsidRPr="002004C5">
        <w:rPr>
          <w:rFonts w:ascii="Arial" w:hAnsi="Arial" w:cs="Arial"/>
          <w:color w:val="000000" w:themeColor="text1"/>
          <w:sz w:val="24"/>
          <w:szCs w:val="24"/>
        </w:rPr>
        <w:t xml:space="preserve"> (Accessed: 08 May 2023) </w:t>
      </w:r>
    </w:p>
    <w:p w:rsidR="00137686" w:rsidRPr="002004C5" w:rsidRDefault="00137686"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 xml:space="preserve">American Psychological Association (2023) </w:t>
      </w:r>
      <w:r w:rsidRPr="002004C5">
        <w:rPr>
          <w:rFonts w:ascii="Arial" w:hAnsi="Arial" w:cs="Arial"/>
          <w:i/>
          <w:color w:val="000000" w:themeColor="text1"/>
          <w:sz w:val="24"/>
          <w:szCs w:val="24"/>
          <w:shd w:val="clear" w:color="auto" w:fill="FFFFFF"/>
        </w:rPr>
        <w:t>Understanding transgender people, gender identity and gender expression</w:t>
      </w:r>
      <w:r w:rsidRPr="002004C5">
        <w:rPr>
          <w:rFonts w:ascii="Arial" w:hAnsi="Arial" w:cs="Arial"/>
          <w:color w:val="000000" w:themeColor="text1"/>
          <w:sz w:val="24"/>
          <w:szCs w:val="24"/>
          <w:shd w:val="clear" w:color="auto" w:fill="FFFFFF"/>
        </w:rPr>
        <w:t xml:space="preserve">. Available at: </w:t>
      </w:r>
      <w:hyperlink r:id="rId11" w:history="1">
        <w:r w:rsidRPr="002004C5">
          <w:rPr>
            <w:rStyle w:val="Hyperlink"/>
            <w:rFonts w:ascii="Arial" w:hAnsi="Arial" w:cs="Arial"/>
            <w:color w:val="000000" w:themeColor="text1"/>
            <w:sz w:val="24"/>
            <w:szCs w:val="24"/>
            <w:shd w:val="clear" w:color="auto" w:fill="FFFFFF"/>
          </w:rPr>
          <w:t>https://www.apa.org/</w:t>
        </w:r>
        <w:r w:rsidR="002004C5">
          <w:rPr>
            <w:rStyle w:val="Hyperlink"/>
            <w:rFonts w:ascii="Arial" w:hAnsi="Arial" w:cs="Arial"/>
            <w:color w:val="000000" w:themeColor="text1"/>
            <w:sz w:val="24"/>
            <w:szCs w:val="24"/>
            <w:shd w:val="clear" w:color="auto" w:fill="FFFFFF"/>
          </w:rPr>
          <w:t>‌</w:t>
        </w:r>
        <w:r w:rsidRPr="002004C5">
          <w:rPr>
            <w:rStyle w:val="Hyperlink"/>
            <w:rFonts w:ascii="Arial" w:hAnsi="Arial" w:cs="Arial"/>
            <w:color w:val="000000" w:themeColor="text1"/>
            <w:sz w:val="24"/>
            <w:szCs w:val="24"/>
            <w:shd w:val="clear" w:color="auto" w:fill="FFFFFF"/>
          </w:rPr>
          <w:t>topics/lgbtq/transgender-people-gender-identity-gender-expression</w:t>
        </w:r>
      </w:hyperlink>
      <w:r w:rsidRPr="002004C5">
        <w:rPr>
          <w:rFonts w:ascii="Arial" w:hAnsi="Arial" w:cs="Arial"/>
          <w:color w:val="000000" w:themeColor="text1"/>
          <w:sz w:val="24"/>
          <w:szCs w:val="24"/>
          <w:shd w:val="clear" w:color="auto" w:fill="FFFFFF"/>
        </w:rPr>
        <w:t xml:space="preserve"> (Accessed: 07 May 2023) </w:t>
      </w:r>
    </w:p>
    <w:p w:rsidR="004D238F" w:rsidRPr="002004C5" w:rsidRDefault="004D238F"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Bliss, L. (2019) ‘The Protection from Harassment Act 1997: Failures by the Criminal Justice System in a Social Media Age’, </w:t>
      </w:r>
      <w:r w:rsidRPr="002004C5">
        <w:rPr>
          <w:rFonts w:ascii="Arial" w:hAnsi="Arial" w:cs="Arial"/>
          <w:i/>
          <w:iCs/>
          <w:color w:val="000000" w:themeColor="text1"/>
          <w:sz w:val="24"/>
          <w:szCs w:val="24"/>
          <w:shd w:val="clear" w:color="auto" w:fill="FFFFFF"/>
        </w:rPr>
        <w:t xml:space="preserve">Journal of criminal </w:t>
      </w:r>
      <w:proofErr w:type="gramStart"/>
      <w:r w:rsidRPr="002004C5">
        <w:rPr>
          <w:rFonts w:ascii="Arial" w:hAnsi="Arial" w:cs="Arial"/>
          <w:i/>
          <w:iCs/>
          <w:color w:val="000000" w:themeColor="text1"/>
          <w:sz w:val="24"/>
          <w:szCs w:val="24"/>
          <w:shd w:val="clear" w:color="auto" w:fill="FFFFFF"/>
        </w:rPr>
        <w:t xml:space="preserve">law </w:t>
      </w:r>
      <w:r w:rsidRPr="002004C5">
        <w:rPr>
          <w:rFonts w:ascii="Arial" w:hAnsi="Arial" w:cs="Arial"/>
          <w:color w:val="000000" w:themeColor="text1"/>
          <w:sz w:val="24"/>
          <w:szCs w:val="24"/>
          <w:shd w:val="clear" w:color="auto" w:fill="FFFFFF"/>
        </w:rPr>
        <w:t>,</w:t>
      </w:r>
      <w:proofErr w:type="gramEnd"/>
      <w:r w:rsidRPr="002004C5">
        <w:rPr>
          <w:rFonts w:ascii="Arial" w:hAnsi="Arial" w:cs="Arial"/>
          <w:color w:val="000000" w:themeColor="text1"/>
          <w:sz w:val="24"/>
          <w:szCs w:val="24"/>
          <w:shd w:val="clear" w:color="auto" w:fill="FFFFFF"/>
        </w:rPr>
        <w:t xml:space="preserve"> 83(3), pp. 217–228. Available at: https://doi.org/10.1177/0022018319829262</w:t>
      </w:r>
    </w:p>
    <w:p w:rsidR="00BA2BD7" w:rsidRPr="002004C5" w:rsidRDefault="00BA2BD7"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Channing, I. and Ward, J. (2017) ‘Homophobia, Brexit and constitutional change’, </w:t>
      </w:r>
      <w:r w:rsidRPr="002004C5">
        <w:rPr>
          <w:rFonts w:ascii="Arial" w:hAnsi="Arial" w:cs="Arial"/>
          <w:i/>
          <w:iCs/>
          <w:color w:val="000000" w:themeColor="text1"/>
          <w:sz w:val="24"/>
          <w:szCs w:val="24"/>
          <w:shd w:val="clear" w:color="auto" w:fill="FFFFFF"/>
        </w:rPr>
        <w:t>Safer communities</w:t>
      </w:r>
      <w:r w:rsidRPr="002004C5">
        <w:rPr>
          <w:rFonts w:ascii="Arial" w:hAnsi="Arial" w:cs="Arial"/>
          <w:color w:val="000000" w:themeColor="text1"/>
          <w:sz w:val="24"/>
          <w:szCs w:val="24"/>
          <w:shd w:val="clear" w:color="auto" w:fill="FFFFFF"/>
        </w:rPr>
        <w:t xml:space="preserve">, 16(4), pp. 166–175. Available at: </w:t>
      </w:r>
      <w:hyperlink r:id="rId12" w:history="1">
        <w:r w:rsidRPr="002004C5">
          <w:rPr>
            <w:rStyle w:val="Hyperlink"/>
            <w:rFonts w:ascii="Arial" w:hAnsi="Arial" w:cs="Arial"/>
            <w:color w:val="000000" w:themeColor="text1"/>
            <w:sz w:val="24"/>
            <w:szCs w:val="24"/>
            <w:shd w:val="clear" w:color="auto" w:fill="FFFFFF"/>
          </w:rPr>
          <w:t>https://doi.org/10.1108/SC-08-2017-0032</w:t>
        </w:r>
      </w:hyperlink>
      <w:r w:rsidRPr="002004C5">
        <w:rPr>
          <w:rFonts w:ascii="Arial" w:hAnsi="Arial" w:cs="Arial"/>
          <w:color w:val="000000" w:themeColor="text1"/>
          <w:sz w:val="24"/>
          <w:szCs w:val="24"/>
          <w:shd w:val="clear" w:color="auto" w:fill="FFFFFF"/>
        </w:rPr>
        <w:t xml:space="preserve"> </w:t>
      </w:r>
    </w:p>
    <w:p w:rsidR="00BE5690" w:rsidRPr="002004C5" w:rsidRDefault="00BE5690" w:rsidP="002004C5">
      <w:pPr>
        <w:widowControl w:val="0"/>
        <w:suppressLineNumbers/>
        <w:tabs>
          <w:tab w:val="left" w:pos="720"/>
          <w:tab w:val="left" w:pos="390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 xml:space="preserve">Citizens Advice (2019) Work out how much compensation you could get for discrimination. Available at: </w:t>
      </w:r>
      <w:hyperlink r:id="rId13" w:history="1">
        <w:r w:rsidRPr="002004C5">
          <w:rPr>
            <w:rStyle w:val="Hyperlink"/>
            <w:rFonts w:ascii="Arial" w:hAnsi="Arial" w:cs="Arial"/>
            <w:color w:val="000000" w:themeColor="text1"/>
            <w:sz w:val="24"/>
            <w:szCs w:val="24"/>
          </w:rPr>
          <w:t>https://www.citizensadvice.org.uk/work/discrimination-at-work/discrimination-at-work/taking-action/work-out-how-much-compensation-you-could-get-for-discrimination-work/</w:t>
        </w:r>
      </w:hyperlink>
      <w:r w:rsidRPr="002004C5">
        <w:rPr>
          <w:rFonts w:ascii="Arial" w:hAnsi="Arial" w:cs="Arial"/>
          <w:color w:val="000000" w:themeColor="text1"/>
          <w:sz w:val="24"/>
          <w:szCs w:val="24"/>
        </w:rPr>
        <w:t xml:space="preserve"> (Accessed: 08 May 2023) </w:t>
      </w:r>
    </w:p>
    <w:p w:rsidR="009419A4" w:rsidRPr="002004C5" w:rsidRDefault="009419A4" w:rsidP="002004C5">
      <w:pPr>
        <w:tabs>
          <w:tab w:val="left" w:pos="950"/>
        </w:tabs>
        <w:rPr>
          <w:rFonts w:ascii="Arial" w:hAnsi="Arial" w:cs="Arial"/>
          <w:color w:val="000000" w:themeColor="text1"/>
          <w:sz w:val="24"/>
          <w:szCs w:val="24"/>
          <w:shd w:val="clear" w:color="auto" w:fill="FFFFFF"/>
        </w:rPr>
      </w:pPr>
      <w:proofErr w:type="spellStart"/>
      <w:r w:rsidRPr="002004C5">
        <w:rPr>
          <w:rFonts w:ascii="Arial" w:hAnsi="Arial" w:cs="Arial"/>
          <w:color w:val="000000" w:themeColor="text1"/>
          <w:sz w:val="24"/>
          <w:szCs w:val="24"/>
          <w:shd w:val="clear" w:color="auto" w:fill="FFFFFF"/>
        </w:rPr>
        <w:t>Colliver</w:t>
      </w:r>
      <w:proofErr w:type="spellEnd"/>
      <w:r w:rsidRPr="002004C5">
        <w:rPr>
          <w:rFonts w:ascii="Arial" w:hAnsi="Arial" w:cs="Arial"/>
          <w:color w:val="000000" w:themeColor="text1"/>
          <w:sz w:val="24"/>
          <w:szCs w:val="24"/>
          <w:shd w:val="clear" w:color="auto" w:fill="FFFFFF"/>
        </w:rPr>
        <w:t xml:space="preserve">, B. and </w:t>
      </w:r>
      <w:proofErr w:type="spellStart"/>
      <w:r w:rsidRPr="002004C5">
        <w:rPr>
          <w:rFonts w:ascii="Arial" w:hAnsi="Arial" w:cs="Arial"/>
          <w:color w:val="000000" w:themeColor="text1"/>
          <w:sz w:val="24"/>
          <w:szCs w:val="24"/>
          <w:shd w:val="clear" w:color="auto" w:fill="FFFFFF"/>
        </w:rPr>
        <w:t>Duffus</w:t>
      </w:r>
      <w:proofErr w:type="spellEnd"/>
      <w:r w:rsidRPr="002004C5">
        <w:rPr>
          <w:rFonts w:ascii="Arial" w:hAnsi="Arial" w:cs="Arial"/>
          <w:color w:val="000000" w:themeColor="text1"/>
          <w:sz w:val="24"/>
          <w:szCs w:val="24"/>
          <w:shd w:val="clear" w:color="auto" w:fill="FFFFFF"/>
        </w:rPr>
        <w:t>, M. (2022) ‘Queer Space: Toilet Provision, Access and Inclusion in the West Midlands’, </w:t>
      </w:r>
      <w:r w:rsidRPr="002004C5">
        <w:rPr>
          <w:rFonts w:ascii="Arial" w:hAnsi="Arial" w:cs="Arial"/>
          <w:i/>
          <w:iCs/>
          <w:color w:val="000000" w:themeColor="text1"/>
          <w:sz w:val="24"/>
          <w:szCs w:val="24"/>
          <w:shd w:val="clear" w:color="auto" w:fill="FFFFFF"/>
        </w:rPr>
        <w:t>Sexuality research &amp; social policy</w:t>
      </w:r>
      <w:r w:rsidRPr="002004C5">
        <w:rPr>
          <w:rFonts w:ascii="Arial" w:hAnsi="Arial" w:cs="Arial"/>
          <w:color w:val="000000" w:themeColor="text1"/>
          <w:sz w:val="24"/>
          <w:szCs w:val="24"/>
          <w:shd w:val="clear" w:color="auto" w:fill="FFFFFF"/>
        </w:rPr>
        <w:t xml:space="preserve">, 19(4), pp. 1483–1495. Available at: </w:t>
      </w:r>
      <w:hyperlink r:id="rId14" w:history="1">
        <w:r w:rsidRPr="002004C5">
          <w:rPr>
            <w:rStyle w:val="Hyperlink"/>
            <w:rFonts w:ascii="Arial" w:hAnsi="Arial" w:cs="Arial"/>
            <w:color w:val="000000" w:themeColor="text1"/>
            <w:sz w:val="24"/>
            <w:szCs w:val="24"/>
            <w:shd w:val="clear" w:color="auto" w:fill="FFFFFF"/>
          </w:rPr>
          <w:t>https://doi.org/10.1007/s13178-021-00658-8</w:t>
        </w:r>
      </w:hyperlink>
      <w:r w:rsidRPr="002004C5">
        <w:rPr>
          <w:rFonts w:ascii="Arial" w:hAnsi="Arial" w:cs="Arial"/>
          <w:color w:val="000000" w:themeColor="text1"/>
          <w:sz w:val="24"/>
          <w:szCs w:val="24"/>
          <w:shd w:val="clear" w:color="auto" w:fill="FFFFFF"/>
        </w:rPr>
        <w:t xml:space="preserve"> </w:t>
      </w:r>
    </w:p>
    <w:p w:rsidR="006745CF" w:rsidRPr="002004C5" w:rsidRDefault="006745CF"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Daniels, K. (2022) </w:t>
      </w:r>
      <w:r w:rsidRPr="002004C5">
        <w:rPr>
          <w:rFonts w:ascii="Arial" w:hAnsi="Arial" w:cs="Arial"/>
          <w:i/>
          <w:iCs/>
          <w:color w:val="000000" w:themeColor="text1"/>
          <w:sz w:val="24"/>
          <w:szCs w:val="24"/>
          <w:shd w:val="clear" w:color="auto" w:fill="FFFFFF"/>
        </w:rPr>
        <w:t xml:space="preserve">Introduction to employment </w:t>
      </w:r>
      <w:proofErr w:type="gramStart"/>
      <w:r w:rsidRPr="002004C5">
        <w:rPr>
          <w:rFonts w:ascii="Arial" w:hAnsi="Arial" w:cs="Arial"/>
          <w:i/>
          <w:iCs/>
          <w:color w:val="000000" w:themeColor="text1"/>
          <w:sz w:val="24"/>
          <w:szCs w:val="24"/>
          <w:shd w:val="clear" w:color="auto" w:fill="FFFFFF"/>
        </w:rPr>
        <w:t>law :</w:t>
      </w:r>
      <w:proofErr w:type="gramEnd"/>
      <w:r w:rsidRPr="002004C5">
        <w:rPr>
          <w:rFonts w:ascii="Arial" w:hAnsi="Arial" w:cs="Arial"/>
          <w:i/>
          <w:iCs/>
          <w:color w:val="000000" w:themeColor="text1"/>
          <w:sz w:val="24"/>
          <w:szCs w:val="24"/>
          <w:shd w:val="clear" w:color="auto" w:fill="FFFFFF"/>
        </w:rPr>
        <w:t xml:space="preserve"> fundamentals for HR and business students</w:t>
      </w:r>
      <w:r w:rsidRPr="002004C5">
        <w:rPr>
          <w:rFonts w:ascii="Arial" w:hAnsi="Arial" w:cs="Arial"/>
          <w:color w:val="000000" w:themeColor="text1"/>
          <w:sz w:val="24"/>
          <w:szCs w:val="24"/>
          <w:shd w:val="clear" w:color="auto" w:fill="FFFFFF"/>
        </w:rPr>
        <w:t>. Sixth edition. London, England: Kogan Page Limited.</w:t>
      </w:r>
    </w:p>
    <w:p w:rsidR="00A8137C" w:rsidRPr="002004C5" w:rsidRDefault="00A8137C"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 xml:space="preserve">Dunn, E. (2020) </w:t>
      </w:r>
      <w:r w:rsidRPr="002004C5">
        <w:rPr>
          <w:rFonts w:ascii="Arial" w:hAnsi="Arial" w:cs="Arial"/>
          <w:i/>
          <w:color w:val="000000" w:themeColor="text1"/>
          <w:sz w:val="24"/>
          <w:szCs w:val="24"/>
          <w:shd w:val="clear" w:color="auto" w:fill="FFFFFF"/>
        </w:rPr>
        <w:t xml:space="preserve">The Equality Act 2010, a gender and me. </w:t>
      </w:r>
      <w:r w:rsidRPr="002004C5">
        <w:rPr>
          <w:rFonts w:ascii="Arial" w:hAnsi="Arial" w:cs="Arial"/>
          <w:color w:val="000000" w:themeColor="text1"/>
          <w:sz w:val="24"/>
          <w:szCs w:val="24"/>
          <w:shd w:val="clear" w:color="auto" w:fill="FFFFFF"/>
        </w:rPr>
        <w:t xml:space="preserve">Available at: </w:t>
      </w:r>
      <w:hyperlink r:id="rId15" w:history="1">
        <w:r w:rsidRPr="002004C5">
          <w:rPr>
            <w:rStyle w:val="Hyperlink"/>
            <w:rFonts w:ascii="Arial" w:hAnsi="Arial" w:cs="Arial"/>
            <w:color w:val="000000" w:themeColor="text1"/>
            <w:sz w:val="24"/>
            <w:szCs w:val="24"/>
            <w:shd w:val="clear" w:color="auto" w:fill="FFFFFF"/>
          </w:rPr>
          <w:t>https://www.acas.org.uk/the-equality-act-2010-agender-and-me</w:t>
        </w:r>
      </w:hyperlink>
      <w:r w:rsidRPr="002004C5">
        <w:rPr>
          <w:rFonts w:ascii="Arial" w:hAnsi="Arial" w:cs="Arial"/>
          <w:color w:val="000000" w:themeColor="text1"/>
          <w:sz w:val="24"/>
          <w:szCs w:val="24"/>
          <w:shd w:val="clear" w:color="auto" w:fill="FFFFFF"/>
        </w:rPr>
        <w:t xml:space="preserve"> (Accessed: 07 May 2023) </w:t>
      </w:r>
    </w:p>
    <w:p w:rsidR="00D75C2E" w:rsidRPr="002004C5" w:rsidRDefault="00D75C2E"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 xml:space="preserve">Easton, R. (2022) </w:t>
      </w:r>
      <w:r w:rsidRPr="002004C5">
        <w:rPr>
          <w:rFonts w:ascii="Arial" w:hAnsi="Arial" w:cs="Arial"/>
          <w:i/>
          <w:color w:val="000000" w:themeColor="text1"/>
          <w:sz w:val="24"/>
          <w:szCs w:val="24"/>
          <w:shd w:val="clear" w:color="auto" w:fill="FFFFFF"/>
        </w:rPr>
        <w:t xml:space="preserve">How can employers avoid gender discrimination claims? </w:t>
      </w:r>
      <w:r w:rsidRPr="002004C5">
        <w:rPr>
          <w:rFonts w:ascii="Arial" w:hAnsi="Arial" w:cs="Arial"/>
          <w:color w:val="000000" w:themeColor="text1"/>
          <w:sz w:val="24"/>
          <w:szCs w:val="24"/>
          <w:shd w:val="clear" w:color="auto" w:fill="FFFFFF"/>
        </w:rPr>
        <w:t xml:space="preserve">Available at: </w:t>
      </w:r>
      <w:hyperlink r:id="rId16" w:history="1">
        <w:r w:rsidRPr="002004C5">
          <w:rPr>
            <w:rStyle w:val="Hyperlink"/>
            <w:rFonts w:ascii="Arial" w:hAnsi="Arial" w:cs="Arial"/>
            <w:color w:val="000000" w:themeColor="text1"/>
            <w:sz w:val="24"/>
            <w:szCs w:val="24"/>
            <w:shd w:val="clear" w:color="auto" w:fill="FFFFFF"/>
          </w:rPr>
          <w:t>https://www.peoplemanagement.co.uk/article/1800238/employers-avoid-gender-discrimination-claims</w:t>
        </w:r>
      </w:hyperlink>
      <w:r w:rsidRPr="002004C5">
        <w:rPr>
          <w:rFonts w:ascii="Arial" w:hAnsi="Arial" w:cs="Arial"/>
          <w:color w:val="000000" w:themeColor="text1"/>
          <w:sz w:val="24"/>
          <w:szCs w:val="24"/>
          <w:shd w:val="clear" w:color="auto" w:fill="FFFFFF"/>
        </w:rPr>
        <w:t xml:space="preserve"> (Accessed: 08 May 2023) </w:t>
      </w:r>
    </w:p>
    <w:p w:rsidR="00C43A4F" w:rsidRPr="002004C5" w:rsidRDefault="00C43A4F" w:rsidP="002004C5">
      <w:pPr>
        <w:widowControl w:val="0"/>
        <w:suppressLineNumbers/>
        <w:tabs>
          <w:tab w:val="left" w:pos="720"/>
          <w:tab w:val="left" w:pos="390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 xml:space="preserve">Equality Act (2010) Available at: </w:t>
      </w:r>
      <w:hyperlink r:id="rId17" w:history="1">
        <w:r w:rsidRPr="002004C5">
          <w:rPr>
            <w:rStyle w:val="Hyperlink"/>
            <w:rFonts w:ascii="Arial" w:hAnsi="Arial" w:cs="Arial"/>
            <w:color w:val="000000" w:themeColor="text1"/>
            <w:sz w:val="24"/>
            <w:szCs w:val="24"/>
          </w:rPr>
          <w:t>https://www.legislation.gov.uk/ukpga/2010/15/</w:t>
        </w:r>
        <w:r w:rsidR="002004C5">
          <w:rPr>
            <w:rStyle w:val="Hyperlink"/>
            <w:rFonts w:ascii="Arial" w:hAnsi="Arial" w:cs="Arial"/>
            <w:color w:val="000000" w:themeColor="text1"/>
            <w:sz w:val="24"/>
            <w:szCs w:val="24"/>
          </w:rPr>
          <w:t>‌</w:t>
        </w:r>
        <w:r w:rsidRPr="002004C5">
          <w:rPr>
            <w:rStyle w:val="Hyperlink"/>
            <w:rFonts w:ascii="Arial" w:hAnsi="Arial" w:cs="Arial"/>
            <w:color w:val="000000" w:themeColor="text1"/>
            <w:sz w:val="24"/>
            <w:szCs w:val="24"/>
          </w:rPr>
          <w:t>contents</w:t>
        </w:r>
      </w:hyperlink>
      <w:r w:rsidRPr="002004C5">
        <w:rPr>
          <w:rFonts w:ascii="Arial" w:hAnsi="Arial" w:cs="Arial"/>
          <w:color w:val="000000" w:themeColor="text1"/>
          <w:sz w:val="24"/>
          <w:szCs w:val="24"/>
        </w:rPr>
        <w:t xml:space="preserve"> (Accessed: 07 May 2023) </w:t>
      </w:r>
    </w:p>
    <w:p w:rsidR="0082202D" w:rsidRPr="002004C5" w:rsidRDefault="0082202D" w:rsidP="002004C5">
      <w:pPr>
        <w:widowControl w:val="0"/>
        <w:suppressLineNumbers/>
        <w:tabs>
          <w:tab w:val="left" w:pos="720"/>
          <w:tab w:val="left" w:pos="390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 xml:space="preserve">EHRC - Equality and Human Rights Commission (2022) </w:t>
      </w:r>
      <w:r w:rsidRPr="002004C5">
        <w:rPr>
          <w:rFonts w:ascii="Arial" w:hAnsi="Arial" w:cs="Arial"/>
          <w:i/>
          <w:color w:val="000000" w:themeColor="text1"/>
          <w:sz w:val="24"/>
          <w:szCs w:val="24"/>
        </w:rPr>
        <w:t xml:space="preserve">Gender Reassignment provisions in the Equality Act. </w:t>
      </w:r>
      <w:r w:rsidRPr="002004C5">
        <w:rPr>
          <w:rFonts w:ascii="Arial" w:hAnsi="Arial" w:cs="Arial"/>
          <w:color w:val="000000" w:themeColor="text1"/>
          <w:sz w:val="24"/>
          <w:szCs w:val="24"/>
        </w:rPr>
        <w:t xml:space="preserve">Available at: </w:t>
      </w:r>
      <w:hyperlink r:id="rId18" w:history="1">
        <w:r w:rsidRPr="002004C5">
          <w:rPr>
            <w:rStyle w:val="Hyperlink"/>
            <w:rFonts w:ascii="Arial" w:hAnsi="Arial" w:cs="Arial"/>
            <w:color w:val="000000" w:themeColor="text1"/>
            <w:sz w:val="24"/>
            <w:szCs w:val="24"/>
          </w:rPr>
          <w:t>https://www.equalityhumanrights.com/en/</w:t>
        </w:r>
        <w:r w:rsidR="002004C5">
          <w:rPr>
            <w:rStyle w:val="Hyperlink"/>
            <w:rFonts w:ascii="Arial" w:hAnsi="Arial" w:cs="Arial"/>
            <w:color w:val="000000" w:themeColor="text1"/>
            <w:sz w:val="24"/>
            <w:szCs w:val="24"/>
          </w:rPr>
          <w:t>‌</w:t>
        </w:r>
        <w:r w:rsidRPr="002004C5">
          <w:rPr>
            <w:rStyle w:val="Hyperlink"/>
            <w:rFonts w:ascii="Arial" w:hAnsi="Arial" w:cs="Arial"/>
            <w:color w:val="000000" w:themeColor="text1"/>
            <w:sz w:val="24"/>
            <w:szCs w:val="24"/>
          </w:rPr>
          <w:t>advice-and-guidance/gender-reassignment-provisions-equality-act</w:t>
        </w:r>
      </w:hyperlink>
      <w:r w:rsidRPr="002004C5">
        <w:rPr>
          <w:rFonts w:ascii="Arial" w:hAnsi="Arial" w:cs="Arial"/>
          <w:color w:val="000000" w:themeColor="text1"/>
          <w:sz w:val="24"/>
          <w:szCs w:val="24"/>
        </w:rPr>
        <w:t xml:space="preserve"> (Accessed: 07 May 2023) </w:t>
      </w:r>
    </w:p>
    <w:p w:rsidR="00F25A34" w:rsidRPr="002004C5" w:rsidRDefault="00F25A34" w:rsidP="002004C5">
      <w:pPr>
        <w:widowControl w:val="0"/>
        <w:suppressLineNumbers/>
        <w:tabs>
          <w:tab w:val="left" w:pos="720"/>
          <w:tab w:val="left" w:pos="390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w:t>
      </w:r>
      <w:proofErr w:type="spellStart"/>
      <w:r w:rsidRPr="002004C5">
        <w:rPr>
          <w:rFonts w:ascii="Arial" w:hAnsi="Arial" w:cs="Arial"/>
          <w:color w:val="000000" w:themeColor="text1"/>
          <w:sz w:val="24"/>
          <w:szCs w:val="24"/>
        </w:rPr>
        <w:t>Forestater</w:t>
      </w:r>
      <w:proofErr w:type="spellEnd"/>
      <w:r w:rsidRPr="002004C5">
        <w:rPr>
          <w:rFonts w:ascii="Arial" w:hAnsi="Arial" w:cs="Arial"/>
          <w:color w:val="000000" w:themeColor="text1"/>
          <w:sz w:val="24"/>
          <w:szCs w:val="24"/>
        </w:rPr>
        <w:t xml:space="preserve"> v CGD Europe and Others’ (2021) Employment Appeal Tribunal. Case 0105/20. </w:t>
      </w:r>
      <w:r w:rsidRPr="002004C5">
        <w:rPr>
          <w:rFonts w:ascii="Arial" w:hAnsi="Arial" w:cs="Arial"/>
          <w:i/>
          <w:color w:val="000000" w:themeColor="text1"/>
          <w:sz w:val="24"/>
          <w:szCs w:val="24"/>
        </w:rPr>
        <w:t xml:space="preserve">Gov.uk </w:t>
      </w:r>
      <w:r w:rsidRPr="002004C5">
        <w:rPr>
          <w:rFonts w:ascii="Arial" w:hAnsi="Arial" w:cs="Arial"/>
          <w:color w:val="000000" w:themeColor="text1"/>
          <w:sz w:val="24"/>
          <w:szCs w:val="24"/>
        </w:rPr>
        <w:t xml:space="preserve">Available at: </w:t>
      </w:r>
      <w:hyperlink r:id="rId19" w:history="1">
        <w:r w:rsidRPr="002004C5">
          <w:rPr>
            <w:rStyle w:val="Hyperlink"/>
            <w:rFonts w:ascii="Arial" w:hAnsi="Arial" w:cs="Arial"/>
            <w:color w:val="000000" w:themeColor="text1"/>
            <w:sz w:val="24"/>
            <w:szCs w:val="24"/>
          </w:rPr>
          <w:t>https://www.gov.uk/employment-appeal-tribunal-decisions/maya-forstater-v-cgd-europe-and-others-ukeat-slash-0105-slash-20-slash-joj</w:t>
        </w:r>
      </w:hyperlink>
      <w:r w:rsidRPr="002004C5">
        <w:rPr>
          <w:rFonts w:ascii="Arial" w:hAnsi="Arial" w:cs="Arial"/>
          <w:color w:val="000000" w:themeColor="text1"/>
          <w:sz w:val="24"/>
          <w:szCs w:val="24"/>
        </w:rPr>
        <w:t xml:space="preserve"> (Accessed: 07 May 2023) </w:t>
      </w:r>
    </w:p>
    <w:p w:rsidR="00C43A4F" w:rsidRPr="002004C5" w:rsidRDefault="00C62F3C"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 xml:space="preserve">Gender Recognition Act (2004) Available at: </w:t>
      </w:r>
      <w:hyperlink r:id="rId20" w:history="1">
        <w:r w:rsidRPr="002004C5">
          <w:rPr>
            <w:rStyle w:val="Hyperlink"/>
            <w:rFonts w:ascii="Arial" w:hAnsi="Arial" w:cs="Arial"/>
            <w:color w:val="000000" w:themeColor="text1"/>
            <w:sz w:val="24"/>
            <w:szCs w:val="24"/>
            <w:shd w:val="clear" w:color="auto" w:fill="FFFFFF"/>
          </w:rPr>
          <w:t>https://www.legislation.gov.uk/ukpga/2004/7/contents</w:t>
        </w:r>
      </w:hyperlink>
      <w:r w:rsidRPr="002004C5">
        <w:rPr>
          <w:rFonts w:ascii="Arial" w:hAnsi="Arial" w:cs="Arial"/>
          <w:color w:val="000000" w:themeColor="text1"/>
          <w:sz w:val="24"/>
          <w:szCs w:val="24"/>
          <w:shd w:val="clear" w:color="auto" w:fill="FFFFFF"/>
        </w:rPr>
        <w:t xml:space="preserve"> (Accessed: 07 May 2023) </w:t>
      </w:r>
    </w:p>
    <w:p w:rsidR="0063737C" w:rsidRPr="002004C5" w:rsidRDefault="0063737C"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Government Equalities Office (2015) </w:t>
      </w:r>
      <w:r w:rsidRPr="002004C5">
        <w:rPr>
          <w:rFonts w:ascii="Arial" w:hAnsi="Arial" w:cs="Arial"/>
          <w:i/>
          <w:color w:val="000000" w:themeColor="text1"/>
          <w:sz w:val="24"/>
          <w:szCs w:val="24"/>
        </w:rPr>
        <w:t xml:space="preserve">The Recruitment and retention of transgender staff. </w:t>
      </w:r>
      <w:r w:rsidRPr="002004C5">
        <w:rPr>
          <w:rFonts w:ascii="Arial" w:hAnsi="Arial" w:cs="Arial"/>
          <w:color w:val="000000" w:themeColor="text1"/>
          <w:sz w:val="24"/>
          <w:szCs w:val="24"/>
        </w:rPr>
        <w:t xml:space="preserve">Available at: </w:t>
      </w:r>
      <w:hyperlink r:id="rId21" w:history="1">
        <w:r w:rsidRPr="002004C5">
          <w:rPr>
            <w:rStyle w:val="Hyperlink"/>
            <w:rFonts w:ascii="Arial" w:hAnsi="Arial" w:cs="Arial"/>
            <w:color w:val="000000" w:themeColor="text1"/>
            <w:sz w:val="24"/>
            <w:szCs w:val="24"/>
          </w:rPr>
          <w:t>https://assets.publishing.service.gov.uk/government/uploads</w:t>
        </w:r>
        <w:r w:rsidR="002004C5">
          <w:rPr>
            <w:rStyle w:val="Hyperlink"/>
            <w:rFonts w:ascii="Arial" w:hAnsi="Arial" w:cs="Arial"/>
            <w:color w:val="000000" w:themeColor="text1"/>
            <w:sz w:val="24"/>
            <w:szCs w:val="24"/>
          </w:rPr>
          <w:t>‌</w:t>
        </w:r>
        <w:r w:rsidRPr="002004C5">
          <w:rPr>
            <w:rStyle w:val="Hyperlink"/>
            <w:rFonts w:ascii="Arial" w:hAnsi="Arial" w:cs="Arial"/>
            <w:color w:val="000000" w:themeColor="text1"/>
            <w:sz w:val="24"/>
            <w:szCs w:val="24"/>
          </w:rPr>
          <w:t>/system/uploads/attachment_data/file/484855/The_recruitment_and_retention_of_transgender_staff-_guidance_for_employers.pdf</w:t>
        </w:r>
      </w:hyperlink>
      <w:r w:rsidRPr="002004C5">
        <w:rPr>
          <w:rFonts w:ascii="Arial" w:hAnsi="Arial" w:cs="Arial"/>
          <w:color w:val="000000" w:themeColor="text1"/>
          <w:sz w:val="24"/>
          <w:szCs w:val="24"/>
        </w:rPr>
        <w:t xml:space="preserve"> (Accessed: 07 May 2015) </w:t>
      </w:r>
    </w:p>
    <w:p w:rsidR="00125C0A" w:rsidRPr="002004C5" w:rsidRDefault="00125C0A"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Government Equalities Office (2019) </w:t>
      </w:r>
      <w:r w:rsidRPr="002004C5">
        <w:rPr>
          <w:rFonts w:ascii="Arial" w:hAnsi="Arial" w:cs="Arial"/>
          <w:i/>
          <w:color w:val="000000" w:themeColor="text1"/>
          <w:sz w:val="24"/>
          <w:szCs w:val="24"/>
        </w:rPr>
        <w:t>National LGBT Survey: Summary Report</w:t>
      </w:r>
      <w:r w:rsidRPr="002004C5">
        <w:rPr>
          <w:rFonts w:ascii="Arial" w:hAnsi="Arial" w:cs="Arial"/>
          <w:color w:val="000000" w:themeColor="text1"/>
          <w:sz w:val="24"/>
          <w:szCs w:val="24"/>
        </w:rPr>
        <w:t xml:space="preserve">. Available at: </w:t>
      </w:r>
      <w:hyperlink r:id="rId22" w:history="1">
        <w:r w:rsidRPr="002004C5">
          <w:rPr>
            <w:rStyle w:val="Hyperlink"/>
            <w:rFonts w:ascii="Arial" w:hAnsi="Arial" w:cs="Arial"/>
            <w:color w:val="000000" w:themeColor="text1"/>
            <w:sz w:val="24"/>
            <w:szCs w:val="24"/>
          </w:rPr>
          <w:t>https://www.gov.uk/government/publications/national-lgbt-survey-summary-report/national-lgbt-survey-summary-report</w:t>
        </w:r>
      </w:hyperlink>
      <w:r w:rsidRPr="002004C5">
        <w:rPr>
          <w:rFonts w:ascii="Arial" w:hAnsi="Arial" w:cs="Arial"/>
          <w:color w:val="000000" w:themeColor="text1"/>
          <w:sz w:val="24"/>
          <w:szCs w:val="24"/>
        </w:rPr>
        <w:t xml:space="preserve"> (Accessed: 01 May 2023) </w:t>
      </w:r>
    </w:p>
    <w:p w:rsidR="006F6CFB" w:rsidRPr="002004C5" w:rsidRDefault="006F6CFB"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Gwyneth, T. (2022) </w:t>
      </w:r>
      <w:r w:rsidRPr="002004C5">
        <w:rPr>
          <w:rFonts w:ascii="Arial" w:hAnsi="Arial" w:cs="Arial"/>
          <w:i/>
          <w:color w:val="000000" w:themeColor="text1"/>
          <w:sz w:val="24"/>
          <w:szCs w:val="24"/>
        </w:rPr>
        <w:t xml:space="preserve">Protection of gender-critical beliefs: balancing inclusivity. </w:t>
      </w:r>
      <w:r w:rsidRPr="002004C5">
        <w:rPr>
          <w:rFonts w:ascii="Arial" w:hAnsi="Arial" w:cs="Arial"/>
          <w:color w:val="000000" w:themeColor="text1"/>
          <w:sz w:val="24"/>
          <w:szCs w:val="24"/>
        </w:rPr>
        <w:t xml:space="preserve">Available at: </w:t>
      </w:r>
      <w:hyperlink r:id="rId23" w:history="1">
        <w:r w:rsidRPr="002004C5">
          <w:rPr>
            <w:rStyle w:val="Hyperlink"/>
            <w:rFonts w:ascii="Arial" w:hAnsi="Arial" w:cs="Arial"/>
            <w:color w:val="000000" w:themeColor="text1"/>
            <w:sz w:val="24"/>
            <w:szCs w:val="24"/>
          </w:rPr>
          <w:t>https://uk.practicallaw.thomsonreuters.com/w-036-3685?contextData=(sc.Default)&amp;transitionType=Default&amp;firstPage=true</w:t>
        </w:r>
      </w:hyperlink>
      <w:r w:rsidRPr="002004C5">
        <w:rPr>
          <w:rFonts w:ascii="Arial" w:hAnsi="Arial" w:cs="Arial"/>
          <w:color w:val="000000" w:themeColor="text1"/>
          <w:sz w:val="24"/>
          <w:szCs w:val="24"/>
        </w:rPr>
        <w:t xml:space="preserve"> (Accessed: 07 May 2023) </w:t>
      </w:r>
    </w:p>
    <w:p w:rsidR="00B750EB" w:rsidRPr="002004C5" w:rsidRDefault="00B750EB" w:rsidP="002004C5">
      <w:pPr>
        <w:widowControl w:val="0"/>
        <w:suppressLineNumbers/>
        <w:tabs>
          <w:tab w:val="left" w:pos="720"/>
          <w:tab w:val="left" w:pos="390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 xml:space="preserve">Health and Safety at Work etc. Act (1974) Available at: </w:t>
      </w:r>
      <w:hyperlink r:id="rId24" w:history="1">
        <w:r w:rsidRPr="002004C5">
          <w:rPr>
            <w:rStyle w:val="Hyperlink"/>
            <w:rFonts w:ascii="Arial" w:hAnsi="Arial" w:cs="Arial"/>
            <w:color w:val="000000" w:themeColor="text1"/>
            <w:sz w:val="24"/>
            <w:szCs w:val="24"/>
          </w:rPr>
          <w:t>https://www.legislation.gov.uk/ukp‌‌ga‌‌/1974/37/contents</w:t>
        </w:r>
      </w:hyperlink>
      <w:r w:rsidRPr="002004C5">
        <w:rPr>
          <w:rFonts w:ascii="Arial" w:hAnsi="Arial" w:cs="Arial"/>
          <w:color w:val="000000" w:themeColor="text1"/>
          <w:sz w:val="24"/>
          <w:szCs w:val="24"/>
        </w:rPr>
        <w:t xml:space="preserve"> (Accessed: 10 April 2023)</w:t>
      </w:r>
    </w:p>
    <w:p w:rsidR="00EA1E5F" w:rsidRPr="002004C5" w:rsidRDefault="00EA1E5F" w:rsidP="002004C5">
      <w:pPr>
        <w:tabs>
          <w:tab w:val="left" w:pos="950"/>
        </w:tabs>
        <w:rPr>
          <w:rFonts w:ascii="Arial" w:hAnsi="Arial" w:cs="Arial"/>
          <w:color w:val="000000" w:themeColor="text1"/>
          <w:sz w:val="24"/>
          <w:szCs w:val="24"/>
        </w:rPr>
      </w:pPr>
      <w:proofErr w:type="spellStart"/>
      <w:r w:rsidRPr="002004C5">
        <w:rPr>
          <w:rFonts w:ascii="Arial" w:hAnsi="Arial" w:cs="Arial"/>
          <w:color w:val="000000" w:themeColor="text1"/>
          <w:sz w:val="24"/>
          <w:szCs w:val="24"/>
        </w:rPr>
        <w:t>LexusNexis</w:t>
      </w:r>
      <w:proofErr w:type="spellEnd"/>
      <w:r w:rsidRPr="002004C5">
        <w:rPr>
          <w:rFonts w:ascii="Arial" w:hAnsi="Arial" w:cs="Arial"/>
          <w:color w:val="000000" w:themeColor="text1"/>
          <w:sz w:val="24"/>
          <w:szCs w:val="24"/>
        </w:rPr>
        <w:t xml:space="preserve"> (2023) </w:t>
      </w:r>
      <w:r w:rsidRPr="002004C5">
        <w:rPr>
          <w:rFonts w:ascii="Arial" w:hAnsi="Arial" w:cs="Arial"/>
          <w:i/>
          <w:color w:val="000000" w:themeColor="text1"/>
          <w:sz w:val="24"/>
          <w:szCs w:val="24"/>
        </w:rPr>
        <w:t xml:space="preserve">Transgender and other gender Issues. </w:t>
      </w:r>
      <w:r w:rsidRPr="002004C5">
        <w:rPr>
          <w:rFonts w:ascii="Arial" w:hAnsi="Arial" w:cs="Arial"/>
          <w:color w:val="000000" w:themeColor="text1"/>
          <w:sz w:val="24"/>
          <w:szCs w:val="24"/>
        </w:rPr>
        <w:t xml:space="preserve">Available at: </w:t>
      </w:r>
      <w:hyperlink r:id="rId25" w:history="1">
        <w:r w:rsidRPr="002004C5">
          <w:rPr>
            <w:rStyle w:val="Hyperlink"/>
            <w:rFonts w:ascii="Arial" w:hAnsi="Arial" w:cs="Arial"/>
            <w:color w:val="000000" w:themeColor="text1"/>
            <w:sz w:val="24"/>
            <w:szCs w:val="24"/>
          </w:rPr>
          <w:t>https://plus-lexis-com.ezproxy.uwtsd.ac.uk/api/permalink/cfa42bed-ca63-4cdc-ba86-f8b2de6936be/?context=1001073</w:t>
        </w:r>
      </w:hyperlink>
      <w:r w:rsidRPr="002004C5">
        <w:rPr>
          <w:rFonts w:ascii="Arial" w:hAnsi="Arial" w:cs="Arial"/>
          <w:color w:val="000000" w:themeColor="text1"/>
          <w:sz w:val="24"/>
          <w:szCs w:val="24"/>
        </w:rPr>
        <w:t xml:space="preserve"> (Accessed: 07 May 2023) </w:t>
      </w:r>
    </w:p>
    <w:p w:rsidR="00016638" w:rsidRDefault="00016638"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w:t>
      </w:r>
      <w:proofErr w:type="spellStart"/>
      <w:r w:rsidRPr="002004C5">
        <w:rPr>
          <w:rFonts w:ascii="Arial" w:hAnsi="Arial" w:cs="Arial"/>
          <w:color w:val="000000" w:themeColor="text1"/>
          <w:sz w:val="24"/>
          <w:szCs w:val="24"/>
        </w:rPr>
        <w:t>Mackereth</w:t>
      </w:r>
      <w:proofErr w:type="spellEnd"/>
      <w:r w:rsidRPr="002004C5">
        <w:rPr>
          <w:rFonts w:ascii="Arial" w:hAnsi="Arial" w:cs="Arial"/>
          <w:color w:val="000000" w:themeColor="text1"/>
          <w:sz w:val="24"/>
          <w:szCs w:val="24"/>
        </w:rPr>
        <w:t xml:space="preserve"> v The Department of Work and Pensions’ (2022) Employment Appeal Tribunal. Case 001051. </w:t>
      </w:r>
      <w:r w:rsidRPr="002004C5">
        <w:rPr>
          <w:rFonts w:ascii="Arial" w:hAnsi="Arial" w:cs="Arial"/>
          <w:i/>
          <w:color w:val="000000" w:themeColor="text1"/>
          <w:sz w:val="24"/>
          <w:szCs w:val="24"/>
        </w:rPr>
        <w:t xml:space="preserve">Gov.uk. </w:t>
      </w:r>
      <w:r w:rsidRPr="002004C5">
        <w:rPr>
          <w:rFonts w:ascii="Arial" w:hAnsi="Arial" w:cs="Arial"/>
          <w:color w:val="000000" w:themeColor="text1"/>
          <w:sz w:val="24"/>
          <w:szCs w:val="24"/>
        </w:rPr>
        <w:t xml:space="preserve">Available at: </w:t>
      </w:r>
      <w:hyperlink r:id="rId26" w:history="1">
        <w:r w:rsidR="002004C5">
          <w:rPr>
            <w:rStyle w:val="Hyperlink"/>
            <w:rFonts w:ascii="Arial" w:hAnsi="Arial" w:cs="Arial"/>
            <w:color w:val="000000" w:themeColor="text1"/>
            <w:sz w:val="24"/>
            <w:szCs w:val="24"/>
          </w:rPr>
          <w:t>https://assets.publishing.service.gov.uk/media/62bc3bb1e90e075f1d426fb4/Dr_David_Mackereth_v_The_Department_of_Work_and_Pensions__1__Advanced_Personnel_Management_GroupUKLimited22022EAT_99.pdf</w:t>
        </w:r>
      </w:hyperlink>
      <w:r w:rsidRPr="002004C5">
        <w:rPr>
          <w:rFonts w:ascii="Arial" w:hAnsi="Arial" w:cs="Arial"/>
          <w:color w:val="000000" w:themeColor="text1"/>
          <w:sz w:val="24"/>
          <w:szCs w:val="24"/>
        </w:rPr>
        <w:t xml:space="preserve"> (Accessed: 07 May 2023) </w:t>
      </w:r>
    </w:p>
    <w:p w:rsidR="00B634F2" w:rsidRPr="002004C5" w:rsidRDefault="00B634F2" w:rsidP="002004C5">
      <w:pPr>
        <w:tabs>
          <w:tab w:val="left" w:pos="950"/>
        </w:tabs>
        <w:rPr>
          <w:rFonts w:ascii="Arial" w:hAnsi="Arial" w:cs="Arial"/>
          <w:color w:val="000000" w:themeColor="text1"/>
          <w:sz w:val="24"/>
          <w:szCs w:val="24"/>
        </w:rPr>
      </w:pPr>
      <w:r>
        <w:rPr>
          <w:rFonts w:ascii="Arial" w:hAnsi="Arial" w:cs="Arial"/>
          <w:color w:val="000000" w:themeColor="text1"/>
          <w:sz w:val="24"/>
          <w:szCs w:val="24"/>
        </w:rPr>
        <w:t xml:space="preserve">Majumdar, A. (2022) ‘Diversity is a mix. Inclusion is making the mix work’ [Twitter] 28 January. Available at: </w:t>
      </w:r>
      <w:hyperlink r:id="rId27" w:history="1">
        <w:r w:rsidRPr="00C11FC0">
          <w:rPr>
            <w:rStyle w:val="Hyperlink"/>
            <w:rFonts w:ascii="Arial" w:hAnsi="Arial" w:cs="Arial"/>
            <w:sz w:val="24"/>
            <w:szCs w:val="24"/>
          </w:rPr>
          <w:t>https://www.linkedin.com/pulse/diversity-mix-inclusion-making-work-ashish-majumdar/</w:t>
        </w:r>
      </w:hyperlink>
      <w:r>
        <w:rPr>
          <w:rFonts w:ascii="Arial" w:hAnsi="Arial" w:cs="Arial"/>
          <w:color w:val="000000" w:themeColor="text1"/>
          <w:sz w:val="24"/>
          <w:szCs w:val="24"/>
        </w:rPr>
        <w:t xml:space="preserve"> (Accessed: 14 May 2023) </w:t>
      </w:r>
    </w:p>
    <w:p w:rsidR="006348C5" w:rsidRPr="002004C5" w:rsidRDefault="006348C5"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NEU - National Education Union (2019) </w:t>
      </w:r>
      <w:r w:rsidRPr="002004C5">
        <w:rPr>
          <w:rFonts w:ascii="Arial" w:hAnsi="Arial" w:cs="Arial"/>
          <w:i/>
          <w:color w:val="000000" w:themeColor="text1"/>
          <w:sz w:val="24"/>
          <w:szCs w:val="24"/>
        </w:rPr>
        <w:t xml:space="preserve">Supporting trans and gender questioning students. </w:t>
      </w:r>
      <w:r w:rsidRPr="002004C5">
        <w:rPr>
          <w:rFonts w:ascii="Arial" w:hAnsi="Arial" w:cs="Arial"/>
          <w:color w:val="000000" w:themeColor="text1"/>
          <w:sz w:val="24"/>
          <w:szCs w:val="24"/>
        </w:rPr>
        <w:t xml:space="preserve">Available at: </w:t>
      </w:r>
      <w:hyperlink r:id="rId28" w:history="1">
        <w:r w:rsidRPr="002004C5">
          <w:rPr>
            <w:rStyle w:val="Hyperlink"/>
            <w:rFonts w:ascii="Arial" w:hAnsi="Arial" w:cs="Arial"/>
            <w:color w:val="000000" w:themeColor="text1"/>
            <w:sz w:val="24"/>
            <w:szCs w:val="24"/>
          </w:rPr>
          <w:t>https://neu.org.uk/advice/supporting-trans-and-gender-questioning-students</w:t>
        </w:r>
      </w:hyperlink>
      <w:r w:rsidRPr="002004C5">
        <w:rPr>
          <w:rFonts w:ascii="Arial" w:hAnsi="Arial" w:cs="Arial"/>
          <w:color w:val="000000" w:themeColor="text1"/>
          <w:sz w:val="24"/>
          <w:szCs w:val="24"/>
        </w:rPr>
        <w:t xml:space="preserve"> (Accessed: 08 May 2023) </w:t>
      </w:r>
    </w:p>
    <w:p w:rsidR="00C277B1" w:rsidRPr="002004C5" w:rsidRDefault="00C277B1"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‘P v S and Cornwall County Council’ (1996) European Court of Appeal. Case c-13/94. </w:t>
      </w:r>
      <w:r w:rsidRPr="002004C5">
        <w:rPr>
          <w:rFonts w:ascii="Arial" w:hAnsi="Arial" w:cs="Arial"/>
          <w:i/>
          <w:color w:val="000000" w:themeColor="text1"/>
          <w:sz w:val="24"/>
          <w:szCs w:val="24"/>
        </w:rPr>
        <w:t xml:space="preserve">Eur-Lex. </w:t>
      </w:r>
      <w:r w:rsidRPr="002004C5">
        <w:rPr>
          <w:rFonts w:ascii="Arial" w:hAnsi="Arial" w:cs="Arial"/>
          <w:color w:val="000000" w:themeColor="text1"/>
          <w:sz w:val="24"/>
          <w:szCs w:val="24"/>
        </w:rPr>
        <w:t xml:space="preserve">Available at: </w:t>
      </w:r>
      <w:hyperlink r:id="rId29" w:history="1">
        <w:r w:rsidRPr="002004C5">
          <w:rPr>
            <w:rStyle w:val="Hyperlink"/>
            <w:rFonts w:ascii="Arial" w:hAnsi="Arial" w:cs="Arial"/>
            <w:color w:val="000000" w:themeColor="text1"/>
            <w:sz w:val="24"/>
            <w:szCs w:val="24"/>
          </w:rPr>
          <w:t>https://eur-lex.europa.eu/legal-content/EN/TXT/?uri=CELEX:61994CJ0013</w:t>
        </w:r>
      </w:hyperlink>
      <w:r w:rsidRPr="002004C5">
        <w:rPr>
          <w:rFonts w:ascii="Arial" w:hAnsi="Arial" w:cs="Arial"/>
          <w:color w:val="000000" w:themeColor="text1"/>
          <w:sz w:val="24"/>
          <w:szCs w:val="24"/>
        </w:rPr>
        <w:t xml:space="preserve"> (Accessed: 07 May 2023) </w:t>
      </w:r>
    </w:p>
    <w:p w:rsidR="004D623E" w:rsidRPr="002004C5" w:rsidRDefault="004D623E"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Prosser, S. (2021) </w:t>
      </w:r>
      <w:r w:rsidRPr="002004C5">
        <w:rPr>
          <w:rFonts w:ascii="Arial" w:hAnsi="Arial" w:cs="Arial"/>
          <w:i/>
          <w:color w:val="000000" w:themeColor="text1"/>
          <w:sz w:val="24"/>
          <w:szCs w:val="24"/>
        </w:rPr>
        <w:t xml:space="preserve">Supporting non-binary and transgender employees: Creating an inclusive workplace. </w:t>
      </w:r>
      <w:r w:rsidRPr="002004C5">
        <w:rPr>
          <w:rFonts w:ascii="Arial" w:hAnsi="Arial" w:cs="Arial"/>
          <w:color w:val="000000" w:themeColor="text1"/>
          <w:sz w:val="24"/>
          <w:szCs w:val="24"/>
        </w:rPr>
        <w:t xml:space="preserve">Available at: </w:t>
      </w:r>
      <w:hyperlink r:id="rId30" w:history="1">
        <w:r w:rsidRPr="002004C5">
          <w:rPr>
            <w:rStyle w:val="Hyperlink"/>
            <w:rFonts w:ascii="Arial" w:hAnsi="Arial" w:cs="Arial"/>
            <w:color w:val="000000" w:themeColor="text1"/>
            <w:sz w:val="24"/>
            <w:szCs w:val="24"/>
          </w:rPr>
          <w:t>https://www.xperthr.co.uk/leading-practice-guides/supporting-non-binary-and-transgender-employees-2-creating-an-inclusive-workplace/166474/</w:t>
        </w:r>
      </w:hyperlink>
      <w:r w:rsidRPr="002004C5">
        <w:rPr>
          <w:rFonts w:ascii="Arial" w:hAnsi="Arial" w:cs="Arial"/>
          <w:color w:val="000000" w:themeColor="text1"/>
          <w:sz w:val="24"/>
          <w:szCs w:val="24"/>
        </w:rPr>
        <w:t xml:space="preserve"> (Accessed: 07 May 2023) </w:t>
      </w:r>
    </w:p>
    <w:p w:rsidR="00FF2CD5" w:rsidRPr="002004C5" w:rsidRDefault="00FF2CD5"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Protection from Harassment Act (1997) Available at: </w:t>
      </w:r>
      <w:hyperlink r:id="rId31" w:history="1">
        <w:r w:rsidRPr="002004C5">
          <w:rPr>
            <w:rStyle w:val="Hyperlink"/>
            <w:rFonts w:ascii="Arial" w:hAnsi="Arial" w:cs="Arial"/>
            <w:color w:val="000000" w:themeColor="text1"/>
            <w:sz w:val="24"/>
            <w:szCs w:val="24"/>
          </w:rPr>
          <w:t>https://www.legislation.gov.uk/ukpga/1997/40/contents</w:t>
        </w:r>
      </w:hyperlink>
      <w:r w:rsidRPr="002004C5">
        <w:rPr>
          <w:rFonts w:ascii="Arial" w:hAnsi="Arial" w:cs="Arial"/>
          <w:color w:val="000000" w:themeColor="text1"/>
          <w:sz w:val="24"/>
          <w:szCs w:val="24"/>
        </w:rPr>
        <w:t xml:space="preserve"> (Accessed 07 May 2023) </w:t>
      </w:r>
    </w:p>
    <w:p w:rsidR="00125C0A" w:rsidRPr="002004C5" w:rsidRDefault="00125C0A"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Raj, S. and Dunne, P. (2021) </w:t>
      </w:r>
      <w:r w:rsidRPr="002004C5">
        <w:rPr>
          <w:rFonts w:ascii="Arial" w:hAnsi="Arial" w:cs="Arial"/>
          <w:i/>
          <w:iCs/>
          <w:color w:val="000000" w:themeColor="text1"/>
          <w:sz w:val="24"/>
          <w:szCs w:val="24"/>
          <w:shd w:val="clear" w:color="auto" w:fill="FFFFFF"/>
        </w:rPr>
        <w:t>The queer outside in law: recognising LGBTIQ people in the United Kingdom</w:t>
      </w:r>
      <w:r w:rsidRPr="002004C5">
        <w:rPr>
          <w:rFonts w:ascii="Arial" w:hAnsi="Arial" w:cs="Arial"/>
          <w:color w:val="000000" w:themeColor="text1"/>
          <w:sz w:val="24"/>
          <w:szCs w:val="24"/>
          <w:shd w:val="clear" w:color="auto" w:fill="FFFFFF"/>
        </w:rPr>
        <w:t xml:space="preserve">. 1st ed. Cham, Switzerland: Palgrave Macmillan. Available at: </w:t>
      </w:r>
      <w:hyperlink r:id="rId32" w:history="1">
        <w:r w:rsidR="00E763AB" w:rsidRPr="002004C5">
          <w:rPr>
            <w:rStyle w:val="Hyperlink"/>
            <w:rFonts w:ascii="Arial" w:hAnsi="Arial" w:cs="Arial"/>
            <w:color w:val="000000" w:themeColor="text1"/>
            <w:sz w:val="24"/>
            <w:szCs w:val="24"/>
            <w:shd w:val="clear" w:color="auto" w:fill="FFFFFF"/>
          </w:rPr>
          <w:t>https://doi.org/10.1007/978-3-030-48830-7</w:t>
        </w:r>
      </w:hyperlink>
    </w:p>
    <w:p w:rsidR="00F754EC" w:rsidRPr="002004C5" w:rsidRDefault="00F754EC"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 xml:space="preserve">Raleigh International </w:t>
      </w:r>
      <w:r w:rsidR="0023212A" w:rsidRPr="002004C5">
        <w:rPr>
          <w:rFonts w:ascii="Arial" w:hAnsi="Arial" w:cs="Arial"/>
          <w:color w:val="000000" w:themeColor="text1"/>
          <w:sz w:val="24"/>
          <w:szCs w:val="24"/>
          <w:shd w:val="clear" w:color="auto" w:fill="FFFFFF"/>
        </w:rPr>
        <w:t xml:space="preserve">(2023) </w:t>
      </w:r>
      <w:r w:rsidR="0023212A" w:rsidRPr="002004C5">
        <w:rPr>
          <w:rFonts w:ascii="Arial" w:hAnsi="Arial" w:cs="Arial"/>
          <w:i/>
          <w:color w:val="000000" w:themeColor="text1"/>
          <w:sz w:val="24"/>
          <w:szCs w:val="24"/>
          <w:shd w:val="clear" w:color="auto" w:fill="FFFFFF"/>
        </w:rPr>
        <w:t xml:space="preserve">LGBTQ+ History Month: Understanding LGBTQ terms and definitions. </w:t>
      </w:r>
      <w:r w:rsidR="0023212A" w:rsidRPr="002004C5">
        <w:rPr>
          <w:rFonts w:ascii="Arial" w:hAnsi="Arial" w:cs="Arial"/>
          <w:color w:val="000000" w:themeColor="text1"/>
          <w:sz w:val="24"/>
          <w:szCs w:val="24"/>
          <w:shd w:val="clear" w:color="auto" w:fill="FFFFFF"/>
        </w:rPr>
        <w:t xml:space="preserve"> Available at: </w:t>
      </w:r>
      <w:hyperlink r:id="rId33" w:history="1">
        <w:r w:rsidR="0023212A" w:rsidRPr="002004C5">
          <w:rPr>
            <w:rStyle w:val="Hyperlink"/>
            <w:rFonts w:ascii="Arial" w:hAnsi="Arial" w:cs="Arial"/>
            <w:color w:val="000000" w:themeColor="text1"/>
            <w:sz w:val="24"/>
            <w:szCs w:val="24"/>
            <w:shd w:val="clear" w:color="auto" w:fill="FFFFFF"/>
          </w:rPr>
          <w:t>https://raleighinternational.org/blog/lgbtq-history-month-understanding-lgbtq-terms-and-definitions/</w:t>
        </w:r>
      </w:hyperlink>
      <w:r w:rsidR="0023212A" w:rsidRPr="002004C5">
        <w:rPr>
          <w:rFonts w:ascii="Arial" w:hAnsi="Arial" w:cs="Arial"/>
          <w:color w:val="000000" w:themeColor="text1"/>
          <w:sz w:val="24"/>
          <w:szCs w:val="24"/>
          <w:shd w:val="clear" w:color="auto" w:fill="FFFFFF"/>
        </w:rPr>
        <w:t xml:space="preserve"> (Accessed: 07 May 2023) </w:t>
      </w:r>
    </w:p>
    <w:p w:rsidR="00A8070D" w:rsidRPr="002004C5" w:rsidRDefault="00A8070D"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 xml:space="preserve">Stonewall (No Date) </w:t>
      </w:r>
      <w:r w:rsidRPr="002004C5">
        <w:rPr>
          <w:rFonts w:ascii="Arial" w:hAnsi="Arial" w:cs="Arial"/>
          <w:i/>
          <w:color w:val="000000" w:themeColor="text1"/>
          <w:sz w:val="24"/>
          <w:szCs w:val="24"/>
          <w:shd w:val="clear" w:color="auto" w:fill="FFFFFF"/>
        </w:rPr>
        <w:t xml:space="preserve">Transitioning: What does ‘trans’ mean? </w:t>
      </w:r>
      <w:r w:rsidRPr="002004C5">
        <w:rPr>
          <w:rFonts w:ascii="Arial" w:hAnsi="Arial" w:cs="Arial"/>
          <w:color w:val="000000" w:themeColor="text1"/>
          <w:sz w:val="24"/>
          <w:szCs w:val="24"/>
          <w:shd w:val="clear" w:color="auto" w:fill="FFFFFF"/>
        </w:rPr>
        <w:t xml:space="preserve">Available at: </w:t>
      </w:r>
      <w:hyperlink r:id="rId34" w:history="1">
        <w:r w:rsidRPr="002004C5">
          <w:rPr>
            <w:rStyle w:val="Hyperlink"/>
            <w:rFonts w:ascii="Arial" w:hAnsi="Arial" w:cs="Arial"/>
            <w:color w:val="000000" w:themeColor="text1"/>
            <w:sz w:val="24"/>
            <w:szCs w:val="24"/>
            <w:shd w:val="clear" w:color="auto" w:fill="FFFFFF"/>
          </w:rPr>
          <w:t>https://www.stonewallcymru.org.uk/transgender/transitioning</w:t>
        </w:r>
      </w:hyperlink>
      <w:r w:rsidRPr="002004C5">
        <w:rPr>
          <w:rFonts w:ascii="Arial" w:hAnsi="Arial" w:cs="Arial"/>
          <w:color w:val="000000" w:themeColor="text1"/>
          <w:sz w:val="24"/>
          <w:szCs w:val="24"/>
          <w:shd w:val="clear" w:color="auto" w:fill="FFFFFF"/>
        </w:rPr>
        <w:t xml:space="preserve"> (Accessed: 07 May 2023) </w:t>
      </w:r>
    </w:p>
    <w:p w:rsidR="00E763AB" w:rsidRPr="002004C5" w:rsidRDefault="00E763AB"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Stonewall (2022) </w:t>
      </w:r>
      <w:r w:rsidRPr="002004C5">
        <w:rPr>
          <w:rFonts w:ascii="Arial" w:hAnsi="Arial" w:cs="Arial"/>
          <w:i/>
          <w:color w:val="000000" w:themeColor="text1"/>
          <w:sz w:val="24"/>
          <w:szCs w:val="24"/>
        </w:rPr>
        <w:t xml:space="preserve">List of LGBTQ+ Terms. </w:t>
      </w:r>
      <w:r w:rsidRPr="002004C5">
        <w:rPr>
          <w:rFonts w:ascii="Arial" w:hAnsi="Arial" w:cs="Arial"/>
          <w:color w:val="000000" w:themeColor="text1"/>
          <w:sz w:val="24"/>
          <w:szCs w:val="24"/>
        </w:rPr>
        <w:t xml:space="preserve">Available at: </w:t>
      </w:r>
      <w:hyperlink r:id="rId35" w:anchor="non-binary" w:history="1">
        <w:r w:rsidRPr="002004C5">
          <w:rPr>
            <w:rStyle w:val="Hyperlink"/>
            <w:rFonts w:ascii="Arial" w:hAnsi="Arial" w:cs="Arial"/>
            <w:color w:val="000000" w:themeColor="text1"/>
            <w:sz w:val="24"/>
            <w:szCs w:val="24"/>
          </w:rPr>
          <w:t>https://www.stonewall.org.uk/list-lgbtq-terms#non-binary</w:t>
        </w:r>
      </w:hyperlink>
      <w:r w:rsidRPr="002004C5">
        <w:rPr>
          <w:rFonts w:ascii="Arial" w:hAnsi="Arial" w:cs="Arial"/>
          <w:color w:val="000000" w:themeColor="text1"/>
          <w:sz w:val="24"/>
          <w:szCs w:val="24"/>
        </w:rPr>
        <w:t xml:space="preserve"> (Accessed: 07 May 2023) </w:t>
      </w:r>
    </w:p>
    <w:p w:rsidR="00400778" w:rsidRPr="002004C5" w:rsidRDefault="00400778"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‘Taylor v. Jaguar Land Rover’ (2020) Employment Tribunal, case 1304471. </w:t>
      </w:r>
      <w:r w:rsidRPr="002004C5">
        <w:rPr>
          <w:rFonts w:ascii="Arial" w:hAnsi="Arial" w:cs="Arial"/>
          <w:i/>
          <w:color w:val="000000" w:themeColor="text1"/>
          <w:sz w:val="24"/>
          <w:szCs w:val="24"/>
        </w:rPr>
        <w:t>Gov.uk</w:t>
      </w:r>
      <w:r w:rsidRPr="002004C5">
        <w:rPr>
          <w:rFonts w:ascii="Arial" w:hAnsi="Arial" w:cs="Arial"/>
          <w:color w:val="000000" w:themeColor="text1"/>
          <w:sz w:val="24"/>
          <w:szCs w:val="24"/>
        </w:rPr>
        <w:t xml:space="preserve"> Available at: </w:t>
      </w:r>
      <w:hyperlink r:id="rId36" w:history="1">
        <w:r w:rsidRPr="002004C5">
          <w:rPr>
            <w:rStyle w:val="Hyperlink"/>
            <w:rFonts w:ascii="Arial" w:hAnsi="Arial" w:cs="Arial"/>
            <w:color w:val="000000" w:themeColor="text1"/>
            <w:sz w:val="24"/>
            <w:szCs w:val="24"/>
          </w:rPr>
          <w:t>https://assets.publishing.service.gov.uk/media/5f68b2ebe90e077f5ac3bb5a/Ms_R_Taylor_V_Jaguar_Land_Rover_Ltd_-_1304471_2018_-_judgment.pdf</w:t>
        </w:r>
      </w:hyperlink>
      <w:r w:rsidRPr="002004C5">
        <w:rPr>
          <w:rFonts w:ascii="Arial" w:hAnsi="Arial" w:cs="Arial"/>
          <w:color w:val="000000" w:themeColor="text1"/>
          <w:sz w:val="24"/>
          <w:szCs w:val="24"/>
        </w:rPr>
        <w:t xml:space="preserve"> (Accessed: 07 May 2023) </w:t>
      </w:r>
    </w:p>
    <w:p w:rsidR="00ED5860" w:rsidRPr="002004C5" w:rsidRDefault="00ED5860" w:rsidP="002004C5">
      <w:pPr>
        <w:tabs>
          <w:tab w:val="left" w:pos="72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 xml:space="preserve">Thomson Reuters (2023) Current rates and limits for employment lawyers. Compensation to injury to feelings: Vento Bands. Available at: </w:t>
      </w:r>
      <w:hyperlink r:id="rId37" w:history="1">
        <w:r w:rsidRPr="002004C5">
          <w:rPr>
            <w:rStyle w:val="Hyperlink"/>
            <w:rFonts w:ascii="Arial" w:hAnsi="Arial" w:cs="Arial"/>
            <w:color w:val="000000" w:themeColor="text1"/>
            <w:sz w:val="24"/>
            <w:szCs w:val="24"/>
          </w:rPr>
          <w:t>https://uk.practicallaw.‌thomsonreuters.com/4-200-2038?contextData=(sc.Default)&amp;transitionType=Default‌&amp;firstPage=true</w:t>
        </w:r>
      </w:hyperlink>
      <w:r w:rsidRPr="002004C5">
        <w:rPr>
          <w:rFonts w:ascii="Arial" w:hAnsi="Arial" w:cs="Arial"/>
          <w:color w:val="000000" w:themeColor="text1"/>
          <w:sz w:val="24"/>
          <w:szCs w:val="24"/>
        </w:rPr>
        <w:t xml:space="preserve"> (Accessed: 08 May 2023) </w:t>
      </w:r>
    </w:p>
    <w:p w:rsidR="00F57328" w:rsidRPr="002004C5" w:rsidRDefault="00F57328" w:rsidP="002004C5">
      <w:pPr>
        <w:tabs>
          <w:tab w:val="left" w:pos="950"/>
        </w:tabs>
        <w:rPr>
          <w:rFonts w:ascii="Arial" w:hAnsi="Arial" w:cs="Arial"/>
          <w:color w:val="000000" w:themeColor="text1"/>
          <w:sz w:val="24"/>
          <w:szCs w:val="24"/>
        </w:rPr>
      </w:pPr>
      <w:r w:rsidRPr="002004C5">
        <w:rPr>
          <w:rFonts w:ascii="Arial" w:hAnsi="Arial" w:cs="Arial"/>
          <w:color w:val="000000" w:themeColor="text1"/>
          <w:sz w:val="24"/>
          <w:szCs w:val="24"/>
        </w:rPr>
        <w:t xml:space="preserve">UCL (2023) </w:t>
      </w:r>
      <w:r w:rsidRPr="002004C5">
        <w:rPr>
          <w:rFonts w:ascii="Arial" w:hAnsi="Arial" w:cs="Arial"/>
          <w:i/>
          <w:color w:val="000000" w:themeColor="text1"/>
          <w:sz w:val="24"/>
          <w:szCs w:val="24"/>
        </w:rPr>
        <w:t xml:space="preserve">Policy and guidance for students transitioning gender. </w:t>
      </w:r>
      <w:r w:rsidRPr="002004C5">
        <w:rPr>
          <w:rFonts w:ascii="Arial" w:hAnsi="Arial" w:cs="Arial"/>
          <w:color w:val="000000" w:themeColor="text1"/>
          <w:sz w:val="24"/>
          <w:szCs w:val="24"/>
        </w:rPr>
        <w:t xml:space="preserve">Available at: </w:t>
      </w:r>
      <w:hyperlink r:id="rId38" w:history="1">
        <w:r w:rsidRPr="002004C5">
          <w:rPr>
            <w:rStyle w:val="Hyperlink"/>
            <w:rFonts w:ascii="Arial" w:hAnsi="Arial" w:cs="Arial"/>
            <w:color w:val="000000" w:themeColor="text1"/>
            <w:sz w:val="24"/>
            <w:szCs w:val="24"/>
          </w:rPr>
          <w:t>https://www.ucl.ac.uk/students/policies/equality-and-diversity/students-transitioning-gender</w:t>
        </w:r>
      </w:hyperlink>
      <w:r w:rsidRPr="002004C5">
        <w:rPr>
          <w:rFonts w:ascii="Arial" w:hAnsi="Arial" w:cs="Arial"/>
          <w:color w:val="000000" w:themeColor="text1"/>
          <w:sz w:val="24"/>
          <w:szCs w:val="24"/>
        </w:rPr>
        <w:t xml:space="preserve"> (Accessed: 07 May 2023) </w:t>
      </w:r>
    </w:p>
    <w:p w:rsidR="00331A99" w:rsidRPr="002004C5" w:rsidRDefault="00331A99" w:rsidP="002004C5">
      <w:pPr>
        <w:tabs>
          <w:tab w:val="left" w:pos="720"/>
        </w:tabs>
        <w:spacing w:line="276" w:lineRule="auto"/>
        <w:rPr>
          <w:rFonts w:ascii="Arial" w:hAnsi="Arial" w:cs="Arial"/>
          <w:color w:val="000000" w:themeColor="text1"/>
          <w:sz w:val="24"/>
          <w:szCs w:val="24"/>
        </w:rPr>
      </w:pPr>
      <w:r w:rsidRPr="002004C5">
        <w:rPr>
          <w:rFonts w:ascii="Arial" w:hAnsi="Arial" w:cs="Arial"/>
          <w:color w:val="000000" w:themeColor="text1"/>
          <w:sz w:val="24"/>
          <w:szCs w:val="24"/>
        </w:rPr>
        <w:t xml:space="preserve">‘Vento v The Chief Constable of West Yorkshire Police’ (2003) Court of Appeal, case 1871. BAILII. Available at: </w:t>
      </w:r>
      <w:hyperlink r:id="rId39" w:history="1">
        <w:r w:rsidRPr="002004C5">
          <w:rPr>
            <w:rStyle w:val="Hyperlink"/>
            <w:rFonts w:ascii="Arial" w:hAnsi="Arial" w:cs="Arial"/>
            <w:color w:val="000000" w:themeColor="text1"/>
            <w:sz w:val="24"/>
            <w:szCs w:val="24"/>
          </w:rPr>
          <w:t>https://www.bailii.org/ew/cases/EWCA/Civ/2002/1871.html</w:t>
        </w:r>
      </w:hyperlink>
      <w:r w:rsidRPr="002004C5">
        <w:rPr>
          <w:rFonts w:ascii="Arial" w:hAnsi="Arial" w:cs="Arial"/>
          <w:color w:val="000000" w:themeColor="text1"/>
          <w:sz w:val="24"/>
          <w:szCs w:val="24"/>
        </w:rPr>
        <w:t xml:space="preserve"> (Accessed: </w:t>
      </w:r>
      <w:r w:rsidR="00ED5860" w:rsidRPr="002004C5">
        <w:rPr>
          <w:rFonts w:ascii="Arial" w:hAnsi="Arial" w:cs="Arial"/>
          <w:color w:val="000000" w:themeColor="text1"/>
          <w:sz w:val="24"/>
          <w:szCs w:val="24"/>
        </w:rPr>
        <w:t>08 May</w:t>
      </w:r>
      <w:r w:rsidRPr="002004C5">
        <w:rPr>
          <w:rFonts w:ascii="Arial" w:hAnsi="Arial" w:cs="Arial"/>
          <w:color w:val="000000" w:themeColor="text1"/>
          <w:sz w:val="24"/>
          <w:szCs w:val="24"/>
        </w:rPr>
        <w:t xml:space="preserve"> 2023) </w:t>
      </w:r>
    </w:p>
    <w:p w:rsidR="00C62F3C" w:rsidRPr="002004C5" w:rsidRDefault="00C62F3C" w:rsidP="002004C5">
      <w:pPr>
        <w:tabs>
          <w:tab w:val="left" w:pos="950"/>
        </w:tabs>
        <w:rPr>
          <w:rFonts w:ascii="Arial" w:hAnsi="Arial" w:cs="Arial"/>
          <w:color w:val="000000" w:themeColor="text1"/>
          <w:sz w:val="24"/>
          <w:szCs w:val="24"/>
        </w:rPr>
      </w:pPr>
      <w:proofErr w:type="spellStart"/>
      <w:r w:rsidRPr="002004C5">
        <w:rPr>
          <w:rFonts w:ascii="Arial" w:hAnsi="Arial" w:cs="Arial"/>
          <w:color w:val="000000" w:themeColor="text1"/>
          <w:sz w:val="24"/>
          <w:szCs w:val="24"/>
        </w:rPr>
        <w:t>Viberts</w:t>
      </w:r>
      <w:proofErr w:type="spellEnd"/>
      <w:r w:rsidRPr="002004C5">
        <w:rPr>
          <w:rFonts w:ascii="Arial" w:hAnsi="Arial" w:cs="Arial"/>
          <w:color w:val="000000" w:themeColor="text1"/>
          <w:sz w:val="24"/>
          <w:szCs w:val="24"/>
        </w:rPr>
        <w:t xml:space="preserve"> (2015) ‘Bisson v Condor Ferries Limited’ </w:t>
      </w:r>
      <w:r w:rsidRPr="002004C5">
        <w:rPr>
          <w:rFonts w:ascii="Arial" w:hAnsi="Arial" w:cs="Arial"/>
          <w:i/>
          <w:color w:val="000000" w:themeColor="text1"/>
          <w:sz w:val="24"/>
          <w:szCs w:val="24"/>
        </w:rPr>
        <w:t xml:space="preserve">Transgender Discrimination case. </w:t>
      </w:r>
      <w:r w:rsidRPr="002004C5">
        <w:rPr>
          <w:rFonts w:ascii="Arial" w:hAnsi="Arial" w:cs="Arial"/>
          <w:color w:val="000000" w:themeColor="text1"/>
          <w:sz w:val="24"/>
          <w:szCs w:val="24"/>
        </w:rPr>
        <w:t xml:space="preserve">Available at: </w:t>
      </w:r>
      <w:hyperlink r:id="rId40" w:history="1">
        <w:r w:rsidRPr="002004C5">
          <w:rPr>
            <w:rStyle w:val="Hyperlink"/>
            <w:rFonts w:ascii="Arial" w:hAnsi="Arial" w:cs="Arial"/>
            <w:color w:val="000000" w:themeColor="text1"/>
            <w:sz w:val="24"/>
            <w:szCs w:val="24"/>
          </w:rPr>
          <w:t>https://www.viberts.com/news-insights/transgender-discrimination-case/</w:t>
        </w:r>
      </w:hyperlink>
      <w:r w:rsidRPr="002004C5">
        <w:rPr>
          <w:rFonts w:ascii="Arial" w:hAnsi="Arial" w:cs="Arial"/>
          <w:color w:val="000000" w:themeColor="text1"/>
          <w:sz w:val="24"/>
          <w:szCs w:val="24"/>
        </w:rPr>
        <w:t xml:space="preserve"> (Accessed: 07 May 2023) </w:t>
      </w:r>
    </w:p>
    <w:p w:rsidR="00B750EB" w:rsidRPr="002004C5" w:rsidRDefault="00B750EB" w:rsidP="002004C5">
      <w:pPr>
        <w:tabs>
          <w:tab w:val="left" w:pos="950"/>
        </w:tabs>
        <w:rPr>
          <w:rFonts w:ascii="Arial" w:hAnsi="Arial" w:cs="Arial"/>
          <w:color w:val="000000" w:themeColor="text1"/>
          <w:sz w:val="24"/>
          <w:szCs w:val="24"/>
          <w:shd w:val="clear" w:color="auto" w:fill="FFFFFF"/>
        </w:rPr>
      </w:pPr>
      <w:r w:rsidRPr="002004C5">
        <w:rPr>
          <w:rFonts w:ascii="Arial" w:hAnsi="Arial" w:cs="Arial"/>
          <w:color w:val="000000" w:themeColor="text1"/>
          <w:sz w:val="24"/>
          <w:szCs w:val="24"/>
          <w:shd w:val="clear" w:color="auto" w:fill="FFFFFF"/>
        </w:rPr>
        <w:t>Wyvern, D. (2021) ‘Supporting transgender people in work.’ </w:t>
      </w:r>
      <w:r w:rsidRPr="002004C5">
        <w:rPr>
          <w:rFonts w:ascii="Arial" w:hAnsi="Arial" w:cs="Arial"/>
          <w:i/>
          <w:iCs/>
          <w:color w:val="000000" w:themeColor="text1"/>
          <w:sz w:val="24"/>
          <w:szCs w:val="24"/>
          <w:shd w:val="clear" w:color="auto" w:fill="FFFFFF"/>
        </w:rPr>
        <w:t>Occupational Health &amp; Wellbeing, </w:t>
      </w:r>
      <w:r w:rsidRPr="002004C5">
        <w:rPr>
          <w:rFonts w:ascii="Arial" w:hAnsi="Arial" w:cs="Arial"/>
          <w:bCs/>
          <w:color w:val="000000" w:themeColor="text1"/>
          <w:sz w:val="24"/>
          <w:szCs w:val="24"/>
          <w:shd w:val="clear" w:color="auto" w:fill="FFFFFF"/>
        </w:rPr>
        <w:t>73</w:t>
      </w:r>
      <w:r w:rsidRPr="002004C5">
        <w:rPr>
          <w:rFonts w:ascii="Arial" w:hAnsi="Arial" w:cs="Arial"/>
          <w:color w:val="000000" w:themeColor="text1"/>
          <w:sz w:val="24"/>
          <w:szCs w:val="24"/>
          <w:shd w:val="clear" w:color="auto" w:fill="FFFFFF"/>
        </w:rPr>
        <w:t xml:space="preserve">(2), pp. 26-29. Available at: </w:t>
      </w:r>
      <w:hyperlink r:id="rId41" w:history="1">
        <w:r w:rsidRPr="002004C5">
          <w:rPr>
            <w:rStyle w:val="Hyperlink"/>
            <w:rFonts w:ascii="Arial" w:hAnsi="Arial" w:cs="Arial"/>
            <w:color w:val="000000" w:themeColor="text1"/>
            <w:sz w:val="24"/>
            <w:szCs w:val="24"/>
            <w:shd w:val="clear" w:color="auto" w:fill="FFFFFF"/>
          </w:rPr>
          <w:t>https://www.proquest.com/docview/2529344601/fulltextPDF/FA5186299B1A4A53PQ/1?accountid=130472</w:t>
        </w:r>
      </w:hyperlink>
      <w:r w:rsidRPr="002004C5">
        <w:rPr>
          <w:rFonts w:ascii="Arial" w:hAnsi="Arial" w:cs="Arial"/>
          <w:color w:val="000000" w:themeColor="text1"/>
          <w:sz w:val="24"/>
          <w:szCs w:val="24"/>
          <w:shd w:val="clear" w:color="auto" w:fill="FFFFFF"/>
        </w:rPr>
        <w:t xml:space="preserve"> (Accessed: 07 May 2023) </w:t>
      </w:r>
    </w:p>
    <w:p w:rsidR="00514A57" w:rsidRPr="002004C5" w:rsidRDefault="00514A57" w:rsidP="002004C5">
      <w:pPr>
        <w:tabs>
          <w:tab w:val="left" w:pos="950"/>
        </w:tabs>
        <w:rPr>
          <w:rFonts w:ascii="Arial" w:hAnsi="Arial" w:cs="Arial"/>
          <w:color w:val="000000" w:themeColor="text1"/>
          <w:sz w:val="24"/>
          <w:szCs w:val="24"/>
        </w:rPr>
      </w:pPr>
      <w:proofErr w:type="spellStart"/>
      <w:r w:rsidRPr="002004C5">
        <w:rPr>
          <w:rFonts w:ascii="Arial" w:hAnsi="Arial" w:cs="Arial"/>
          <w:color w:val="000000" w:themeColor="text1"/>
          <w:sz w:val="24"/>
          <w:szCs w:val="24"/>
        </w:rPr>
        <w:t>Zangina</w:t>
      </w:r>
      <w:proofErr w:type="spellEnd"/>
      <w:r w:rsidRPr="002004C5">
        <w:rPr>
          <w:rFonts w:ascii="Arial" w:hAnsi="Arial" w:cs="Arial"/>
          <w:color w:val="000000" w:themeColor="text1"/>
          <w:sz w:val="24"/>
          <w:szCs w:val="24"/>
        </w:rPr>
        <w:t xml:space="preserve">, L. (2023) </w:t>
      </w:r>
      <w:r w:rsidRPr="002004C5">
        <w:rPr>
          <w:rFonts w:ascii="Arial" w:hAnsi="Arial" w:cs="Arial"/>
          <w:i/>
          <w:color w:val="000000" w:themeColor="text1"/>
          <w:sz w:val="24"/>
          <w:szCs w:val="24"/>
        </w:rPr>
        <w:t xml:space="preserve">How to deal with employees expressing diverse beliefs at work. </w:t>
      </w:r>
      <w:r w:rsidR="00AF4113" w:rsidRPr="002004C5">
        <w:rPr>
          <w:rFonts w:ascii="Arial" w:hAnsi="Arial" w:cs="Arial"/>
          <w:color w:val="000000" w:themeColor="text1"/>
          <w:sz w:val="24"/>
          <w:szCs w:val="24"/>
        </w:rPr>
        <w:t xml:space="preserve">Available at: </w:t>
      </w:r>
      <w:hyperlink r:id="rId42" w:history="1">
        <w:r w:rsidR="00AF4113" w:rsidRPr="002004C5">
          <w:rPr>
            <w:rStyle w:val="Hyperlink"/>
            <w:rFonts w:ascii="Arial" w:hAnsi="Arial" w:cs="Arial"/>
            <w:color w:val="000000" w:themeColor="text1"/>
            <w:sz w:val="24"/>
            <w:szCs w:val="24"/>
          </w:rPr>
          <w:t>https://www.peoplemanagement.co.uk/article/1821957/deal-employees-expressing-divisive-beliefs-work</w:t>
        </w:r>
      </w:hyperlink>
      <w:r w:rsidR="00AF4113" w:rsidRPr="002004C5">
        <w:rPr>
          <w:rFonts w:ascii="Arial" w:hAnsi="Arial" w:cs="Arial"/>
          <w:color w:val="000000" w:themeColor="text1"/>
          <w:sz w:val="24"/>
          <w:szCs w:val="24"/>
        </w:rPr>
        <w:t xml:space="preserve"> (Accessed: 08 May 2023) </w:t>
      </w:r>
    </w:p>
    <w:p w:rsidR="00B750EB" w:rsidRPr="002004C5" w:rsidRDefault="00B750EB" w:rsidP="002004C5">
      <w:pPr>
        <w:tabs>
          <w:tab w:val="left" w:pos="950"/>
        </w:tabs>
        <w:rPr>
          <w:rFonts w:ascii="Arial" w:hAnsi="Arial" w:cs="Arial"/>
          <w:color w:val="000000" w:themeColor="text1"/>
          <w:sz w:val="24"/>
          <w:szCs w:val="24"/>
        </w:rPr>
      </w:pPr>
    </w:p>
    <w:sectPr w:rsidR="00B750EB" w:rsidRPr="002004C5">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6E02" w:rsidRDefault="00096E02" w:rsidP="00096E02">
      <w:pPr>
        <w:spacing w:after="0" w:line="240" w:lineRule="auto"/>
      </w:pPr>
      <w:r>
        <w:separator/>
      </w:r>
    </w:p>
  </w:endnote>
  <w:endnote w:type="continuationSeparator" w:id="0">
    <w:p w:rsidR="00096E02" w:rsidRDefault="00096E02" w:rsidP="00096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2293986"/>
      <w:docPartObj>
        <w:docPartGallery w:val="Page Numbers (Bottom of Page)"/>
        <w:docPartUnique/>
      </w:docPartObj>
    </w:sdtPr>
    <w:sdtEndPr>
      <w:rPr>
        <w:color w:val="7F7F7F" w:themeColor="background1" w:themeShade="7F"/>
        <w:spacing w:val="60"/>
      </w:rPr>
    </w:sdtEndPr>
    <w:sdtContent>
      <w:p w:rsidR="00096E02" w:rsidRDefault="00096E0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096E02" w:rsidRDefault="00096E02">
    <w:pPr>
      <w:pStyle w:val="Footer"/>
    </w:pPr>
    <w:r>
      <w:t>Grahame Chapman</w:t>
    </w:r>
    <w:r>
      <w:tab/>
      <w:t>0750314</w:t>
    </w:r>
    <w:r>
      <w:tab/>
      <w:t xml:space="preserve">Word Count: </w:t>
    </w:r>
    <w:r w:rsidR="005B58F7">
      <w:t>1646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6E02" w:rsidRDefault="00096E02" w:rsidP="00096E02">
      <w:pPr>
        <w:spacing w:after="0" w:line="240" w:lineRule="auto"/>
      </w:pPr>
      <w:r>
        <w:separator/>
      </w:r>
    </w:p>
  </w:footnote>
  <w:footnote w:type="continuationSeparator" w:id="0">
    <w:p w:rsidR="00096E02" w:rsidRDefault="00096E02" w:rsidP="00096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035AA"/>
    <w:multiLevelType w:val="hybridMultilevel"/>
    <w:tmpl w:val="DF0A0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74123"/>
    <w:multiLevelType w:val="hybridMultilevel"/>
    <w:tmpl w:val="17683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7689E"/>
    <w:multiLevelType w:val="hybridMultilevel"/>
    <w:tmpl w:val="6FF69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7751F"/>
    <w:multiLevelType w:val="hybridMultilevel"/>
    <w:tmpl w:val="04B4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5A401E"/>
    <w:multiLevelType w:val="hybridMultilevel"/>
    <w:tmpl w:val="1CECD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D61"/>
    <w:rsid w:val="00016638"/>
    <w:rsid w:val="00063FBF"/>
    <w:rsid w:val="00096E02"/>
    <w:rsid w:val="000A488F"/>
    <w:rsid w:val="00102161"/>
    <w:rsid w:val="00125C0A"/>
    <w:rsid w:val="00137686"/>
    <w:rsid w:val="00180479"/>
    <w:rsid w:val="00181429"/>
    <w:rsid w:val="002004C5"/>
    <w:rsid w:val="0021772C"/>
    <w:rsid w:val="0023212A"/>
    <w:rsid w:val="002326FC"/>
    <w:rsid w:val="0024138D"/>
    <w:rsid w:val="002D7C7B"/>
    <w:rsid w:val="00331A99"/>
    <w:rsid w:val="003A220F"/>
    <w:rsid w:val="003C7704"/>
    <w:rsid w:val="003D42E8"/>
    <w:rsid w:val="00400778"/>
    <w:rsid w:val="00400794"/>
    <w:rsid w:val="00434E69"/>
    <w:rsid w:val="0046556E"/>
    <w:rsid w:val="004D1CA9"/>
    <w:rsid w:val="004D238F"/>
    <w:rsid w:val="004D3D61"/>
    <w:rsid w:val="004D623E"/>
    <w:rsid w:val="004E14FD"/>
    <w:rsid w:val="004E4D14"/>
    <w:rsid w:val="00514A57"/>
    <w:rsid w:val="00526288"/>
    <w:rsid w:val="005B58F7"/>
    <w:rsid w:val="006348C5"/>
    <w:rsid w:val="0063737C"/>
    <w:rsid w:val="00662895"/>
    <w:rsid w:val="006745CF"/>
    <w:rsid w:val="006D3831"/>
    <w:rsid w:val="006F6CFB"/>
    <w:rsid w:val="007619E9"/>
    <w:rsid w:val="00765CEA"/>
    <w:rsid w:val="007B155D"/>
    <w:rsid w:val="007B1C7A"/>
    <w:rsid w:val="007E3B5D"/>
    <w:rsid w:val="007F62E4"/>
    <w:rsid w:val="0080422E"/>
    <w:rsid w:val="00810D3E"/>
    <w:rsid w:val="0082202D"/>
    <w:rsid w:val="00857316"/>
    <w:rsid w:val="008A64CC"/>
    <w:rsid w:val="008F2BA9"/>
    <w:rsid w:val="008F33F5"/>
    <w:rsid w:val="009419A4"/>
    <w:rsid w:val="009459D9"/>
    <w:rsid w:val="00A32CFC"/>
    <w:rsid w:val="00A369EA"/>
    <w:rsid w:val="00A425D0"/>
    <w:rsid w:val="00A45344"/>
    <w:rsid w:val="00A8070D"/>
    <w:rsid w:val="00A8137C"/>
    <w:rsid w:val="00A868A8"/>
    <w:rsid w:val="00AB77F0"/>
    <w:rsid w:val="00AF4113"/>
    <w:rsid w:val="00AF4929"/>
    <w:rsid w:val="00B22942"/>
    <w:rsid w:val="00B634F2"/>
    <w:rsid w:val="00B750EB"/>
    <w:rsid w:val="00B855B4"/>
    <w:rsid w:val="00BA2BD7"/>
    <w:rsid w:val="00BE5690"/>
    <w:rsid w:val="00C277B1"/>
    <w:rsid w:val="00C43A4F"/>
    <w:rsid w:val="00C62F3C"/>
    <w:rsid w:val="00CC6B7C"/>
    <w:rsid w:val="00D11CB4"/>
    <w:rsid w:val="00D14263"/>
    <w:rsid w:val="00D33657"/>
    <w:rsid w:val="00D75C2E"/>
    <w:rsid w:val="00DB3280"/>
    <w:rsid w:val="00DD74FC"/>
    <w:rsid w:val="00E304B6"/>
    <w:rsid w:val="00E763AB"/>
    <w:rsid w:val="00EA1E5F"/>
    <w:rsid w:val="00ED5860"/>
    <w:rsid w:val="00F25A34"/>
    <w:rsid w:val="00F57328"/>
    <w:rsid w:val="00F62853"/>
    <w:rsid w:val="00F71F0C"/>
    <w:rsid w:val="00F754EC"/>
    <w:rsid w:val="00FA1A9C"/>
    <w:rsid w:val="00FA27CF"/>
    <w:rsid w:val="00FD5FB9"/>
    <w:rsid w:val="00FF2CD5"/>
    <w:rsid w:val="00FF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C9C5"/>
  <w15:chartTrackingRefBased/>
  <w15:docId w15:val="{58E47DED-483D-40E8-AB21-87B30D60F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3D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69EA"/>
    <w:pPr>
      <w:ind w:left="720"/>
      <w:contextualSpacing/>
    </w:pPr>
  </w:style>
  <w:style w:type="character" w:styleId="Hyperlink">
    <w:name w:val="Hyperlink"/>
    <w:basedOn w:val="DefaultParagraphFont"/>
    <w:uiPriority w:val="99"/>
    <w:unhideWhenUsed/>
    <w:rsid w:val="00BA2BD7"/>
    <w:rPr>
      <w:color w:val="0563C1" w:themeColor="hyperlink"/>
      <w:u w:val="single"/>
    </w:rPr>
  </w:style>
  <w:style w:type="character" w:styleId="UnresolvedMention">
    <w:name w:val="Unresolved Mention"/>
    <w:basedOn w:val="DefaultParagraphFont"/>
    <w:uiPriority w:val="99"/>
    <w:semiHidden/>
    <w:unhideWhenUsed/>
    <w:rsid w:val="00BA2BD7"/>
    <w:rPr>
      <w:color w:val="605E5C"/>
      <w:shd w:val="clear" w:color="auto" w:fill="E1DFDD"/>
    </w:rPr>
  </w:style>
  <w:style w:type="character" w:styleId="FollowedHyperlink">
    <w:name w:val="FollowedHyperlink"/>
    <w:basedOn w:val="DefaultParagraphFont"/>
    <w:uiPriority w:val="99"/>
    <w:semiHidden/>
    <w:unhideWhenUsed/>
    <w:rsid w:val="00C43A4F"/>
    <w:rPr>
      <w:color w:val="954F72" w:themeColor="followedHyperlink"/>
      <w:u w:val="single"/>
    </w:rPr>
  </w:style>
  <w:style w:type="paragraph" w:styleId="Header">
    <w:name w:val="header"/>
    <w:basedOn w:val="Normal"/>
    <w:link w:val="HeaderChar"/>
    <w:uiPriority w:val="99"/>
    <w:unhideWhenUsed/>
    <w:rsid w:val="0009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E02"/>
  </w:style>
  <w:style w:type="paragraph" w:styleId="Footer">
    <w:name w:val="footer"/>
    <w:basedOn w:val="Normal"/>
    <w:link w:val="FooterChar"/>
    <w:uiPriority w:val="99"/>
    <w:unhideWhenUsed/>
    <w:rsid w:val="0009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E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tizensadvice.org.uk/work/discrimination-at-work/discrimination-at-work/taking-action/work-out-how-much-compensation-you-could-get-for-discrimination-work/" TargetMode="External"/><Relationship Id="rId18" Type="http://schemas.openxmlformats.org/officeDocument/2006/relationships/hyperlink" Target="https://www.equalityhumanrights.com/en/advice-and-guidance/gender-reassignment-provisions-equality-act" TargetMode="External"/><Relationship Id="rId26" Type="http://schemas.openxmlformats.org/officeDocument/2006/relationships/hyperlink" Target="https://assets.publishing.service.gov.uk/media/62bc3bb1e90e075f1d426fb4/Dr_David_Mackereth_v_The_Department_of_Work_and_Pensions__1__Advanced_Personnel_Management_Group__UK__Limited__2___2022__EAT_99.pdf" TargetMode="External"/><Relationship Id="rId39" Type="http://schemas.openxmlformats.org/officeDocument/2006/relationships/hyperlink" Target="https://www.bailii.org/ew/cases/EWCA/Civ/2002/1871.html" TargetMode="External"/><Relationship Id="rId21" Type="http://schemas.openxmlformats.org/officeDocument/2006/relationships/hyperlink" Target="https://assets.publishing.service.gov.uk/government/uploads/system/uploads/attachment_data/file/484855/The_recruitment_and_retention_of_transgender_staff-_guidance_for_employers.pdf" TargetMode="External"/><Relationship Id="rId34" Type="http://schemas.openxmlformats.org/officeDocument/2006/relationships/hyperlink" Target="https://www.stonewallcymru.org.uk/transgender/transitioning" TargetMode="External"/><Relationship Id="rId42" Type="http://schemas.openxmlformats.org/officeDocument/2006/relationships/hyperlink" Target="https://www.peoplemanagement.co.uk/article/1821957/deal-employees-expressing-divisive-beliefs-work" TargetMode="External"/><Relationship Id="rId7" Type="http://schemas.openxmlformats.org/officeDocument/2006/relationships/hyperlink" Target="http://www.stonewall.org.uk/list-lgbtq-terms" TargetMode="External"/><Relationship Id="rId2" Type="http://schemas.openxmlformats.org/officeDocument/2006/relationships/styles" Target="styles.xml"/><Relationship Id="rId16" Type="http://schemas.openxmlformats.org/officeDocument/2006/relationships/hyperlink" Target="https://www.peoplemanagement.co.uk/article/1800238/employers-avoid-gender-discrimination-claims" TargetMode="External"/><Relationship Id="rId29" Type="http://schemas.openxmlformats.org/officeDocument/2006/relationships/hyperlink" Target="https://eur-lex.europa.eu/legal-content/EN/TXT/?uri=CELEX:61994CJ001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a.org/topics/lgbtq/transgender-people-gender-identity-gender-expression" TargetMode="External"/><Relationship Id="rId24" Type="http://schemas.openxmlformats.org/officeDocument/2006/relationships/hyperlink" Target="https://www.legislation.gov.uk/ukp&#8204;&#8204;ga&#8204;&#8204;/1974/37/contents" TargetMode="External"/><Relationship Id="rId32" Type="http://schemas.openxmlformats.org/officeDocument/2006/relationships/hyperlink" Target="https://doi.org/10.1007/978-3-030-48830-7" TargetMode="External"/><Relationship Id="rId37" Type="http://schemas.openxmlformats.org/officeDocument/2006/relationships/hyperlink" Target="https://uk.practicallaw.&#8204;thomsonreuters.com/4-200-2038?contextData=(sc.Default)&amp;transitionType=Default&#8204;&amp;firstPage=true" TargetMode="External"/><Relationship Id="rId40" Type="http://schemas.openxmlformats.org/officeDocument/2006/relationships/hyperlink" Target="https://www.viberts.com/news-insights/transgender-discrimination-case/"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cas.org.uk/the-equality-act-2010-agender-and-me" TargetMode="External"/><Relationship Id="rId23" Type="http://schemas.openxmlformats.org/officeDocument/2006/relationships/hyperlink" Target="https://uk.practicallaw.thomsonreuters.com/w-036-3685?contextData=(sc.Default)&amp;transitionType=Default&amp;firstPage=true" TargetMode="External"/><Relationship Id="rId28" Type="http://schemas.openxmlformats.org/officeDocument/2006/relationships/hyperlink" Target="https://neu.org.uk/advice/supporting-trans-and-gender-questioning-students" TargetMode="External"/><Relationship Id="rId36" Type="http://schemas.openxmlformats.org/officeDocument/2006/relationships/hyperlink" Target="https://assets.publishing.service.gov.uk/media/5f68b2ebe90e077f5ac3bb5a/Ms_R_Taylor_V_Jaguar_Land_Rover_Ltd_-_1304471_2018_-_judgment.pdf" TargetMode="External"/><Relationship Id="rId10" Type="http://schemas.openxmlformats.org/officeDocument/2006/relationships/hyperlink" Target="https://www.cipd.org/uk/knowledge/factsheets/sexual-orientation-discrimination-factsheet/" TargetMode="External"/><Relationship Id="rId19" Type="http://schemas.openxmlformats.org/officeDocument/2006/relationships/hyperlink" Target="https://www.gov.uk/employment-appeal-tribunal-decisions/maya-forstater-v-cgd-europe-and-others-ukeat-slash-0105-slash-20-slash-joj" TargetMode="External"/><Relationship Id="rId31" Type="http://schemas.openxmlformats.org/officeDocument/2006/relationships/hyperlink" Target="https://www.legislation.gov.uk/ukpga/1997/40/content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disability-discrimination" TargetMode="External"/><Relationship Id="rId14" Type="http://schemas.openxmlformats.org/officeDocument/2006/relationships/hyperlink" Target="https://doi.org/10.1007/s13178-021-00658-8" TargetMode="External"/><Relationship Id="rId22" Type="http://schemas.openxmlformats.org/officeDocument/2006/relationships/hyperlink" Target="https://www.gov.uk/government/publications/national-lgbt-survey-summary-report/national-lgbt-survey-summary-report" TargetMode="External"/><Relationship Id="rId27" Type="http://schemas.openxmlformats.org/officeDocument/2006/relationships/hyperlink" Target="https://www.linkedin.com/pulse/diversity-mix-inclusion-making-work-ashish-majumdar/" TargetMode="External"/><Relationship Id="rId30" Type="http://schemas.openxmlformats.org/officeDocument/2006/relationships/hyperlink" Target="https://www.xperthr.co.uk/leading-practice-guides/supporting-non-binary-and-transgender-employees-2-creating-an-inclusive-workplace/166474/" TargetMode="External"/><Relationship Id="rId35" Type="http://schemas.openxmlformats.org/officeDocument/2006/relationships/hyperlink" Target="https://www.stonewall.org.uk/list-lgbtq-terms" TargetMode="External"/><Relationship Id="rId43" Type="http://schemas.openxmlformats.org/officeDocument/2006/relationships/footer" Target="footer1.xml"/><Relationship Id="rId8" Type="http://schemas.openxmlformats.org/officeDocument/2006/relationships/hyperlink" Target="https://www.equalityhumanrights.com/en/advice-and-guidance/gender-reassignment-provisions-equality-act" TargetMode="External"/><Relationship Id="rId3" Type="http://schemas.openxmlformats.org/officeDocument/2006/relationships/settings" Target="settings.xml"/><Relationship Id="rId12" Type="http://schemas.openxmlformats.org/officeDocument/2006/relationships/hyperlink" Target="https://doi.org/10.1108/SC-08-2017-0032"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plus-lexis-com.ezproxy.uwtsd.ac.uk/api/permalink/cfa42bed-ca63-4cdc-ba86-f8b2de6936be/?context=1001073" TargetMode="External"/><Relationship Id="rId33" Type="http://schemas.openxmlformats.org/officeDocument/2006/relationships/hyperlink" Target="https://raleighinternational.org/blog/lgbtq-history-month-understanding-lgbtq-terms-and-definitions/" TargetMode="External"/><Relationship Id="rId38" Type="http://schemas.openxmlformats.org/officeDocument/2006/relationships/hyperlink" Target="https://www.ucl.ac.uk/students/policies/equality-and-diversity/students-transitioning-gender" TargetMode="External"/><Relationship Id="rId20" Type="http://schemas.openxmlformats.org/officeDocument/2006/relationships/hyperlink" Target="https://www.legislation.gov.uk/ukpga/2004/7/contents" TargetMode="External"/><Relationship Id="rId41" Type="http://schemas.openxmlformats.org/officeDocument/2006/relationships/hyperlink" Target="https://www.proquest.com/docview/2529344601/fulltextPDF/FA5186299B1A4A53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3418</Words>
  <Characters>19489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2</cp:revision>
  <dcterms:created xsi:type="dcterms:W3CDTF">2023-05-14T10:02:00Z</dcterms:created>
  <dcterms:modified xsi:type="dcterms:W3CDTF">2023-05-14T10:02:00Z</dcterms:modified>
</cp:coreProperties>
</file>