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8B23C" w14:textId="77777777" w:rsidR="004B5BAD" w:rsidRDefault="004B5BAD" w:rsidP="004B5BAD">
      <w:pPr>
        <w:spacing w:line="480" w:lineRule="auto"/>
        <w:rPr>
          <w:b/>
        </w:rPr>
      </w:pPr>
    </w:p>
    <w:p w14:paraId="171A6B4F" w14:textId="77777777" w:rsidR="004B5BAD" w:rsidRDefault="004B5BAD" w:rsidP="004B5BAD">
      <w:pPr>
        <w:spacing w:line="480" w:lineRule="auto"/>
        <w:jc w:val="center"/>
        <w:rPr>
          <w:b/>
        </w:rPr>
      </w:pPr>
    </w:p>
    <w:p w14:paraId="6B93826C" w14:textId="77777777" w:rsidR="004B5BAD" w:rsidRDefault="004B5BAD" w:rsidP="004B5BAD">
      <w:pPr>
        <w:spacing w:line="480" w:lineRule="auto"/>
        <w:jc w:val="center"/>
        <w:rPr>
          <w:b/>
        </w:rPr>
      </w:pPr>
    </w:p>
    <w:p w14:paraId="225886BD" w14:textId="77777777" w:rsidR="00011CA4" w:rsidRPr="00F32624" w:rsidRDefault="00011CA4" w:rsidP="00011CA4">
      <w:pPr>
        <w:spacing w:line="360" w:lineRule="auto"/>
        <w:jc w:val="center"/>
        <w:rPr>
          <w:rFonts w:ascii="Times New Roman" w:hAnsi="Times New Roman" w:cs="Times New Roman"/>
          <w:b/>
          <w:sz w:val="24"/>
          <w:szCs w:val="24"/>
        </w:rPr>
      </w:pPr>
      <w:r w:rsidRPr="00F32624">
        <w:rPr>
          <w:rFonts w:ascii="Times New Roman" w:hAnsi="Times New Roman" w:cs="Times New Roman"/>
          <w:b/>
          <w:sz w:val="24"/>
          <w:szCs w:val="24"/>
        </w:rPr>
        <w:t>BUSINESS MANAGEMENT</w:t>
      </w:r>
    </w:p>
    <w:p w14:paraId="3935D734" w14:textId="77777777" w:rsidR="00011CA4" w:rsidRPr="00F32624" w:rsidRDefault="00011CA4" w:rsidP="00011CA4">
      <w:pPr>
        <w:spacing w:line="360" w:lineRule="auto"/>
        <w:jc w:val="center"/>
        <w:rPr>
          <w:rFonts w:ascii="Times New Roman" w:hAnsi="Times New Roman" w:cs="Times New Roman"/>
          <w:b/>
          <w:sz w:val="24"/>
          <w:szCs w:val="24"/>
        </w:rPr>
      </w:pPr>
      <w:r w:rsidRPr="00F32624">
        <w:rPr>
          <w:rFonts w:ascii="Times New Roman" w:hAnsi="Times New Roman" w:cs="Times New Roman"/>
          <w:b/>
          <w:sz w:val="24"/>
          <w:szCs w:val="24"/>
        </w:rPr>
        <w:t>COMMUNITY ENGAGEMENT</w:t>
      </w:r>
    </w:p>
    <w:p w14:paraId="618DB7DC" w14:textId="77777777" w:rsidR="00011CA4" w:rsidRDefault="00011CA4" w:rsidP="00011CA4">
      <w:pPr>
        <w:spacing w:line="360" w:lineRule="auto"/>
        <w:jc w:val="center"/>
        <w:rPr>
          <w:rFonts w:ascii="Times New Roman" w:hAnsi="Times New Roman" w:cs="Times New Roman"/>
          <w:b/>
          <w:sz w:val="24"/>
          <w:szCs w:val="24"/>
        </w:rPr>
      </w:pPr>
    </w:p>
    <w:p w14:paraId="14D36830" w14:textId="77777777" w:rsidR="00011CA4" w:rsidRDefault="00011CA4" w:rsidP="00011CA4">
      <w:pPr>
        <w:spacing w:line="360" w:lineRule="auto"/>
        <w:jc w:val="center"/>
        <w:rPr>
          <w:rFonts w:ascii="Times New Roman" w:hAnsi="Times New Roman" w:cs="Times New Roman"/>
          <w:b/>
          <w:sz w:val="24"/>
          <w:szCs w:val="24"/>
        </w:rPr>
      </w:pPr>
    </w:p>
    <w:p w14:paraId="0D50B72F" w14:textId="77777777" w:rsidR="00011CA4" w:rsidRPr="001C3383" w:rsidRDefault="00011CA4" w:rsidP="00011CA4">
      <w:pPr>
        <w:spacing w:line="360" w:lineRule="auto"/>
        <w:jc w:val="center"/>
        <w:rPr>
          <w:rFonts w:ascii="Times New Roman" w:hAnsi="Times New Roman" w:cs="Times New Roman"/>
          <w:b/>
          <w:sz w:val="24"/>
          <w:szCs w:val="24"/>
        </w:rPr>
      </w:pPr>
      <w:r w:rsidRPr="00F32624">
        <w:rPr>
          <w:rFonts w:ascii="Times New Roman" w:hAnsi="Times New Roman" w:cs="Times New Roman"/>
          <w:b/>
          <w:sz w:val="24"/>
          <w:szCs w:val="24"/>
        </w:rPr>
        <w:t>STUDENT ID</w:t>
      </w:r>
      <w:r>
        <w:rPr>
          <w:rFonts w:ascii="Times New Roman" w:hAnsi="Times New Roman" w:cs="Times New Roman"/>
          <w:b/>
          <w:sz w:val="24"/>
          <w:szCs w:val="24"/>
        </w:rPr>
        <w:t xml:space="preserve">: </w:t>
      </w:r>
      <w:r w:rsidRPr="001C3383">
        <w:rPr>
          <w:rFonts w:ascii="Times New Roman" w:eastAsia="Times New Roman" w:hAnsi="Times New Roman" w:cs="Times New Roman"/>
          <w:b/>
          <w:color w:val="000000" w:themeColor="text1"/>
        </w:rPr>
        <w:t>2122648</w:t>
      </w:r>
    </w:p>
    <w:p w14:paraId="6C902CF6" w14:textId="77777777" w:rsidR="00011CA4" w:rsidRPr="00F32624" w:rsidRDefault="00011CA4" w:rsidP="00011CA4">
      <w:pPr>
        <w:spacing w:line="360" w:lineRule="auto"/>
        <w:jc w:val="center"/>
        <w:rPr>
          <w:rFonts w:ascii="Times New Roman" w:hAnsi="Times New Roman" w:cs="Times New Roman"/>
          <w:b/>
          <w:sz w:val="24"/>
          <w:szCs w:val="24"/>
        </w:rPr>
      </w:pPr>
      <w:r w:rsidRPr="00F32624">
        <w:rPr>
          <w:rFonts w:ascii="Times New Roman" w:hAnsi="Times New Roman" w:cs="Times New Roman"/>
          <w:b/>
          <w:sz w:val="24"/>
          <w:szCs w:val="24"/>
        </w:rPr>
        <w:t>MODULE CODE: LCBB4002</w:t>
      </w:r>
    </w:p>
    <w:p w14:paraId="7219BD9E" w14:textId="77777777" w:rsidR="00011CA4" w:rsidRDefault="00011CA4" w:rsidP="00011CA4">
      <w:pPr>
        <w:spacing w:line="360" w:lineRule="auto"/>
        <w:jc w:val="center"/>
        <w:rPr>
          <w:rFonts w:ascii="Times New Roman" w:hAnsi="Times New Roman" w:cs="Times New Roman"/>
          <w:b/>
          <w:sz w:val="24"/>
          <w:szCs w:val="24"/>
        </w:rPr>
      </w:pPr>
    </w:p>
    <w:p w14:paraId="608C5819" w14:textId="77777777" w:rsidR="00011CA4" w:rsidRPr="00F32624" w:rsidRDefault="00011CA4" w:rsidP="00011CA4">
      <w:pPr>
        <w:spacing w:line="360" w:lineRule="auto"/>
        <w:jc w:val="center"/>
        <w:rPr>
          <w:rFonts w:ascii="Times New Roman" w:hAnsi="Times New Roman" w:cs="Times New Roman"/>
          <w:b/>
          <w:sz w:val="24"/>
          <w:szCs w:val="24"/>
        </w:rPr>
      </w:pPr>
      <w:r w:rsidRPr="00F32624">
        <w:rPr>
          <w:rFonts w:ascii="Times New Roman" w:hAnsi="Times New Roman" w:cs="Times New Roman"/>
          <w:b/>
          <w:sz w:val="24"/>
          <w:szCs w:val="24"/>
        </w:rPr>
        <w:t>LECTURER</w:t>
      </w:r>
      <w:r>
        <w:rPr>
          <w:rFonts w:ascii="Times New Roman" w:hAnsi="Times New Roman" w:cs="Times New Roman"/>
          <w:b/>
          <w:sz w:val="24"/>
          <w:szCs w:val="24"/>
        </w:rPr>
        <w:t xml:space="preserve">: </w:t>
      </w:r>
      <w:r>
        <w:rPr>
          <w:rFonts w:ascii="Calibri" w:eastAsia="Times New Roman" w:hAnsi="Calibri" w:cs="Calibri"/>
          <w:b/>
          <w:color w:val="000000" w:themeColor="text1"/>
        </w:rPr>
        <w:t xml:space="preserve">DR. MOLLY JACK </w:t>
      </w:r>
    </w:p>
    <w:p w14:paraId="031CA11C" w14:textId="7A5CDFB7" w:rsidR="00011CA4" w:rsidRPr="00F32624" w:rsidRDefault="00011CA4" w:rsidP="00011CA4">
      <w:pPr>
        <w:spacing w:line="360" w:lineRule="auto"/>
        <w:jc w:val="center"/>
        <w:rPr>
          <w:rFonts w:ascii="Times New Roman" w:eastAsiaTheme="majorEastAsia" w:hAnsi="Times New Roman" w:cs="Times New Roman"/>
          <w:b/>
          <w:bCs/>
          <w:sz w:val="24"/>
          <w:szCs w:val="24"/>
        </w:rPr>
      </w:pPr>
      <w:r w:rsidRPr="00F32624">
        <w:rPr>
          <w:rFonts w:ascii="Times New Roman" w:hAnsi="Times New Roman" w:cs="Times New Roman"/>
          <w:b/>
          <w:sz w:val="24"/>
          <w:szCs w:val="24"/>
        </w:rPr>
        <w:t>SUBMISION DATE</w:t>
      </w:r>
      <w:r>
        <w:rPr>
          <w:rFonts w:ascii="Times New Roman" w:hAnsi="Times New Roman" w:cs="Times New Roman"/>
          <w:b/>
          <w:sz w:val="24"/>
          <w:szCs w:val="24"/>
        </w:rPr>
        <w:t>: 0</w:t>
      </w:r>
      <w:r>
        <w:rPr>
          <w:rFonts w:ascii="Times New Roman" w:hAnsi="Times New Roman" w:cs="Times New Roman"/>
          <w:b/>
          <w:sz w:val="24"/>
          <w:szCs w:val="24"/>
        </w:rPr>
        <w:t>7</w:t>
      </w:r>
      <w:r>
        <w:rPr>
          <w:rFonts w:ascii="Times New Roman" w:hAnsi="Times New Roman" w:cs="Times New Roman"/>
          <w:b/>
          <w:sz w:val="24"/>
          <w:szCs w:val="24"/>
        </w:rPr>
        <w:t>.09.2022</w:t>
      </w:r>
    </w:p>
    <w:p w14:paraId="0E05972B" w14:textId="77777777" w:rsidR="004B5BAD" w:rsidRDefault="004B5BAD">
      <w:pPr>
        <w:rPr>
          <w:rFonts w:ascii="Times New Roman" w:eastAsia="Times New Roman" w:hAnsi="Times New Roman" w:cs="Times New Roman"/>
          <w:b/>
          <w:sz w:val="24"/>
          <w:szCs w:val="24"/>
          <w:lang w:eastAsia="en-GB"/>
        </w:rPr>
      </w:pPr>
    </w:p>
    <w:p w14:paraId="078503B2" w14:textId="77777777" w:rsidR="004B5BAD" w:rsidRDefault="004B5BAD">
      <w:pPr>
        <w:rPr>
          <w:rFonts w:ascii="Times New Roman" w:eastAsia="Times New Roman" w:hAnsi="Times New Roman" w:cs="Times New Roman"/>
          <w:b/>
          <w:sz w:val="24"/>
          <w:szCs w:val="24"/>
          <w:lang w:eastAsia="en-GB"/>
        </w:rPr>
      </w:pPr>
      <w:r>
        <w:rPr>
          <w:b/>
        </w:rPr>
        <w:br w:type="page"/>
      </w:r>
    </w:p>
    <w:p w14:paraId="14EB8A8D" w14:textId="3545EDD0" w:rsidR="00B12119" w:rsidRPr="004B5BAD" w:rsidRDefault="004B5BAD" w:rsidP="004B5BAD">
      <w:pPr>
        <w:pStyle w:val="root-block-node"/>
        <w:spacing w:line="360" w:lineRule="auto"/>
        <w:rPr>
          <w:b/>
        </w:rPr>
      </w:pPr>
      <w:r w:rsidRPr="004B5BAD">
        <w:rPr>
          <w:b/>
        </w:rPr>
        <w:lastRenderedPageBreak/>
        <w:t>REFLECTIVE ESSAY</w:t>
      </w:r>
    </w:p>
    <w:p w14:paraId="2B2EF042" w14:textId="77777777" w:rsidR="00B12119" w:rsidRPr="004B5BAD" w:rsidRDefault="00B12119" w:rsidP="004B5BAD">
      <w:pPr>
        <w:pStyle w:val="root-block-node"/>
        <w:spacing w:line="360" w:lineRule="auto"/>
      </w:pPr>
      <w:r w:rsidRPr="004B5BAD">
        <w:t xml:space="preserve">This essay is about the reflection of the Eden Project on the implementation of the play activities in the Kingsbridge, with the aim of building the playing ground on the sloppy area that was abandoned for a long time in the Kingsbridge communal area. The essay will be based on the reflections where the Gibbs model of reflection will be used in the analysis of the Eden Act in community engagement. The Gibbs model has been used because it has the various factors that can be used in the analysis of the case study on the aspect of the involvement of the community and the stakeholders in the Eden project. Gibbs contends that </w:t>
      </w:r>
      <w:proofErr w:type="gramStart"/>
      <w:r w:rsidRPr="004B5BAD">
        <w:t>taking into account</w:t>
      </w:r>
      <w:proofErr w:type="gramEnd"/>
      <w:r w:rsidRPr="004B5BAD">
        <w:t xml:space="preserve"> your educational background may improve both your present and future performance</w:t>
      </w:r>
      <w:r w:rsidR="00857ECB" w:rsidRPr="004B5BAD">
        <w:t xml:space="preserve"> (</w:t>
      </w:r>
      <w:r w:rsidR="00857ECB" w:rsidRPr="004B5BAD">
        <w:rPr>
          <w:color w:val="222222"/>
          <w:shd w:val="clear" w:color="auto" w:fill="FFFFFF"/>
        </w:rPr>
        <w:t>Tishman et al., 2014)</w:t>
      </w:r>
      <w:r w:rsidRPr="004B5BAD">
        <w:t>. It would be difficult to do better the next time without this introspection reflection on your own learning. Although the reflecting model has benefits and drawbacks, Gibbs reflection is used in this. They could be an excellent starting point if you've never thought about anything before. Additionally, they could be finished fast, which is advantageous in many situations. The disadvantage of Gibbs' approach may be that it promotes poor reflection and leaves little potential for advancement on a personal or professional level</w:t>
      </w:r>
      <w:r w:rsidR="00857ECB" w:rsidRPr="004B5BAD">
        <w:t xml:space="preserve"> (</w:t>
      </w:r>
      <w:r w:rsidR="00857ECB" w:rsidRPr="004B5BAD">
        <w:rPr>
          <w:color w:val="222222"/>
          <w:shd w:val="clear" w:color="auto" w:fill="FFFFFF"/>
        </w:rPr>
        <w:t>Celina et al., 2011)</w:t>
      </w:r>
      <w:r w:rsidRPr="004B5BAD">
        <w:t>.</w:t>
      </w:r>
    </w:p>
    <w:p w14:paraId="42C3CDD2" w14:textId="77777777" w:rsidR="00B12119" w:rsidRPr="004B5BAD" w:rsidRDefault="00B12119" w:rsidP="004B5BAD">
      <w:pPr>
        <w:pStyle w:val="root-block-node"/>
        <w:spacing w:line="360" w:lineRule="auto"/>
      </w:pPr>
      <w:r w:rsidRPr="004B5BAD">
        <w:t>There is a need to use the model even if it has some of the disadvantages in its application. The development of positive relationships with stakeholders and the use of social media to engage society, the community, and the stakeholders will be examined to determine whether Eden was successful in upholding the project's community engagement guiding principles. The analysis of the case study will also be done on the focus, which will be to promote community participation, collaboration, diversity, and inclusion, and this will enable socio-cultural and the aspect of multiculturalism</w:t>
      </w:r>
      <w:r w:rsidR="00857ECB" w:rsidRPr="004B5BAD">
        <w:t xml:space="preserve"> (</w:t>
      </w:r>
      <w:r w:rsidR="00857ECB" w:rsidRPr="004B5BAD">
        <w:rPr>
          <w:color w:val="222222"/>
          <w:shd w:val="clear" w:color="auto" w:fill="FFFFFF"/>
        </w:rPr>
        <w:t>Ali et al., 2015)</w:t>
      </w:r>
      <w:r w:rsidRPr="004B5BAD">
        <w:t>. At the end of this reflective essay, there will be an outline of the recommendations on the community engagement practises in the case study and how the recommendations will be applied in future projects. The reflective essay will be ended by the conclusion.</w:t>
      </w:r>
    </w:p>
    <w:p w14:paraId="6CBBD3D1" w14:textId="77777777" w:rsidR="00B12119" w:rsidRPr="004B5BAD" w:rsidRDefault="00B12119" w:rsidP="004B5BAD">
      <w:pPr>
        <w:pStyle w:val="root-block-node"/>
        <w:spacing w:line="360" w:lineRule="auto"/>
      </w:pPr>
      <w:r w:rsidRPr="004B5BAD">
        <w:t xml:space="preserve">Based on the analysis of the case study, Eden was involved in the community engagement development of the play field for the children in the previous days. This has led him to be assigned by the media house to the implementation of the other similar facility with the aim of engaging the children to meet their play needs. The activity was supposed to take place in the area where the floods were said to be a threat, and the area was highly dominated by the tennis court. Eden held a consultation with the community because he realised that the area </w:t>
      </w:r>
      <w:r w:rsidRPr="004B5BAD">
        <w:lastRenderedPageBreak/>
        <w:t>was not suitable for the activity as per planned, and this caused a change in the decision of what was expected to be implemented in the area</w:t>
      </w:r>
      <w:r w:rsidR="00857ECB" w:rsidRPr="004B5BAD">
        <w:t xml:space="preserve"> (</w:t>
      </w:r>
      <w:r w:rsidR="00857ECB" w:rsidRPr="004B5BAD">
        <w:rPr>
          <w:color w:val="222222"/>
          <w:shd w:val="clear" w:color="auto" w:fill="FFFFFF"/>
        </w:rPr>
        <w:t>Tishman et al., 2014)</w:t>
      </w:r>
      <w:r w:rsidRPr="004B5BAD">
        <w:t xml:space="preserve">. This prompted further thought, and it was eventually decided that, due to the risks and adventure, Eden would set up play activities on the slope with the goal of using the event to showcase the children's playability and talents. Eden demonstrated engagement in a way that encouraged community participation in the project. This was </w:t>
      </w:r>
      <w:proofErr w:type="gramStart"/>
      <w:r w:rsidRPr="004B5BAD">
        <w:t>through the use of</w:t>
      </w:r>
      <w:proofErr w:type="gramEnd"/>
      <w:r w:rsidRPr="004B5BAD">
        <w:t xml:space="preserve"> the open-ended consultation and the conversation with the local community, which led to the various requests made by the locals, and these requests were made to practise or taken into consideration.</w:t>
      </w:r>
    </w:p>
    <w:p w14:paraId="7CB9F3A8" w14:textId="77777777" w:rsidR="00B12119" w:rsidRPr="004B5BAD" w:rsidRDefault="00B12119" w:rsidP="004B5BAD">
      <w:pPr>
        <w:pStyle w:val="root-block-node"/>
        <w:spacing w:line="360" w:lineRule="auto"/>
      </w:pPr>
      <w:r w:rsidRPr="004B5BAD">
        <w:t>I consider that Eden used the appropriate approach in the approach of the project in the aspect of community involvement and engagement. This is because the basic process and the requirements that are supposed to be undertaken in the community engagement process were taken into consideration. The only aspect that Eden did not practise was the use of social media in engaging and consulting the stakeholders for the project in its community development and engagement. There is a need to incorporate a basic understanding of the stakeholders' basic definitions into the communal engagement. Constituents of a firm are known as stakeholders</w:t>
      </w:r>
      <w:r w:rsidR="004A3237" w:rsidRPr="004B5BAD">
        <w:t xml:space="preserve"> (</w:t>
      </w:r>
      <w:r w:rsidR="004A3237" w:rsidRPr="004B5BAD">
        <w:rPr>
          <w:color w:val="222222"/>
          <w:shd w:val="clear" w:color="auto" w:fill="FFFFFF"/>
        </w:rPr>
        <w:t>Pomeroy et al., 2008)</w:t>
      </w:r>
      <w:r w:rsidRPr="004B5BAD">
        <w:t xml:space="preserve">. Examples of community stakeholders include neighbourhoods, non-governmental organisations, community development organisations, environmental and development organisations, and citizen associations (NGOs). The establishment of a relationship with the stakeholders in the aspect of community engagement is a crucial process and the strategy that is important for the success of the project that the person is aimed at deploying in society. Eden was supposed to revoke as many stakeholders as he could so that he could be able to finish the project </w:t>
      </w:r>
      <w:proofErr w:type="gramStart"/>
      <w:r w:rsidRPr="004B5BAD">
        <w:t>in a given</w:t>
      </w:r>
      <w:proofErr w:type="gramEnd"/>
      <w:r w:rsidRPr="004B5BAD">
        <w:t xml:space="preserve"> time frame because the project was aimed at the promotion of community participation, collaboration, and various diversity practices</w:t>
      </w:r>
      <w:r w:rsidR="004A3237" w:rsidRPr="004B5BAD">
        <w:t xml:space="preserve"> (</w:t>
      </w:r>
      <w:proofErr w:type="spellStart"/>
      <w:r w:rsidR="004A3237" w:rsidRPr="004B5BAD">
        <w:rPr>
          <w:color w:val="222222"/>
          <w:shd w:val="clear" w:color="auto" w:fill="FFFFFF"/>
        </w:rPr>
        <w:t>Andriof</w:t>
      </w:r>
      <w:proofErr w:type="spellEnd"/>
      <w:r w:rsidR="004A3237" w:rsidRPr="004B5BAD">
        <w:rPr>
          <w:color w:val="222222"/>
          <w:shd w:val="clear" w:color="auto" w:fill="FFFFFF"/>
        </w:rPr>
        <w:t xml:space="preserve"> et al., 2017)</w:t>
      </w:r>
      <w:r w:rsidRPr="004B5BAD">
        <w:t>.</w:t>
      </w:r>
    </w:p>
    <w:p w14:paraId="04C56241" w14:textId="73CAB803" w:rsidR="00B12119" w:rsidRPr="004B5BAD" w:rsidRDefault="00B12119" w:rsidP="004B5BAD">
      <w:pPr>
        <w:pStyle w:val="root-block-node"/>
        <w:spacing w:line="360" w:lineRule="auto"/>
      </w:pPr>
      <w:r w:rsidRPr="004B5BAD">
        <w:t xml:space="preserve">Before implementing important stakeholder management procedures, businesses usually begin by addressing their social responsibilities from a risk-avoidance approach. Early, frequent, and unambiguous communication makes it feasible to manage stakeholders and prevent risks, potential conflict, and project delays. It also presents an opportunity to improve brand recognition for the business and benefit all stakeholders. Businesses are improving engagement programmes and transforming them into completely sustainable policies and initiatives by using an all-encompassing strategy. Realizing how frequently the company's viewpoints and concepts differ from those of the relevant stakeholders is the first step in </w:t>
      </w:r>
      <w:r w:rsidRPr="004B5BAD">
        <w:lastRenderedPageBreak/>
        <w:t>achieving this</w:t>
      </w:r>
      <w:r w:rsidR="004A3237" w:rsidRPr="004B5BAD">
        <w:t xml:space="preserve"> (</w:t>
      </w:r>
      <w:r w:rsidR="004A3237" w:rsidRPr="004B5BAD">
        <w:rPr>
          <w:color w:val="222222"/>
          <w:shd w:val="clear" w:color="auto" w:fill="FFFFFF"/>
        </w:rPr>
        <w:t>Burchell et al/. 2006)</w:t>
      </w:r>
      <w:r w:rsidRPr="004B5BAD">
        <w:t xml:space="preserve">. It is crucial to take </w:t>
      </w:r>
      <w:proofErr w:type="gramStart"/>
      <w:r w:rsidRPr="004B5BAD">
        <w:t>all of</w:t>
      </w:r>
      <w:proofErr w:type="gramEnd"/>
      <w:r w:rsidRPr="004B5BAD">
        <w:t xml:space="preserve"> these factors into account in order to reach a decision and move on. For this reason, the scope and complexity of stakeholder communication and involvement has grown to encompass gender sensitivity, corporate and consultant behaviour, and environmental sustainability. The best ways in which the stakeholders can be involved in the community involvement projects are the sources of the funds and the success of the project. </w:t>
      </w:r>
    </w:p>
    <w:p w14:paraId="23571295" w14:textId="77777777" w:rsidR="00B12119" w:rsidRPr="004B5BAD" w:rsidRDefault="00B12119" w:rsidP="004B5BAD">
      <w:pPr>
        <w:pStyle w:val="root-block-node"/>
        <w:spacing w:line="360" w:lineRule="auto"/>
      </w:pPr>
      <w:r w:rsidRPr="004B5BAD">
        <w:t>The first step of involving the stakeholders in the project is the identification and prioritisation of the key stakeholders’ relationships. There is a need for the accurate identification of the stakeholders. Eden was supposed to identify the stakeholders who had the highest chances of affecting the project outcomes. Eden was also supposed to form the stakeholder groups that have the highest chances of influencing the engagement strategy</w:t>
      </w:r>
      <w:r w:rsidR="00924F3F" w:rsidRPr="004B5BAD">
        <w:t xml:space="preserve"> (</w:t>
      </w:r>
      <w:r w:rsidR="00924F3F" w:rsidRPr="004B5BAD">
        <w:rPr>
          <w:color w:val="222222"/>
          <w:shd w:val="clear" w:color="auto" w:fill="FFFFFF"/>
        </w:rPr>
        <w:t>Yang et al., 2014)</w:t>
      </w:r>
      <w:r w:rsidRPr="004B5BAD">
        <w:t xml:space="preserve">. The needs of the identified stakeholders can be met </w:t>
      </w:r>
      <w:proofErr w:type="gramStart"/>
      <w:r w:rsidRPr="004B5BAD">
        <w:t>by the use of</w:t>
      </w:r>
      <w:proofErr w:type="gramEnd"/>
      <w:r w:rsidRPr="004B5BAD">
        <w:t xml:space="preserve"> social platforms such as Facebook, Instagram, and YouTube. Eden can't interact with stakeholders in a general way; you need to make sure he has a thorough awareness of who they are and what matters to them. To make it simpler to track stakeholder progress and insights, Eden was also expected to employ stakeholder management technologies.</w:t>
      </w:r>
    </w:p>
    <w:p w14:paraId="5E70B618" w14:textId="43024094" w:rsidR="00B12119" w:rsidRPr="004B5BAD" w:rsidRDefault="00B12119" w:rsidP="004B5BAD">
      <w:pPr>
        <w:pStyle w:val="root-block-node"/>
        <w:spacing w:line="360" w:lineRule="auto"/>
      </w:pPr>
      <w:r w:rsidRPr="004B5BAD">
        <w:t>Eden was also to clearly communicate the project scope to the stakeholders after engaging with them. It is essential for Eden to conduct himself honestly and consistently if he wants to forge more successful relationships with his stakeholders. Eden was also to tell the stakeholders in the process that the information he was subjected to would be used to help in the good start of the project that he was subjected to. The use of social media will help in engaging the stakeholders, which will be the decision-making process and the negotiable options. The other step that Eden was supposed to take was to gain the trust of the stakeholders</w:t>
      </w:r>
      <w:r w:rsidR="00924F3F" w:rsidRPr="004B5BAD">
        <w:t xml:space="preserve"> (</w:t>
      </w:r>
      <w:r w:rsidR="00924F3F" w:rsidRPr="004B5BAD">
        <w:rPr>
          <w:color w:val="222222"/>
          <w:shd w:val="clear" w:color="auto" w:fill="FFFFFF"/>
        </w:rPr>
        <w:t>Scholl et al., 2004)</w:t>
      </w:r>
      <w:r w:rsidRPr="004B5BAD">
        <w:t xml:space="preserve">. This is accomplished </w:t>
      </w:r>
      <w:proofErr w:type="gramStart"/>
      <w:r w:rsidRPr="004B5BAD">
        <w:t>through the use of</w:t>
      </w:r>
      <w:proofErr w:type="gramEnd"/>
      <w:r w:rsidRPr="004B5BAD">
        <w:t xml:space="preserve"> social media, where communication is frequently conducted in order to provide a basic understanding of the project. Understanding can be gained </w:t>
      </w:r>
      <w:proofErr w:type="gramStart"/>
      <w:r w:rsidRPr="004B5BAD">
        <w:t>through the use of</w:t>
      </w:r>
      <w:proofErr w:type="gramEnd"/>
      <w:r w:rsidRPr="004B5BAD">
        <w:t xml:space="preserve"> social media communication in the process of establishing a play area for children. Eden was to gain trust through him by showing the capability and mutuality in the aspects of community engagement, transparency, and integrity</w:t>
      </w:r>
      <w:r w:rsidR="00924F3F" w:rsidRPr="004B5BAD">
        <w:t xml:space="preserve"> </w:t>
      </w:r>
      <w:r w:rsidR="00924F3F" w:rsidRPr="004B5BAD">
        <w:rPr>
          <w:color w:val="222222"/>
          <w:shd w:val="clear" w:color="auto" w:fill="FFFFFF"/>
        </w:rPr>
        <w:t>(Lehtinen et al., 2019)</w:t>
      </w:r>
      <w:r w:rsidRPr="004B5BAD">
        <w:t>.</w:t>
      </w:r>
    </w:p>
    <w:p w14:paraId="25069A00" w14:textId="77777777" w:rsidR="00A53D95" w:rsidRDefault="00A53D95">
      <w:pPr>
        <w:rPr>
          <w:rFonts w:ascii="Times New Roman" w:eastAsia="Times New Roman" w:hAnsi="Times New Roman" w:cs="Times New Roman"/>
          <w:sz w:val="24"/>
          <w:szCs w:val="24"/>
          <w:lang w:eastAsia="en-GB"/>
        </w:rPr>
      </w:pPr>
      <w:r>
        <w:br w:type="page"/>
      </w:r>
    </w:p>
    <w:p w14:paraId="094EBF54" w14:textId="77777777" w:rsidR="00B12119" w:rsidRPr="004B5BAD" w:rsidRDefault="00B12119" w:rsidP="004B5BAD">
      <w:pPr>
        <w:pStyle w:val="root-block-node"/>
        <w:spacing w:line="360" w:lineRule="auto"/>
      </w:pPr>
      <w:r w:rsidRPr="004B5BAD">
        <w:lastRenderedPageBreak/>
        <w:t>Eden was also to involve the stakeholders in the consistency in the communication and the messaging of the full potential stakeholders through social media. This can lead to the empowering of more of the information than before if the consistency is maintained. Hence, the inconsistency in communication through social media can lead to public outrage, negative reputation, and the loss of trust. The people involved in Eden's project will value the precise information and want to know if they can count on him to keep them informed at every stage of the endeavour</w:t>
      </w:r>
      <w:r w:rsidR="00924F3F" w:rsidRPr="004B5BAD">
        <w:t xml:space="preserve"> (</w:t>
      </w:r>
      <w:r w:rsidR="00924F3F" w:rsidRPr="004B5BAD">
        <w:rPr>
          <w:color w:val="222222"/>
          <w:shd w:val="clear" w:color="auto" w:fill="FFFFFF"/>
        </w:rPr>
        <w:t>Saxton et al., 2021)</w:t>
      </w:r>
      <w:r w:rsidRPr="004B5BAD">
        <w:t>. Stakeholders would have been much more eager to assist you in overcoming any difficulties you could encounter along the road if he had offered them the opportunity to join the expedition and they had faith in his plan.</w:t>
      </w:r>
    </w:p>
    <w:p w14:paraId="2D0EBE60" w14:textId="5CA15DD1" w:rsidR="00B12119" w:rsidRPr="004B5BAD" w:rsidRDefault="00B12119" w:rsidP="004B5BAD">
      <w:pPr>
        <w:pStyle w:val="root-block-node"/>
        <w:spacing w:line="360" w:lineRule="auto"/>
      </w:pPr>
      <w:r w:rsidRPr="004B5BAD">
        <w:t>The other step in the stakeholder engagement in the project is through the meeting of the stakeholders resistant to change. Every project needs people who support, oppose, or wish to modify the initial concept of the endeavour. Eden must attempt to strike a balance between these divergent points of view. If Eden chooses against using weaponry, he may wind up investing a lot of money just to come under fire and have the proposal rejected</w:t>
      </w:r>
      <w:r w:rsidR="00924F3F" w:rsidRPr="004B5BAD">
        <w:t xml:space="preserve"> (</w:t>
      </w:r>
      <w:r w:rsidR="00924F3F" w:rsidRPr="004B5BAD">
        <w:rPr>
          <w:color w:val="222222"/>
          <w:shd w:val="clear" w:color="auto" w:fill="FFFFFF"/>
        </w:rPr>
        <w:t>Rajhans et al., 2018)</w:t>
      </w:r>
      <w:r w:rsidRPr="004B5BAD">
        <w:t xml:space="preserve">. Meetings on a frequent basis with significant stakeholders who are averse to change are required to avoid this. A conference call, an in-person meeting, or an email exchange </w:t>
      </w:r>
      <w:r w:rsidR="005F7FF3">
        <w:t>are</w:t>
      </w:r>
      <w:r w:rsidRPr="004B5BAD">
        <w:t xml:space="preserve"> all possibilities. You may successfully traverse the change management process by including stakeholders in your choices and taking note of their concerns.</w:t>
      </w:r>
    </w:p>
    <w:p w14:paraId="29AA3FF2" w14:textId="22A36851" w:rsidR="00B12119" w:rsidRPr="004B5BAD" w:rsidRDefault="00B12119" w:rsidP="004B5BAD">
      <w:pPr>
        <w:pStyle w:val="root-block-node"/>
        <w:spacing w:line="360" w:lineRule="auto"/>
      </w:pPr>
      <w:r w:rsidRPr="004B5BAD">
        <w:t xml:space="preserve">If stakeholders are reluctant to change, it is important to consider the project's scope. When discussing topics that are off-limits, it's critical to make it obvious to stakeholders how much of a real influence they have on the project's course. </w:t>
      </w:r>
      <w:proofErr w:type="gramStart"/>
      <w:r w:rsidRPr="004B5BAD">
        <w:t>In order to</w:t>
      </w:r>
      <w:proofErr w:type="gramEnd"/>
      <w:r w:rsidRPr="004B5BAD">
        <w:t xml:space="preserve"> effectively finish the project, Eden will work with the neighbourhood to firmly embrace change, settle stakeholder disputes, and forge strong stakeholder relationships</w:t>
      </w:r>
      <w:r w:rsidR="00924F3F" w:rsidRPr="004B5BAD">
        <w:t xml:space="preserve"> (</w:t>
      </w:r>
      <w:r w:rsidR="00924F3F" w:rsidRPr="004B5BAD">
        <w:rPr>
          <w:color w:val="222222"/>
          <w:shd w:val="clear" w:color="auto" w:fill="FFFFFF"/>
        </w:rPr>
        <w:t>Varghese et al., 2022)</w:t>
      </w:r>
      <w:r w:rsidRPr="004B5BAD">
        <w:t xml:space="preserve">. Eden had to establish relationships with the stakeholders </w:t>
      </w:r>
      <w:proofErr w:type="gramStart"/>
      <w:r w:rsidRPr="004B5BAD">
        <w:t>in order to</w:t>
      </w:r>
      <w:proofErr w:type="gramEnd"/>
      <w:r w:rsidRPr="004B5BAD">
        <w:t xml:space="preserve"> handle the project effectively. The meetings must be well recorded, and Eden must </w:t>
      </w:r>
      <w:proofErr w:type="gramStart"/>
      <w:r w:rsidRPr="004B5BAD">
        <w:t>take into account</w:t>
      </w:r>
      <w:proofErr w:type="gramEnd"/>
      <w:r w:rsidRPr="004B5BAD">
        <w:t xml:space="preserve"> the feedback </w:t>
      </w:r>
      <w:r w:rsidR="005F7FF3">
        <w:t>it</w:t>
      </w:r>
      <w:r w:rsidRPr="004B5BAD">
        <w:t xml:space="preserve"> got from his stakeholders. Describe the meeting in detail if Eden meets with a stakeholder. Utilize the advantages of stakeholder relationship management, keep track of shifts in opinion, and adjust your engagement approach as necessary.</w:t>
      </w:r>
    </w:p>
    <w:p w14:paraId="0363DCF1" w14:textId="77777777" w:rsidR="00B12119" w:rsidRPr="004B5BAD" w:rsidRDefault="00B12119" w:rsidP="004B5BAD">
      <w:pPr>
        <w:pStyle w:val="root-block-node"/>
        <w:spacing w:line="360" w:lineRule="auto"/>
      </w:pPr>
      <w:r w:rsidRPr="004B5BAD">
        <w:t xml:space="preserve">In addition to boosting his team's responsiveness, Eden may analyse crucial problems as they emerge. There is the urge to not avoid the problems. Most stakeholders like to be given an early view of risks and issues and respect accountability. Rather than sweeping issues under the rug, Eden should address problems proactively. Eden doesn’t have to share every single </w:t>
      </w:r>
      <w:r w:rsidRPr="004B5BAD">
        <w:lastRenderedPageBreak/>
        <w:t>minor issue as it occurs in the aspect of the playground project</w:t>
      </w:r>
      <w:r w:rsidR="00924F3F" w:rsidRPr="004B5BAD">
        <w:t xml:space="preserve"> (</w:t>
      </w:r>
      <w:r w:rsidR="00924F3F" w:rsidRPr="004B5BAD">
        <w:rPr>
          <w:color w:val="222222"/>
          <w:shd w:val="clear" w:color="auto" w:fill="FFFFFF"/>
        </w:rPr>
        <w:t>Hutchinson et al., 2021)</w:t>
      </w:r>
      <w:r w:rsidRPr="004B5BAD">
        <w:t>. But he should address major issues that will impact his stakeholders and go into meetings and interactions with prepared solutions in mind. Share the various options available to resolve the issue and then ask stakeholders to add their input to make an informed decision about the next steps.</w:t>
      </w:r>
    </w:p>
    <w:p w14:paraId="291FBB9B" w14:textId="77777777" w:rsidR="00B12119" w:rsidRPr="004B5BAD" w:rsidRDefault="00B12119" w:rsidP="004B5BAD">
      <w:pPr>
        <w:pStyle w:val="root-block-node"/>
        <w:spacing w:line="360" w:lineRule="auto"/>
      </w:pPr>
      <w:r w:rsidRPr="004B5BAD">
        <w:t>There are various strategies in engaging stakeholders in improving community services recommendations for Eden to use. The recommended steps for Eden to use were to identify the key stakeholders in the social media interaction and clearly communicate the project to stakeholders. Eden was to strive to get the trust of the stakeholders through having relevant and effective proposals. This is to help in managing the good relationship with the stakeholders who are to support the project</w:t>
      </w:r>
      <w:r w:rsidR="00924F3F" w:rsidRPr="004B5BAD">
        <w:t xml:space="preserve"> (</w:t>
      </w:r>
      <w:r w:rsidR="00924F3F" w:rsidRPr="004B5BAD">
        <w:rPr>
          <w:color w:val="222222"/>
          <w:shd w:val="clear" w:color="auto" w:fill="FFFFFF"/>
        </w:rPr>
        <w:t>Boaz et al., 2018)</w:t>
      </w:r>
      <w:r w:rsidRPr="004B5BAD">
        <w:t>.</w:t>
      </w:r>
    </w:p>
    <w:p w14:paraId="416CE9AC" w14:textId="77777777" w:rsidR="00B12119" w:rsidRPr="004B5BAD" w:rsidRDefault="00B12119" w:rsidP="004B5BAD">
      <w:pPr>
        <w:spacing w:line="360" w:lineRule="auto"/>
        <w:rPr>
          <w:rFonts w:ascii="Times New Roman" w:eastAsia="Times New Roman" w:hAnsi="Times New Roman" w:cs="Times New Roman"/>
          <w:sz w:val="24"/>
          <w:szCs w:val="24"/>
          <w:lang w:eastAsia="en-GB"/>
        </w:rPr>
      </w:pPr>
      <w:r w:rsidRPr="004B5BAD">
        <w:rPr>
          <w:rFonts w:ascii="Times New Roman" w:hAnsi="Times New Roman" w:cs="Times New Roman"/>
          <w:sz w:val="24"/>
          <w:szCs w:val="24"/>
        </w:rPr>
        <w:t xml:space="preserve">In conclusion, this essay was based on the reflections where the Gibbs model of reflection will be used in the analysis of the Eden Act in community engagement. The Gibbs model has been used because it has the various factors that can be used in the analysis of the case study on the aspect of the involvement of the community and the stakeholders in the Eden project. I consider that Eden used the appropriate approach in the approach of the project in the aspect of community involvement and engagement. This is because the basic process and the requirements that are supposed to be undertaken in the community engagement process were taken into consideration. There were certain steps that Eden was to undertake in the development of the project in the Kingsbridge communal area through identifying the key stakeholder priorities </w:t>
      </w:r>
      <w:proofErr w:type="gramStart"/>
      <w:r w:rsidRPr="004B5BAD">
        <w:rPr>
          <w:rFonts w:ascii="Times New Roman" w:hAnsi="Times New Roman" w:cs="Times New Roman"/>
          <w:sz w:val="24"/>
          <w:szCs w:val="24"/>
        </w:rPr>
        <w:t>through the use of</w:t>
      </w:r>
      <w:proofErr w:type="gramEnd"/>
      <w:r w:rsidRPr="004B5BAD">
        <w:rPr>
          <w:rFonts w:ascii="Times New Roman" w:hAnsi="Times New Roman" w:cs="Times New Roman"/>
          <w:sz w:val="24"/>
          <w:szCs w:val="24"/>
        </w:rPr>
        <w:t xml:space="preserve"> social media. There was a need to communicate the project with the stakeholders.</w:t>
      </w:r>
    </w:p>
    <w:p w14:paraId="0A4D4673" w14:textId="77777777" w:rsidR="00B12119" w:rsidRPr="004B5BAD" w:rsidRDefault="00B12119" w:rsidP="004B5BAD">
      <w:pPr>
        <w:pStyle w:val="root-block-node"/>
        <w:spacing w:line="360" w:lineRule="auto"/>
      </w:pPr>
      <w:r w:rsidRPr="004B5BAD">
        <w:t> </w:t>
      </w:r>
    </w:p>
    <w:p w14:paraId="519470E2" w14:textId="77777777" w:rsidR="004B5BAD" w:rsidRDefault="004B5BAD">
      <w:pPr>
        <w:rPr>
          <w:rFonts w:ascii="Times New Roman" w:eastAsia="Times New Roman" w:hAnsi="Times New Roman" w:cs="Times New Roman"/>
          <w:sz w:val="24"/>
          <w:szCs w:val="24"/>
          <w:lang w:eastAsia="en-GB"/>
        </w:rPr>
      </w:pPr>
      <w:r>
        <w:br w:type="page"/>
      </w:r>
    </w:p>
    <w:p w14:paraId="46BB7667" w14:textId="77777777" w:rsidR="00B12119" w:rsidRPr="004B5BAD" w:rsidRDefault="00B12119" w:rsidP="004B5BAD">
      <w:pPr>
        <w:pStyle w:val="root-block-node"/>
        <w:spacing w:line="360" w:lineRule="auto"/>
        <w:rPr>
          <w:b/>
        </w:rPr>
      </w:pPr>
      <w:r w:rsidRPr="004B5BAD">
        <w:lastRenderedPageBreak/>
        <w:t> </w:t>
      </w:r>
      <w:r w:rsidR="004B5BAD" w:rsidRPr="004B5BAD">
        <w:rPr>
          <w:b/>
        </w:rPr>
        <w:t xml:space="preserve">REFERENCES </w:t>
      </w:r>
    </w:p>
    <w:p w14:paraId="20BA2144"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 xml:space="preserve">Ali, Imran, Ana Isabel Jiménez-Zarco, and Marta </w:t>
      </w:r>
      <w:proofErr w:type="spellStart"/>
      <w:r w:rsidRPr="004B5BAD">
        <w:rPr>
          <w:rFonts w:ascii="Times New Roman" w:hAnsi="Times New Roman" w:cs="Times New Roman"/>
          <w:color w:val="222222"/>
          <w:sz w:val="24"/>
          <w:szCs w:val="24"/>
          <w:shd w:val="clear" w:color="auto" w:fill="FFFFFF"/>
        </w:rPr>
        <w:t>Bicho</w:t>
      </w:r>
      <w:proofErr w:type="spellEnd"/>
      <w:r w:rsidRPr="004B5BAD">
        <w:rPr>
          <w:rFonts w:ascii="Times New Roman" w:hAnsi="Times New Roman" w:cs="Times New Roman"/>
          <w:color w:val="222222"/>
          <w:sz w:val="24"/>
          <w:szCs w:val="24"/>
          <w:shd w:val="clear" w:color="auto" w:fill="FFFFFF"/>
        </w:rPr>
        <w:t xml:space="preserve"> 2015. "Using social media for CSR communication and engaging stakeholders." In </w:t>
      </w:r>
      <w:r w:rsidRPr="004B5BAD">
        <w:rPr>
          <w:rFonts w:ascii="Times New Roman" w:hAnsi="Times New Roman" w:cs="Times New Roman"/>
          <w:i/>
          <w:iCs/>
          <w:color w:val="222222"/>
          <w:sz w:val="24"/>
          <w:szCs w:val="24"/>
          <w:shd w:val="clear" w:color="auto" w:fill="FFFFFF"/>
        </w:rPr>
        <w:t>Corporate social responsibility in the digital age</w:t>
      </w:r>
      <w:r w:rsidRPr="004B5BAD">
        <w:rPr>
          <w:rFonts w:ascii="Times New Roman" w:hAnsi="Times New Roman" w:cs="Times New Roman"/>
          <w:color w:val="222222"/>
          <w:sz w:val="24"/>
          <w:szCs w:val="24"/>
          <w:shd w:val="clear" w:color="auto" w:fill="FFFFFF"/>
        </w:rPr>
        <w:t>, vol. 7, pp. 165-185. Emerald Group Publishing Limited.</w:t>
      </w:r>
    </w:p>
    <w:p w14:paraId="1F9AEAFF"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proofErr w:type="spellStart"/>
      <w:r w:rsidRPr="004B5BAD">
        <w:rPr>
          <w:rFonts w:ascii="Times New Roman" w:hAnsi="Times New Roman" w:cs="Times New Roman"/>
          <w:color w:val="222222"/>
          <w:sz w:val="24"/>
          <w:szCs w:val="24"/>
          <w:shd w:val="clear" w:color="auto" w:fill="FFFFFF"/>
        </w:rPr>
        <w:t>Andriof</w:t>
      </w:r>
      <w:proofErr w:type="spellEnd"/>
      <w:r w:rsidRPr="004B5BAD">
        <w:rPr>
          <w:rFonts w:ascii="Times New Roman" w:hAnsi="Times New Roman" w:cs="Times New Roman"/>
          <w:color w:val="222222"/>
          <w:sz w:val="24"/>
          <w:szCs w:val="24"/>
          <w:shd w:val="clear" w:color="auto" w:fill="FFFFFF"/>
        </w:rPr>
        <w:t>, J. and Waddock, S., 2017. Unfolding stakeholder engagement. In </w:t>
      </w:r>
      <w:r w:rsidRPr="004B5BAD">
        <w:rPr>
          <w:rFonts w:ascii="Times New Roman" w:hAnsi="Times New Roman" w:cs="Times New Roman"/>
          <w:i/>
          <w:iCs/>
          <w:color w:val="222222"/>
          <w:sz w:val="24"/>
          <w:szCs w:val="24"/>
          <w:shd w:val="clear" w:color="auto" w:fill="FFFFFF"/>
        </w:rPr>
        <w:t>Unfolding stakeholder thinking</w:t>
      </w:r>
      <w:r w:rsidRPr="004B5BAD">
        <w:rPr>
          <w:rFonts w:ascii="Times New Roman" w:hAnsi="Times New Roman" w:cs="Times New Roman"/>
          <w:color w:val="222222"/>
          <w:sz w:val="24"/>
          <w:szCs w:val="24"/>
          <w:shd w:val="clear" w:color="auto" w:fill="FFFFFF"/>
        </w:rPr>
        <w:t> (pp. 19-42). Routledge.</w:t>
      </w:r>
    </w:p>
    <w:p w14:paraId="15360272"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Boaz, Annette, Stephen Hanney, Robert Borst, Alison O’Shea, and Maarten Kok. "How to engage stakeholders in research: design principles to support improvement." </w:t>
      </w:r>
      <w:r w:rsidRPr="004B5BAD">
        <w:rPr>
          <w:rFonts w:ascii="Times New Roman" w:hAnsi="Times New Roman" w:cs="Times New Roman"/>
          <w:i/>
          <w:iCs/>
          <w:color w:val="222222"/>
          <w:sz w:val="24"/>
          <w:szCs w:val="24"/>
          <w:shd w:val="clear" w:color="auto" w:fill="FFFFFF"/>
        </w:rPr>
        <w:t>Health research policy and systems</w:t>
      </w:r>
      <w:r w:rsidRPr="004B5BAD">
        <w:rPr>
          <w:rFonts w:ascii="Times New Roman" w:hAnsi="Times New Roman" w:cs="Times New Roman"/>
          <w:color w:val="222222"/>
          <w:sz w:val="24"/>
          <w:szCs w:val="24"/>
          <w:shd w:val="clear" w:color="auto" w:fill="FFFFFF"/>
        </w:rPr>
        <w:t> 16, no. 1: 1-9.</w:t>
      </w:r>
    </w:p>
    <w:p w14:paraId="54087FAB"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 xml:space="preserve">Burchell, Jon, and Joanne Cook 2006. "It's good to </w:t>
      </w:r>
      <w:proofErr w:type="gramStart"/>
      <w:r w:rsidRPr="004B5BAD">
        <w:rPr>
          <w:rFonts w:ascii="Times New Roman" w:hAnsi="Times New Roman" w:cs="Times New Roman"/>
          <w:color w:val="222222"/>
          <w:sz w:val="24"/>
          <w:szCs w:val="24"/>
          <w:shd w:val="clear" w:color="auto" w:fill="FFFFFF"/>
        </w:rPr>
        <w:t>talk?</w:t>
      </w:r>
      <w:proofErr w:type="gramEnd"/>
      <w:r w:rsidRPr="004B5BAD">
        <w:rPr>
          <w:rFonts w:ascii="Times New Roman" w:hAnsi="Times New Roman" w:cs="Times New Roman"/>
          <w:color w:val="222222"/>
          <w:sz w:val="24"/>
          <w:szCs w:val="24"/>
          <w:shd w:val="clear" w:color="auto" w:fill="FFFFFF"/>
        </w:rPr>
        <w:t xml:space="preserve"> Examining attitudes towards corporate social responsibility dialogue and engagement processes." </w:t>
      </w:r>
      <w:r w:rsidRPr="004B5BAD">
        <w:rPr>
          <w:rFonts w:ascii="Times New Roman" w:hAnsi="Times New Roman" w:cs="Times New Roman"/>
          <w:i/>
          <w:iCs/>
          <w:color w:val="222222"/>
          <w:sz w:val="24"/>
          <w:szCs w:val="24"/>
          <w:shd w:val="clear" w:color="auto" w:fill="FFFFFF"/>
        </w:rPr>
        <w:t>Business Ethics: A European Review</w:t>
      </w:r>
      <w:r w:rsidRPr="004B5BAD">
        <w:rPr>
          <w:rFonts w:ascii="Times New Roman" w:hAnsi="Times New Roman" w:cs="Times New Roman"/>
          <w:color w:val="222222"/>
          <w:sz w:val="24"/>
          <w:szCs w:val="24"/>
          <w:shd w:val="clear" w:color="auto" w:fill="FFFFFF"/>
        </w:rPr>
        <w:t> 15.2: 154-170.</w:t>
      </w:r>
    </w:p>
    <w:p w14:paraId="65169C0F"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Hutchinson, B., Smart, A., Hanna, A., Denton, E., Greer, C., Kjartansson, O., Barnes, P. and Mitchell, M., 2021, March. Towards accountability for machine learning datasets: Practices from software engineering and infrastructure. In </w:t>
      </w:r>
      <w:r w:rsidRPr="004B5BAD">
        <w:rPr>
          <w:rFonts w:ascii="Times New Roman" w:hAnsi="Times New Roman" w:cs="Times New Roman"/>
          <w:i/>
          <w:iCs/>
          <w:color w:val="222222"/>
          <w:sz w:val="24"/>
          <w:szCs w:val="24"/>
          <w:shd w:val="clear" w:color="auto" w:fill="FFFFFF"/>
        </w:rPr>
        <w:t>Proceedings of the 2021 ACM Conference on Fairness, Accountability, and Transparency</w:t>
      </w:r>
      <w:r w:rsidRPr="004B5BAD">
        <w:rPr>
          <w:rFonts w:ascii="Times New Roman" w:hAnsi="Times New Roman" w:cs="Times New Roman"/>
          <w:color w:val="222222"/>
          <w:sz w:val="24"/>
          <w:szCs w:val="24"/>
          <w:shd w:val="clear" w:color="auto" w:fill="FFFFFF"/>
        </w:rPr>
        <w:t> (pp. 560-575).</w:t>
      </w:r>
    </w:p>
    <w:p w14:paraId="2F6DDC98"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Lehtinen, Jere, Kirsi Aaltonen, and Risto Rajala 2019. "Stakeholder management in complex product systems: Practices and rationales for engagement and disengagement." </w:t>
      </w:r>
      <w:r w:rsidRPr="004B5BAD">
        <w:rPr>
          <w:rFonts w:ascii="Times New Roman" w:hAnsi="Times New Roman" w:cs="Times New Roman"/>
          <w:i/>
          <w:iCs/>
          <w:color w:val="222222"/>
          <w:sz w:val="24"/>
          <w:szCs w:val="24"/>
          <w:shd w:val="clear" w:color="auto" w:fill="FFFFFF"/>
        </w:rPr>
        <w:t>Industrial marketing management</w:t>
      </w:r>
      <w:r w:rsidRPr="004B5BAD">
        <w:rPr>
          <w:rFonts w:ascii="Times New Roman" w:hAnsi="Times New Roman" w:cs="Times New Roman"/>
          <w:color w:val="222222"/>
          <w:sz w:val="24"/>
          <w:szCs w:val="24"/>
          <w:shd w:val="clear" w:color="auto" w:fill="FFFFFF"/>
        </w:rPr>
        <w:t> 79: 58-70.</w:t>
      </w:r>
    </w:p>
    <w:p w14:paraId="24B47156"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 xml:space="preserve">Pomeroy, R. and </w:t>
      </w:r>
      <w:proofErr w:type="spellStart"/>
      <w:r w:rsidRPr="004B5BAD">
        <w:rPr>
          <w:rFonts w:ascii="Times New Roman" w:hAnsi="Times New Roman" w:cs="Times New Roman"/>
          <w:color w:val="222222"/>
          <w:sz w:val="24"/>
          <w:szCs w:val="24"/>
          <w:shd w:val="clear" w:color="auto" w:fill="FFFFFF"/>
        </w:rPr>
        <w:t>Douvere</w:t>
      </w:r>
      <w:proofErr w:type="spellEnd"/>
      <w:r w:rsidRPr="004B5BAD">
        <w:rPr>
          <w:rFonts w:ascii="Times New Roman" w:hAnsi="Times New Roman" w:cs="Times New Roman"/>
          <w:color w:val="222222"/>
          <w:sz w:val="24"/>
          <w:szCs w:val="24"/>
          <w:shd w:val="clear" w:color="auto" w:fill="FFFFFF"/>
        </w:rPr>
        <w:t>, F., 2008. The engagement of stakeholders in the marine spatial planning process. </w:t>
      </w:r>
      <w:r w:rsidRPr="004B5BAD">
        <w:rPr>
          <w:rFonts w:ascii="Times New Roman" w:hAnsi="Times New Roman" w:cs="Times New Roman"/>
          <w:i/>
          <w:iCs/>
          <w:color w:val="222222"/>
          <w:sz w:val="24"/>
          <w:szCs w:val="24"/>
          <w:shd w:val="clear" w:color="auto" w:fill="FFFFFF"/>
        </w:rPr>
        <w:t>Marine policy</w:t>
      </w:r>
      <w:r w:rsidRPr="004B5BAD">
        <w:rPr>
          <w:rFonts w:ascii="Times New Roman" w:hAnsi="Times New Roman" w:cs="Times New Roman"/>
          <w:color w:val="222222"/>
          <w:sz w:val="24"/>
          <w:szCs w:val="24"/>
          <w:shd w:val="clear" w:color="auto" w:fill="FFFFFF"/>
        </w:rPr>
        <w:t>, </w:t>
      </w:r>
      <w:r w:rsidRPr="004B5BAD">
        <w:rPr>
          <w:rFonts w:ascii="Times New Roman" w:hAnsi="Times New Roman" w:cs="Times New Roman"/>
          <w:i/>
          <w:iCs/>
          <w:color w:val="222222"/>
          <w:sz w:val="24"/>
          <w:szCs w:val="24"/>
          <w:shd w:val="clear" w:color="auto" w:fill="FFFFFF"/>
        </w:rPr>
        <w:t>32</w:t>
      </w:r>
      <w:r w:rsidRPr="004B5BAD">
        <w:rPr>
          <w:rFonts w:ascii="Times New Roman" w:hAnsi="Times New Roman" w:cs="Times New Roman"/>
          <w:color w:val="222222"/>
          <w:sz w:val="24"/>
          <w:szCs w:val="24"/>
          <w:shd w:val="clear" w:color="auto" w:fill="FFFFFF"/>
        </w:rPr>
        <w:t>(5), pp.816-822.</w:t>
      </w:r>
    </w:p>
    <w:p w14:paraId="396CB9F9"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Rajhans, K., 2018. Effective communication management: A key to stakeholder relationship management in project-based organizations. </w:t>
      </w:r>
      <w:r w:rsidRPr="004B5BAD">
        <w:rPr>
          <w:rFonts w:ascii="Times New Roman" w:hAnsi="Times New Roman" w:cs="Times New Roman"/>
          <w:i/>
          <w:iCs/>
          <w:color w:val="222222"/>
          <w:sz w:val="24"/>
          <w:szCs w:val="24"/>
          <w:shd w:val="clear" w:color="auto" w:fill="FFFFFF"/>
        </w:rPr>
        <w:t>IUP Journal of Soft Skills</w:t>
      </w:r>
      <w:r w:rsidRPr="004B5BAD">
        <w:rPr>
          <w:rFonts w:ascii="Times New Roman" w:hAnsi="Times New Roman" w:cs="Times New Roman"/>
          <w:color w:val="222222"/>
          <w:sz w:val="24"/>
          <w:szCs w:val="24"/>
          <w:shd w:val="clear" w:color="auto" w:fill="FFFFFF"/>
        </w:rPr>
        <w:t>, </w:t>
      </w:r>
      <w:r w:rsidRPr="004B5BAD">
        <w:rPr>
          <w:rFonts w:ascii="Times New Roman" w:hAnsi="Times New Roman" w:cs="Times New Roman"/>
          <w:i/>
          <w:iCs/>
          <w:color w:val="222222"/>
          <w:sz w:val="24"/>
          <w:szCs w:val="24"/>
          <w:shd w:val="clear" w:color="auto" w:fill="FFFFFF"/>
        </w:rPr>
        <w:t>12</w:t>
      </w:r>
      <w:r w:rsidRPr="004B5BAD">
        <w:rPr>
          <w:rFonts w:ascii="Times New Roman" w:hAnsi="Times New Roman" w:cs="Times New Roman"/>
          <w:color w:val="222222"/>
          <w:sz w:val="24"/>
          <w:szCs w:val="24"/>
          <w:shd w:val="clear" w:color="auto" w:fill="FFFFFF"/>
        </w:rPr>
        <w:t>(4), pp.47-66.</w:t>
      </w:r>
    </w:p>
    <w:p w14:paraId="1B27551C"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Saxton, Gregory D., Charlotte Ren, and Chao Guo 2021. "Responding to diffused stakeholders on social media: Connective power and firm reactions to CSR-related Twitter messages." </w:t>
      </w:r>
      <w:r w:rsidRPr="004B5BAD">
        <w:rPr>
          <w:rFonts w:ascii="Times New Roman" w:hAnsi="Times New Roman" w:cs="Times New Roman"/>
          <w:i/>
          <w:iCs/>
          <w:color w:val="222222"/>
          <w:sz w:val="24"/>
          <w:szCs w:val="24"/>
          <w:shd w:val="clear" w:color="auto" w:fill="FFFFFF"/>
        </w:rPr>
        <w:t>Journal of Business Ethics</w:t>
      </w:r>
      <w:r w:rsidRPr="004B5BAD">
        <w:rPr>
          <w:rFonts w:ascii="Times New Roman" w:hAnsi="Times New Roman" w:cs="Times New Roman"/>
          <w:color w:val="222222"/>
          <w:sz w:val="24"/>
          <w:szCs w:val="24"/>
          <w:shd w:val="clear" w:color="auto" w:fill="FFFFFF"/>
        </w:rPr>
        <w:t> 172, no. 2: 229-252.</w:t>
      </w:r>
    </w:p>
    <w:p w14:paraId="4EF8C9DE"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Scholl, H.J., 2004. Involving salient stakeholders: Beyond the technocratic view on change. </w:t>
      </w:r>
      <w:r w:rsidRPr="004B5BAD">
        <w:rPr>
          <w:rFonts w:ascii="Times New Roman" w:hAnsi="Times New Roman" w:cs="Times New Roman"/>
          <w:i/>
          <w:iCs/>
          <w:color w:val="222222"/>
          <w:sz w:val="24"/>
          <w:szCs w:val="24"/>
          <w:shd w:val="clear" w:color="auto" w:fill="FFFFFF"/>
        </w:rPr>
        <w:t>Action Research</w:t>
      </w:r>
      <w:r w:rsidRPr="004B5BAD">
        <w:rPr>
          <w:rFonts w:ascii="Times New Roman" w:hAnsi="Times New Roman" w:cs="Times New Roman"/>
          <w:color w:val="222222"/>
          <w:sz w:val="24"/>
          <w:szCs w:val="24"/>
          <w:shd w:val="clear" w:color="auto" w:fill="FFFFFF"/>
        </w:rPr>
        <w:t>, </w:t>
      </w:r>
      <w:r w:rsidRPr="004B5BAD">
        <w:rPr>
          <w:rFonts w:ascii="Times New Roman" w:hAnsi="Times New Roman" w:cs="Times New Roman"/>
          <w:i/>
          <w:iCs/>
          <w:color w:val="222222"/>
          <w:sz w:val="24"/>
          <w:szCs w:val="24"/>
          <w:shd w:val="clear" w:color="auto" w:fill="FFFFFF"/>
        </w:rPr>
        <w:t>2</w:t>
      </w:r>
      <w:r w:rsidRPr="004B5BAD">
        <w:rPr>
          <w:rFonts w:ascii="Times New Roman" w:hAnsi="Times New Roman" w:cs="Times New Roman"/>
          <w:color w:val="222222"/>
          <w:sz w:val="24"/>
          <w:szCs w:val="24"/>
          <w:shd w:val="clear" w:color="auto" w:fill="FFFFFF"/>
        </w:rPr>
        <w:t>(3), pp.277-304.</w:t>
      </w:r>
    </w:p>
    <w:p w14:paraId="39653A6B"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proofErr w:type="spellStart"/>
      <w:r w:rsidRPr="004B5BAD">
        <w:rPr>
          <w:rFonts w:ascii="Times New Roman" w:hAnsi="Times New Roman" w:cs="Times New Roman"/>
          <w:color w:val="222222"/>
          <w:sz w:val="24"/>
          <w:szCs w:val="24"/>
          <w:shd w:val="clear" w:color="auto" w:fill="FFFFFF"/>
        </w:rPr>
        <w:lastRenderedPageBreak/>
        <w:t>Su</w:t>
      </w:r>
      <w:proofErr w:type="spellEnd"/>
      <w:r w:rsidRPr="004B5BAD">
        <w:rPr>
          <w:rFonts w:ascii="Times New Roman" w:hAnsi="Times New Roman" w:cs="Times New Roman"/>
          <w:color w:val="222222"/>
          <w:sz w:val="24"/>
          <w:szCs w:val="24"/>
          <w:shd w:val="clear" w:color="auto" w:fill="FFFFFF"/>
        </w:rPr>
        <w:t>, C., 2011. </w:t>
      </w:r>
      <w:r w:rsidRPr="004B5BAD">
        <w:rPr>
          <w:rFonts w:ascii="Times New Roman" w:hAnsi="Times New Roman" w:cs="Times New Roman"/>
          <w:i/>
          <w:iCs/>
          <w:color w:val="222222"/>
          <w:sz w:val="24"/>
          <w:szCs w:val="24"/>
          <w:shd w:val="clear" w:color="auto" w:fill="FFFFFF"/>
        </w:rPr>
        <w:t>Streetwise for book smarts: Grassroots organizing and education reform in the Bronx</w:t>
      </w:r>
      <w:r w:rsidRPr="004B5BAD">
        <w:rPr>
          <w:rFonts w:ascii="Times New Roman" w:hAnsi="Times New Roman" w:cs="Times New Roman"/>
          <w:color w:val="222222"/>
          <w:sz w:val="24"/>
          <w:szCs w:val="24"/>
          <w:shd w:val="clear" w:color="auto" w:fill="FFFFFF"/>
        </w:rPr>
        <w:t>. Cornell University Press.</w:t>
      </w:r>
    </w:p>
    <w:p w14:paraId="7B7EDC81"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 xml:space="preserve">Tishman, Maggie </w:t>
      </w:r>
      <w:proofErr w:type="spellStart"/>
      <w:r w:rsidRPr="004B5BAD">
        <w:rPr>
          <w:rFonts w:ascii="Times New Roman" w:hAnsi="Times New Roman" w:cs="Times New Roman"/>
          <w:color w:val="222222"/>
          <w:sz w:val="24"/>
          <w:szCs w:val="24"/>
          <w:shd w:val="clear" w:color="auto" w:fill="FFFFFF"/>
        </w:rPr>
        <w:t>Bancale</w:t>
      </w:r>
      <w:proofErr w:type="spellEnd"/>
      <w:r w:rsidRPr="004B5BAD">
        <w:rPr>
          <w:rFonts w:ascii="Times New Roman" w:hAnsi="Times New Roman" w:cs="Times New Roman"/>
          <w:color w:val="222222"/>
          <w:sz w:val="24"/>
          <w:szCs w:val="24"/>
          <w:shd w:val="clear" w:color="auto" w:fill="FFFFFF"/>
        </w:rPr>
        <w:t xml:space="preserve"> 2014. </w:t>
      </w:r>
      <w:r w:rsidRPr="004B5BAD">
        <w:rPr>
          <w:rFonts w:ascii="Times New Roman" w:hAnsi="Times New Roman" w:cs="Times New Roman"/>
          <w:i/>
          <w:iCs/>
          <w:color w:val="222222"/>
          <w:sz w:val="24"/>
          <w:szCs w:val="24"/>
          <w:shd w:val="clear" w:color="auto" w:fill="FFFFFF"/>
        </w:rPr>
        <w:t>Achieving community economic development in New York City: lessons from the Kingsbridge Armory</w:t>
      </w:r>
      <w:r w:rsidRPr="004B5BAD">
        <w:rPr>
          <w:rFonts w:ascii="Times New Roman" w:hAnsi="Times New Roman" w:cs="Times New Roman"/>
          <w:color w:val="222222"/>
          <w:sz w:val="24"/>
          <w:szCs w:val="24"/>
          <w:shd w:val="clear" w:color="auto" w:fill="FFFFFF"/>
        </w:rPr>
        <w:t>. Diss. Massachusetts Institute of Technology,</w:t>
      </w:r>
    </w:p>
    <w:p w14:paraId="4CDE4590" w14:textId="77777777" w:rsidR="004B5BAD" w:rsidRPr="004B5BAD" w:rsidRDefault="004B5BAD" w:rsidP="004B5BAD">
      <w:pPr>
        <w:spacing w:line="360" w:lineRule="auto"/>
        <w:rPr>
          <w:rFonts w:ascii="Times New Roman" w:hAnsi="Times New Roman" w:cs="Times New Roman"/>
          <w:color w:val="222222"/>
          <w:sz w:val="24"/>
          <w:szCs w:val="24"/>
          <w:shd w:val="clear" w:color="auto" w:fill="FFFFFF"/>
        </w:rPr>
      </w:pPr>
      <w:r w:rsidRPr="004B5BAD">
        <w:rPr>
          <w:rFonts w:ascii="Times New Roman" w:hAnsi="Times New Roman" w:cs="Times New Roman"/>
          <w:color w:val="222222"/>
          <w:sz w:val="24"/>
          <w:szCs w:val="24"/>
          <w:shd w:val="clear" w:color="auto" w:fill="FFFFFF"/>
        </w:rPr>
        <w:t>Varghese, Delvin, Tom Bartindale, Kyle Montague, Matt Baillie Smith, and Patrick Olivier 2022. "Supporting Real-time Peer-Mentoring of Rural Volunteers." In </w:t>
      </w:r>
      <w:r w:rsidRPr="004B5BAD">
        <w:rPr>
          <w:rFonts w:ascii="Times New Roman" w:hAnsi="Times New Roman" w:cs="Times New Roman"/>
          <w:i/>
          <w:iCs/>
          <w:color w:val="222222"/>
          <w:sz w:val="24"/>
          <w:szCs w:val="24"/>
          <w:shd w:val="clear" w:color="auto" w:fill="FFFFFF"/>
        </w:rPr>
        <w:t>CHI Conference on Human Factors in Computing Systems</w:t>
      </w:r>
      <w:r w:rsidRPr="004B5BAD">
        <w:rPr>
          <w:rFonts w:ascii="Times New Roman" w:hAnsi="Times New Roman" w:cs="Times New Roman"/>
          <w:color w:val="222222"/>
          <w:sz w:val="24"/>
          <w:szCs w:val="24"/>
          <w:shd w:val="clear" w:color="auto" w:fill="FFFFFF"/>
        </w:rPr>
        <w:t>, pp. 1-13.</w:t>
      </w:r>
    </w:p>
    <w:p w14:paraId="061F732B" w14:textId="77777777" w:rsidR="004B5BAD" w:rsidRPr="004B5BAD" w:rsidRDefault="004B5BAD" w:rsidP="004B5BAD">
      <w:pPr>
        <w:spacing w:line="360" w:lineRule="auto"/>
        <w:rPr>
          <w:rFonts w:ascii="Times New Roman" w:hAnsi="Times New Roman" w:cs="Times New Roman"/>
          <w:sz w:val="24"/>
          <w:szCs w:val="24"/>
        </w:rPr>
      </w:pPr>
      <w:r w:rsidRPr="004B5BAD">
        <w:rPr>
          <w:rFonts w:ascii="Times New Roman" w:hAnsi="Times New Roman" w:cs="Times New Roman"/>
          <w:color w:val="222222"/>
          <w:sz w:val="24"/>
          <w:szCs w:val="24"/>
          <w:shd w:val="clear" w:color="auto" w:fill="FFFFFF"/>
        </w:rPr>
        <w:t>Yang, Rebecca Jing 2014. "An investigation of stakeholder analysis in urban development projects: Empirical or rationalistic perspectives." </w:t>
      </w:r>
      <w:r w:rsidRPr="004B5BAD">
        <w:rPr>
          <w:rFonts w:ascii="Times New Roman" w:hAnsi="Times New Roman" w:cs="Times New Roman"/>
          <w:i/>
          <w:iCs/>
          <w:color w:val="222222"/>
          <w:sz w:val="24"/>
          <w:szCs w:val="24"/>
          <w:shd w:val="clear" w:color="auto" w:fill="FFFFFF"/>
        </w:rPr>
        <w:t>International Journal of Project Management</w:t>
      </w:r>
      <w:r w:rsidRPr="004B5BAD">
        <w:rPr>
          <w:rFonts w:ascii="Times New Roman" w:hAnsi="Times New Roman" w:cs="Times New Roman"/>
          <w:color w:val="222222"/>
          <w:sz w:val="24"/>
          <w:szCs w:val="24"/>
          <w:shd w:val="clear" w:color="auto" w:fill="FFFFFF"/>
        </w:rPr>
        <w:t> 32.5: 838-849.</w:t>
      </w:r>
    </w:p>
    <w:p w14:paraId="7F91E187" w14:textId="77777777" w:rsidR="004B5BAD" w:rsidRPr="004B5BAD" w:rsidRDefault="004B5BAD" w:rsidP="004B5BAD">
      <w:pPr>
        <w:pStyle w:val="root-block-node"/>
        <w:spacing w:line="360" w:lineRule="auto"/>
      </w:pPr>
    </w:p>
    <w:p w14:paraId="1A85FEFE" w14:textId="77777777" w:rsidR="007F3834" w:rsidRPr="004B5BAD" w:rsidRDefault="007F3834" w:rsidP="004B5BAD">
      <w:pPr>
        <w:spacing w:line="360" w:lineRule="auto"/>
        <w:rPr>
          <w:rFonts w:ascii="Times New Roman" w:hAnsi="Times New Roman" w:cs="Times New Roman"/>
          <w:sz w:val="24"/>
          <w:szCs w:val="24"/>
        </w:rPr>
      </w:pPr>
    </w:p>
    <w:sectPr w:rsidR="007F3834" w:rsidRPr="004B5BAD" w:rsidSect="009A61F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76848" w14:textId="77777777" w:rsidR="00A43587" w:rsidRPr="00CD1ED9" w:rsidRDefault="00A43587" w:rsidP="00CD1ED9">
      <w:pPr>
        <w:pStyle w:val="root-block-node"/>
        <w:spacing w:before="0" w:after="0"/>
        <w:rPr>
          <w:rFonts w:asciiTheme="minorHAnsi" w:eastAsiaTheme="minorHAnsi" w:hAnsiTheme="minorHAnsi" w:cstheme="minorBidi"/>
          <w:sz w:val="22"/>
          <w:szCs w:val="22"/>
          <w:lang w:eastAsia="en-US"/>
        </w:rPr>
      </w:pPr>
      <w:r>
        <w:separator/>
      </w:r>
    </w:p>
  </w:endnote>
  <w:endnote w:type="continuationSeparator" w:id="0">
    <w:p w14:paraId="73A086CF" w14:textId="77777777" w:rsidR="00A43587" w:rsidRPr="00CD1ED9" w:rsidRDefault="00A43587" w:rsidP="00CD1ED9">
      <w:pPr>
        <w:pStyle w:val="root-block-node"/>
        <w:spacing w:before="0" w:after="0"/>
        <w:rPr>
          <w:rFonts w:asciiTheme="minorHAnsi" w:eastAsiaTheme="minorHAnsi" w:hAnsiTheme="minorHAnsi" w:cstheme="minorBidi"/>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95234"/>
      <w:docPartObj>
        <w:docPartGallery w:val="Page Numbers (Bottom of Page)"/>
        <w:docPartUnique/>
      </w:docPartObj>
    </w:sdtPr>
    <w:sdtEndPr/>
    <w:sdtContent>
      <w:p w14:paraId="44F83465" w14:textId="77777777" w:rsidR="00CD1ED9" w:rsidRDefault="00011CA4">
        <w:pPr>
          <w:pStyle w:val="Footer"/>
          <w:jc w:val="center"/>
        </w:pPr>
        <w:r>
          <w:fldChar w:fldCharType="begin"/>
        </w:r>
        <w:r>
          <w:instrText xml:space="preserve"> PAGE   \* MERGEFORMAT </w:instrText>
        </w:r>
        <w:r>
          <w:fldChar w:fldCharType="separate"/>
        </w:r>
        <w:r w:rsidR="00A53D95">
          <w:rPr>
            <w:noProof/>
          </w:rPr>
          <w:t>4</w:t>
        </w:r>
        <w:r>
          <w:rPr>
            <w:noProof/>
          </w:rPr>
          <w:fldChar w:fldCharType="end"/>
        </w:r>
      </w:p>
    </w:sdtContent>
  </w:sdt>
  <w:p w14:paraId="00FEDD17" w14:textId="77777777" w:rsidR="00CD1ED9" w:rsidRDefault="00CD1E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40EFF" w14:textId="77777777" w:rsidR="00A43587" w:rsidRPr="00CD1ED9" w:rsidRDefault="00A43587" w:rsidP="00CD1ED9">
      <w:pPr>
        <w:pStyle w:val="root-block-node"/>
        <w:spacing w:before="0" w:after="0"/>
        <w:rPr>
          <w:rFonts w:asciiTheme="minorHAnsi" w:eastAsiaTheme="minorHAnsi" w:hAnsiTheme="minorHAnsi" w:cstheme="minorBidi"/>
          <w:sz w:val="22"/>
          <w:szCs w:val="22"/>
          <w:lang w:eastAsia="en-US"/>
        </w:rPr>
      </w:pPr>
      <w:r>
        <w:separator/>
      </w:r>
    </w:p>
  </w:footnote>
  <w:footnote w:type="continuationSeparator" w:id="0">
    <w:p w14:paraId="2BC3E8F9" w14:textId="77777777" w:rsidR="00A43587" w:rsidRPr="00CD1ED9" w:rsidRDefault="00A43587" w:rsidP="00CD1ED9">
      <w:pPr>
        <w:pStyle w:val="root-block-node"/>
        <w:spacing w:before="0" w:after="0"/>
        <w:rPr>
          <w:rFonts w:asciiTheme="minorHAnsi" w:eastAsiaTheme="minorHAnsi" w:hAnsiTheme="minorHAnsi" w:cstheme="minorBidi"/>
          <w:sz w:val="22"/>
          <w:szCs w:val="22"/>
          <w:lang w:eastAsia="en-US"/>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AD6"/>
    <w:rsid w:val="00011CA4"/>
    <w:rsid w:val="000521BE"/>
    <w:rsid w:val="000E252A"/>
    <w:rsid w:val="001020A5"/>
    <w:rsid w:val="0010797A"/>
    <w:rsid w:val="0016348F"/>
    <w:rsid w:val="001C4810"/>
    <w:rsid w:val="00202F17"/>
    <w:rsid w:val="0021609A"/>
    <w:rsid w:val="00226A96"/>
    <w:rsid w:val="003A4670"/>
    <w:rsid w:val="003F4A47"/>
    <w:rsid w:val="0041711F"/>
    <w:rsid w:val="0047691F"/>
    <w:rsid w:val="004A05E7"/>
    <w:rsid w:val="004A3237"/>
    <w:rsid w:val="004B5BAD"/>
    <w:rsid w:val="004C7AD6"/>
    <w:rsid w:val="004F18FB"/>
    <w:rsid w:val="005303BE"/>
    <w:rsid w:val="00560C35"/>
    <w:rsid w:val="00595B32"/>
    <w:rsid w:val="00595BAC"/>
    <w:rsid w:val="005B0555"/>
    <w:rsid w:val="005D1E78"/>
    <w:rsid w:val="005F7FF3"/>
    <w:rsid w:val="0060436A"/>
    <w:rsid w:val="00612686"/>
    <w:rsid w:val="006309C7"/>
    <w:rsid w:val="006365ED"/>
    <w:rsid w:val="006E2FAF"/>
    <w:rsid w:val="006E4A19"/>
    <w:rsid w:val="00712420"/>
    <w:rsid w:val="00716468"/>
    <w:rsid w:val="00756770"/>
    <w:rsid w:val="007C187A"/>
    <w:rsid w:val="007D5207"/>
    <w:rsid w:val="007F3834"/>
    <w:rsid w:val="00804377"/>
    <w:rsid w:val="00815A53"/>
    <w:rsid w:val="00857ECB"/>
    <w:rsid w:val="00881B73"/>
    <w:rsid w:val="0089795B"/>
    <w:rsid w:val="008E7629"/>
    <w:rsid w:val="00924F3F"/>
    <w:rsid w:val="009A61F5"/>
    <w:rsid w:val="009B56BC"/>
    <w:rsid w:val="009C1808"/>
    <w:rsid w:val="009C75E3"/>
    <w:rsid w:val="00A14557"/>
    <w:rsid w:val="00A43587"/>
    <w:rsid w:val="00A450A8"/>
    <w:rsid w:val="00A479EC"/>
    <w:rsid w:val="00A53D95"/>
    <w:rsid w:val="00AE7565"/>
    <w:rsid w:val="00AF36A9"/>
    <w:rsid w:val="00B12119"/>
    <w:rsid w:val="00B314B2"/>
    <w:rsid w:val="00B473E9"/>
    <w:rsid w:val="00B511AF"/>
    <w:rsid w:val="00B95C84"/>
    <w:rsid w:val="00BA1971"/>
    <w:rsid w:val="00C42C28"/>
    <w:rsid w:val="00C630F7"/>
    <w:rsid w:val="00C75BCA"/>
    <w:rsid w:val="00C76980"/>
    <w:rsid w:val="00CA269D"/>
    <w:rsid w:val="00CB26E5"/>
    <w:rsid w:val="00CC05E3"/>
    <w:rsid w:val="00CD1ED9"/>
    <w:rsid w:val="00D678DD"/>
    <w:rsid w:val="00D73053"/>
    <w:rsid w:val="00DA08A2"/>
    <w:rsid w:val="00DA1086"/>
    <w:rsid w:val="00DB5AE1"/>
    <w:rsid w:val="00E362B5"/>
    <w:rsid w:val="00FB3D9C"/>
    <w:rsid w:val="00FC4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6EF7"/>
  <w15:docId w15:val="{694939F0-2B4C-44E6-B1CD-4C5D72575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1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79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678DD"/>
    <w:rPr>
      <w:color w:val="0000FF"/>
      <w:u w:val="single"/>
    </w:rPr>
  </w:style>
  <w:style w:type="paragraph" w:customStyle="1" w:styleId="root-block-node">
    <w:name w:val="root-block-node"/>
    <w:basedOn w:val="Normal"/>
    <w:rsid w:val="00B121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CD1ED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D1ED9"/>
  </w:style>
  <w:style w:type="paragraph" w:styleId="Footer">
    <w:name w:val="footer"/>
    <w:basedOn w:val="Normal"/>
    <w:link w:val="FooterChar"/>
    <w:uiPriority w:val="99"/>
    <w:unhideWhenUsed/>
    <w:rsid w:val="00CD1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542778">
      <w:bodyDiv w:val="1"/>
      <w:marLeft w:val="0"/>
      <w:marRight w:val="0"/>
      <w:marTop w:val="0"/>
      <w:marBottom w:val="0"/>
      <w:divBdr>
        <w:top w:val="none" w:sz="0" w:space="0" w:color="auto"/>
        <w:left w:val="none" w:sz="0" w:space="0" w:color="auto"/>
        <w:bottom w:val="none" w:sz="0" w:space="0" w:color="auto"/>
        <w:right w:val="none" w:sz="0" w:space="0" w:color="auto"/>
      </w:divBdr>
    </w:div>
    <w:div w:id="1529562025">
      <w:bodyDiv w:val="1"/>
      <w:marLeft w:val="0"/>
      <w:marRight w:val="0"/>
      <w:marTop w:val="0"/>
      <w:marBottom w:val="0"/>
      <w:divBdr>
        <w:top w:val="none" w:sz="0" w:space="0" w:color="auto"/>
        <w:left w:val="none" w:sz="0" w:space="0" w:color="auto"/>
        <w:bottom w:val="none" w:sz="0" w:space="0" w:color="auto"/>
        <w:right w:val="none" w:sz="0" w:space="0" w:color="auto"/>
      </w:divBdr>
    </w:div>
    <w:div w:id="1541821132">
      <w:bodyDiv w:val="1"/>
      <w:marLeft w:val="0"/>
      <w:marRight w:val="0"/>
      <w:marTop w:val="0"/>
      <w:marBottom w:val="0"/>
      <w:divBdr>
        <w:top w:val="none" w:sz="0" w:space="0" w:color="auto"/>
        <w:left w:val="none" w:sz="0" w:space="0" w:color="auto"/>
        <w:bottom w:val="none" w:sz="0" w:space="0" w:color="auto"/>
        <w:right w:val="none" w:sz="0" w:space="0" w:color="auto"/>
      </w:divBdr>
    </w:div>
    <w:div w:id="1755588529">
      <w:bodyDiv w:val="1"/>
      <w:marLeft w:val="0"/>
      <w:marRight w:val="0"/>
      <w:marTop w:val="0"/>
      <w:marBottom w:val="0"/>
      <w:divBdr>
        <w:top w:val="none" w:sz="0" w:space="0" w:color="auto"/>
        <w:left w:val="none" w:sz="0" w:space="0" w:color="auto"/>
        <w:bottom w:val="none" w:sz="0" w:space="0" w:color="auto"/>
        <w:right w:val="none" w:sz="0" w:space="0" w:color="auto"/>
      </w:divBdr>
    </w:div>
    <w:div w:id="194730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2327</Words>
  <Characters>13267</Characters>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2022-09-07T22:11:00Z</dcterms:created>
  <dcterms:modified xsi:type="dcterms:W3CDTF">2022-09-07T22:11:00Z</dcterms:modified>
</cp:coreProperties>
</file>