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869D9" w14:textId="77777777" w:rsidR="00E22E94" w:rsidRDefault="00E22E94" w:rsidP="00B8081C">
      <w:pPr>
        <w:jc w:val="center"/>
        <w:rPr>
          <w:b/>
        </w:rPr>
      </w:pPr>
    </w:p>
    <w:p w14:paraId="65A1707D" w14:textId="77777777" w:rsidR="00E22E94" w:rsidRDefault="00E22E94" w:rsidP="00B8081C">
      <w:pPr>
        <w:jc w:val="center"/>
        <w:rPr>
          <w:b/>
        </w:rPr>
      </w:pPr>
    </w:p>
    <w:p w14:paraId="7D655043" w14:textId="77777777" w:rsidR="00E22E94" w:rsidRDefault="00E22E94" w:rsidP="00B8081C">
      <w:pPr>
        <w:jc w:val="center"/>
        <w:rPr>
          <w:b/>
        </w:rPr>
      </w:pPr>
    </w:p>
    <w:p w14:paraId="32C506E9" w14:textId="77777777" w:rsidR="00E22E94" w:rsidRDefault="00E22E94" w:rsidP="00B8081C">
      <w:pPr>
        <w:jc w:val="center"/>
        <w:rPr>
          <w:b/>
        </w:rPr>
      </w:pPr>
    </w:p>
    <w:p w14:paraId="4BA6FA20" w14:textId="77777777" w:rsidR="00E22E94" w:rsidRDefault="00E22E94" w:rsidP="00B8081C">
      <w:pPr>
        <w:jc w:val="center"/>
        <w:rPr>
          <w:b/>
        </w:rPr>
      </w:pPr>
    </w:p>
    <w:p w14:paraId="5FD68387" w14:textId="77777777" w:rsidR="00E22E94" w:rsidRDefault="00E22E94" w:rsidP="00B8081C">
      <w:pPr>
        <w:jc w:val="center"/>
        <w:rPr>
          <w:b/>
        </w:rPr>
      </w:pPr>
    </w:p>
    <w:p w14:paraId="4380AD15" w14:textId="77777777" w:rsidR="00E22E94" w:rsidRDefault="00E22E94" w:rsidP="00B8081C">
      <w:pPr>
        <w:jc w:val="center"/>
        <w:rPr>
          <w:b/>
        </w:rPr>
      </w:pPr>
    </w:p>
    <w:p w14:paraId="3A7CCCB4" w14:textId="77777777" w:rsidR="00B8081C" w:rsidRDefault="00B8081C" w:rsidP="00B8081C">
      <w:pPr>
        <w:jc w:val="center"/>
        <w:rPr>
          <w:b/>
        </w:rPr>
      </w:pPr>
      <w:r w:rsidRPr="00B8081C">
        <w:rPr>
          <w:b/>
        </w:rPr>
        <w:t>Assignment Title</w:t>
      </w:r>
      <w:r>
        <w:rPr>
          <w:b/>
        </w:rPr>
        <w:t>:</w:t>
      </w:r>
      <w:r w:rsidR="00E22E94" w:rsidRPr="00E22E94">
        <w:t xml:space="preserve"> </w:t>
      </w:r>
      <w:r w:rsidR="00E22E94">
        <w:t>Component 2 Written Assignment</w:t>
      </w:r>
      <w:r>
        <w:rPr>
          <w:b/>
        </w:rPr>
        <w:t xml:space="preserve"> </w:t>
      </w:r>
    </w:p>
    <w:p w14:paraId="60C5F991" w14:textId="7D18D7A2" w:rsidR="00B8081C" w:rsidRPr="00B8081C" w:rsidRDefault="00B8081C" w:rsidP="00B8081C">
      <w:pPr>
        <w:jc w:val="center"/>
        <w:rPr>
          <w:b/>
        </w:rPr>
      </w:pPr>
      <w:r w:rsidRPr="00B8081C">
        <w:rPr>
          <w:b/>
        </w:rPr>
        <w:t>Student Name:</w:t>
      </w:r>
      <w:r w:rsidR="00B956BD">
        <w:rPr>
          <w:b/>
        </w:rPr>
        <w:t xml:space="preserve"> Haruna Falola</w:t>
      </w:r>
    </w:p>
    <w:p w14:paraId="26042A43" w14:textId="71F659AF" w:rsidR="00B8081C" w:rsidRDefault="00B8081C" w:rsidP="00B8081C">
      <w:pPr>
        <w:jc w:val="center"/>
        <w:rPr>
          <w:b/>
        </w:rPr>
      </w:pPr>
      <w:r w:rsidRPr="00B8081C">
        <w:rPr>
          <w:b/>
        </w:rPr>
        <w:t xml:space="preserve">Student </w:t>
      </w:r>
      <w:r>
        <w:rPr>
          <w:b/>
        </w:rPr>
        <w:t xml:space="preserve">ID </w:t>
      </w:r>
      <w:r w:rsidRPr="00B8081C">
        <w:rPr>
          <w:b/>
        </w:rPr>
        <w:t>Number:</w:t>
      </w:r>
      <w:r w:rsidR="00B956BD">
        <w:rPr>
          <w:b/>
        </w:rPr>
        <w:t xml:space="preserve"> 2526565</w:t>
      </w:r>
    </w:p>
    <w:p w14:paraId="08D6061D" w14:textId="77777777" w:rsidR="00E22E94" w:rsidRPr="00B8081C" w:rsidRDefault="00E22E94" w:rsidP="00E22E94">
      <w:pPr>
        <w:jc w:val="center"/>
        <w:rPr>
          <w:b/>
        </w:rPr>
      </w:pPr>
      <w:r>
        <w:rPr>
          <w:b/>
        </w:rPr>
        <w:t xml:space="preserve">Module: </w:t>
      </w:r>
      <w:r>
        <w:t>Introduction to Health and Social Care</w:t>
      </w:r>
    </w:p>
    <w:p w14:paraId="15B53BBD" w14:textId="77777777" w:rsidR="00E22E94" w:rsidRDefault="00B8081C" w:rsidP="00B8081C">
      <w:pPr>
        <w:jc w:val="center"/>
      </w:pPr>
      <w:r w:rsidRPr="00B8081C">
        <w:rPr>
          <w:b/>
        </w:rPr>
        <w:t xml:space="preserve">Module Code: </w:t>
      </w:r>
      <w:r w:rsidR="00E22E94">
        <w:t xml:space="preserve">LCHS4003 </w:t>
      </w:r>
    </w:p>
    <w:p w14:paraId="64C173C9" w14:textId="585B4FC5" w:rsidR="00B8081C" w:rsidRDefault="00B8081C" w:rsidP="00B8081C">
      <w:pPr>
        <w:jc w:val="center"/>
      </w:pPr>
      <w:r w:rsidRPr="00B8081C">
        <w:rPr>
          <w:b/>
        </w:rPr>
        <w:t>Lecturer’s Name:</w:t>
      </w:r>
      <w:r w:rsidR="00644B72">
        <w:rPr>
          <w:b/>
        </w:rPr>
        <w:t xml:space="preserve"> miss umma</w:t>
      </w:r>
      <w:r w:rsidR="00E22E94">
        <w:t xml:space="preserve"> (Module Leader)</w:t>
      </w:r>
    </w:p>
    <w:p w14:paraId="6C83D3B6" w14:textId="77777777" w:rsidR="00E22E94" w:rsidRDefault="00E22E94">
      <w:pPr>
        <w:spacing w:line="259" w:lineRule="auto"/>
        <w:jc w:val="left"/>
      </w:pPr>
      <w:r>
        <w:br w:type="page"/>
      </w:r>
    </w:p>
    <w:sdt>
      <w:sdtPr>
        <w:rPr>
          <w:rFonts w:ascii="Arial" w:eastAsiaTheme="minorHAnsi" w:hAnsi="Arial" w:cs="Arial"/>
          <w:color w:val="auto"/>
          <w:kern w:val="2"/>
          <w:sz w:val="22"/>
          <w:szCs w:val="22"/>
          <w14:ligatures w14:val="standardContextual"/>
        </w:rPr>
        <w:id w:val="-26718622"/>
        <w:docPartObj>
          <w:docPartGallery w:val="Table of Contents"/>
          <w:docPartUnique/>
        </w:docPartObj>
      </w:sdtPr>
      <w:sdtEndPr>
        <w:rPr>
          <w:b/>
          <w:bCs/>
          <w:noProof/>
        </w:rPr>
      </w:sdtEndPr>
      <w:sdtContent>
        <w:p w14:paraId="185DEA53" w14:textId="77777777" w:rsidR="00E22E94" w:rsidRPr="008E7E4E" w:rsidRDefault="00E22E94" w:rsidP="005B79F8">
          <w:pPr>
            <w:pStyle w:val="TOCHeading"/>
            <w:spacing w:line="360" w:lineRule="auto"/>
            <w:rPr>
              <w:rFonts w:ascii="Arial" w:hAnsi="Arial" w:cs="Arial"/>
              <w:b/>
              <w:color w:val="auto"/>
              <w:sz w:val="22"/>
            </w:rPr>
          </w:pPr>
          <w:r w:rsidRPr="008E7E4E">
            <w:rPr>
              <w:rFonts w:ascii="Arial" w:hAnsi="Arial" w:cs="Arial"/>
              <w:b/>
              <w:color w:val="auto"/>
              <w:sz w:val="22"/>
            </w:rPr>
            <w:t>Contents</w:t>
          </w:r>
        </w:p>
        <w:p w14:paraId="65F339B5" w14:textId="77777777" w:rsidR="00E22E94" w:rsidRDefault="00E22E94">
          <w:pPr>
            <w:pStyle w:val="TOC1"/>
            <w:tabs>
              <w:tab w:val="right" w:leader="dot" w:pos="9350"/>
            </w:tabs>
            <w:rPr>
              <w:noProof/>
            </w:rPr>
          </w:pPr>
          <w:r>
            <w:fldChar w:fldCharType="begin"/>
          </w:r>
          <w:r>
            <w:instrText xml:space="preserve"> TOC \o "1-3" \h \z \u </w:instrText>
          </w:r>
          <w:r>
            <w:fldChar w:fldCharType="separate"/>
          </w:r>
          <w:hyperlink w:anchor="_Toc237317094" w:history="1">
            <w:r w:rsidRPr="00402DD4">
              <w:rPr>
                <w:rStyle w:val="Hyperlink"/>
                <w:noProof/>
              </w:rPr>
              <w:t>Introduction</w:t>
            </w:r>
            <w:r>
              <w:rPr>
                <w:noProof/>
                <w:webHidden/>
              </w:rPr>
              <w:tab/>
            </w:r>
            <w:r>
              <w:rPr>
                <w:noProof/>
                <w:webHidden/>
              </w:rPr>
              <w:fldChar w:fldCharType="begin"/>
            </w:r>
            <w:r>
              <w:rPr>
                <w:noProof/>
                <w:webHidden/>
              </w:rPr>
              <w:instrText xml:space="preserve"> PAGEREF _Toc237317094 \h </w:instrText>
            </w:r>
            <w:r>
              <w:rPr>
                <w:noProof/>
                <w:webHidden/>
              </w:rPr>
            </w:r>
            <w:r>
              <w:rPr>
                <w:noProof/>
                <w:webHidden/>
              </w:rPr>
              <w:fldChar w:fldCharType="separate"/>
            </w:r>
            <w:r w:rsidR="008E7E4E">
              <w:rPr>
                <w:noProof/>
                <w:webHidden/>
              </w:rPr>
              <w:t>3</w:t>
            </w:r>
            <w:r>
              <w:rPr>
                <w:noProof/>
                <w:webHidden/>
              </w:rPr>
              <w:fldChar w:fldCharType="end"/>
            </w:r>
          </w:hyperlink>
        </w:p>
        <w:p w14:paraId="3EF9C080" w14:textId="77777777" w:rsidR="00E22E94" w:rsidRDefault="00E22E94">
          <w:pPr>
            <w:pStyle w:val="TOC1"/>
            <w:tabs>
              <w:tab w:val="right" w:leader="dot" w:pos="9350"/>
            </w:tabs>
            <w:rPr>
              <w:noProof/>
            </w:rPr>
          </w:pPr>
          <w:hyperlink w:anchor="_Toc237317095" w:history="1">
            <w:r w:rsidRPr="00402DD4">
              <w:rPr>
                <w:rStyle w:val="Hyperlink"/>
                <w:noProof/>
              </w:rPr>
              <w:t>Effective Communication</w:t>
            </w:r>
            <w:r>
              <w:rPr>
                <w:noProof/>
                <w:webHidden/>
              </w:rPr>
              <w:tab/>
            </w:r>
            <w:r>
              <w:rPr>
                <w:noProof/>
                <w:webHidden/>
              </w:rPr>
              <w:fldChar w:fldCharType="begin"/>
            </w:r>
            <w:r>
              <w:rPr>
                <w:noProof/>
                <w:webHidden/>
              </w:rPr>
              <w:instrText xml:space="preserve"> PAGEREF _Toc237317095 \h </w:instrText>
            </w:r>
            <w:r>
              <w:rPr>
                <w:noProof/>
                <w:webHidden/>
              </w:rPr>
            </w:r>
            <w:r>
              <w:rPr>
                <w:noProof/>
                <w:webHidden/>
              </w:rPr>
              <w:fldChar w:fldCharType="separate"/>
            </w:r>
            <w:r w:rsidR="008E7E4E">
              <w:rPr>
                <w:noProof/>
                <w:webHidden/>
              </w:rPr>
              <w:t>3</w:t>
            </w:r>
            <w:r>
              <w:rPr>
                <w:noProof/>
                <w:webHidden/>
              </w:rPr>
              <w:fldChar w:fldCharType="end"/>
            </w:r>
          </w:hyperlink>
        </w:p>
        <w:p w14:paraId="0E5ACFFC" w14:textId="77777777" w:rsidR="00E22E94" w:rsidRDefault="00E22E94">
          <w:pPr>
            <w:pStyle w:val="TOC1"/>
            <w:tabs>
              <w:tab w:val="right" w:leader="dot" w:pos="9350"/>
            </w:tabs>
            <w:rPr>
              <w:noProof/>
            </w:rPr>
          </w:pPr>
          <w:hyperlink w:anchor="_Toc237317096" w:history="1">
            <w:r w:rsidRPr="00402DD4">
              <w:rPr>
                <w:rStyle w:val="Hyperlink"/>
                <w:noProof/>
              </w:rPr>
              <w:t>Administrative Skills</w:t>
            </w:r>
            <w:r>
              <w:rPr>
                <w:noProof/>
                <w:webHidden/>
              </w:rPr>
              <w:tab/>
            </w:r>
            <w:r>
              <w:rPr>
                <w:noProof/>
                <w:webHidden/>
              </w:rPr>
              <w:fldChar w:fldCharType="begin"/>
            </w:r>
            <w:r>
              <w:rPr>
                <w:noProof/>
                <w:webHidden/>
              </w:rPr>
              <w:instrText xml:space="preserve"> PAGEREF _Toc237317096 \h </w:instrText>
            </w:r>
            <w:r>
              <w:rPr>
                <w:noProof/>
                <w:webHidden/>
              </w:rPr>
            </w:r>
            <w:r>
              <w:rPr>
                <w:noProof/>
                <w:webHidden/>
              </w:rPr>
              <w:fldChar w:fldCharType="separate"/>
            </w:r>
            <w:r w:rsidR="008E7E4E">
              <w:rPr>
                <w:noProof/>
                <w:webHidden/>
              </w:rPr>
              <w:t>4</w:t>
            </w:r>
            <w:r>
              <w:rPr>
                <w:noProof/>
                <w:webHidden/>
              </w:rPr>
              <w:fldChar w:fldCharType="end"/>
            </w:r>
          </w:hyperlink>
        </w:p>
        <w:p w14:paraId="4CE9B616" w14:textId="77777777" w:rsidR="00E22E94" w:rsidRDefault="00E22E94">
          <w:pPr>
            <w:pStyle w:val="TOC1"/>
            <w:tabs>
              <w:tab w:val="right" w:leader="dot" w:pos="9350"/>
            </w:tabs>
            <w:rPr>
              <w:noProof/>
            </w:rPr>
          </w:pPr>
          <w:hyperlink w:anchor="_Toc237317097" w:history="1">
            <w:r w:rsidRPr="00402DD4">
              <w:rPr>
                <w:rStyle w:val="Hyperlink"/>
                <w:noProof/>
              </w:rPr>
              <w:t>Collaborative / Multi-Agency Working</w:t>
            </w:r>
            <w:r>
              <w:rPr>
                <w:noProof/>
                <w:webHidden/>
              </w:rPr>
              <w:tab/>
            </w:r>
            <w:r>
              <w:rPr>
                <w:noProof/>
                <w:webHidden/>
              </w:rPr>
              <w:fldChar w:fldCharType="begin"/>
            </w:r>
            <w:r>
              <w:rPr>
                <w:noProof/>
                <w:webHidden/>
              </w:rPr>
              <w:instrText xml:space="preserve"> PAGEREF _Toc237317097 \h </w:instrText>
            </w:r>
            <w:r>
              <w:rPr>
                <w:noProof/>
                <w:webHidden/>
              </w:rPr>
            </w:r>
            <w:r>
              <w:rPr>
                <w:noProof/>
                <w:webHidden/>
              </w:rPr>
              <w:fldChar w:fldCharType="separate"/>
            </w:r>
            <w:r w:rsidR="008E7E4E">
              <w:rPr>
                <w:noProof/>
                <w:webHidden/>
              </w:rPr>
              <w:t>5</w:t>
            </w:r>
            <w:r>
              <w:rPr>
                <w:noProof/>
                <w:webHidden/>
              </w:rPr>
              <w:fldChar w:fldCharType="end"/>
            </w:r>
          </w:hyperlink>
        </w:p>
        <w:p w14:paraId="3CFB4508" w14:textId="77777777" w:rsidR="00E22E94" w:rsidRDefault="00E22E94">
          <w:pPr>
            <w:pStyle w:val="TOC1"/>
            <w:tabs>
              <w:tab w:val="right" w:leader="dot" w:pos="9350"/>
            </w:tabs>
            <w:rPr>
              <w:noProof/>
            </w:rPr>
          </w:pPr>
          <w:hyperlink w:anchor="_Toc237317098" w:history="1">
            <w:r w:rsidRPr="00402DD4">
              <w:rPr>
                <w:rStyle w:val="Hyperlink"/>
                <w:noProof/>
              </w:rPr>
              <w:t>Conclusion</w:t>
            </w:r>
            <w:r>
              <w:rPr>
                <w:noProof/>
                <w:webHidden/>
              </w:rPr>
              <w:tab/>
            </w:r>
            <w:r>
              <w:rPr>
                <w:noProof/>
                <w:webHidden/>
              </w:rPr>
              <w:fldChar w:fldCharType="begin"/>
            </w:r>
            <w:r>
              <w:rPr>
                <w:noProof/>
                <w:webHidden/>
              </w:rPr>
              <w:instrText xml:space="preserve"> PAGEREF _Toc237317098 \h </w:instrText>
            </w:r>
            <w:r>
              <w:rPr>
                <w:noProof/>
                <w:webHidden/>
              </w:rPr>
            </w:r>
            <w:r>
              <w:rPr>
                <w:noProof/>
                <w:webHidden/>
              </w:rPr>
              <w:fldChar w:fldCharType="separate"/>
            </w:r>
            <w:r w:rsidR="008E7E4E">
              <w:rPr>
                <w:noProof/>
                <w:webHidden/>
              </w:rPr>
              <w:t>6</w:t>
            </w:r>
            <w:r>
              <w:rPr>
                <w:noProof/>
                <w:webHidden/>
              </w:rPr>
              <w:fldChar w:fldCharType="end"/>
            </w:r>
          </w:hyperlink>
        </w:p>
        <w:p w14:paraId="0E9411FC" w14:textId="77777777" w:rsidR="00E22E94" w:rsidRDefault="00E22E94">
          <w:pPr>
            <w:pStyle w:val="TOC1"/>
            <w:tabs>
              <w:tab w:val="right" w:leader="dot" w:pos="9350"/>
            </w:tabs>
            <w:rPr>
              <w:noProof/>
            </w:rPr>
          </w:pPr>
          <w:hyperlink w:anchor="_Toc237317099" w:history="1">
            <w:r w:rsidRPr="00402DD4">
              <w:rPr>
                <w:rStyle w:val="Hyperlink"/>
                <w:noProof/>
              </w:rPr>
              <w:t>References</w:t>
            </w:r>
            <w:r>
              <w:rPr>
                <w:noProof/>
                <w:webHidden/>
              </w:rPr>
              <w:tab/>
            </w:r>
            <w:r>
              <w:rPr>
                <w:noProof/>
                <w:webHidden/>
              </w:rPr>
              <w:fldChar w:fldCharType="begin"/>
            </w:r>
            <w:r>
              <w:rPr>
                <w:noProof/>
                <w:webHidden/>
              </w:rPr>
              <w:instrText xml:space="preserve"> PAGEREF _Toc237317099 \h </w:instrText>
            </w:r>
            <w:r>
              <w:rPr>
                <w:noProof/>
                <w:webHidden/>
              </w:rPr>
            </w:r>
            <w:r>
              <w:rPr>
                <w:noProof/>
                <w:webHidden/>
              </w:rPr>
              <w:fldChar w:fldCharType="separate"/>
            </w:r>
            <w:r w:rsidR="008E7E4E">
              <w:rPr>
                <w:noProof/>
                <w:webHidden/>
              </w:rPr>
              <w:t>7</w:t>
            </w:r>
            <w:r>
              <w:rPr>
                <w:noProof/>
                <w:webHidden/>
              </w:rPr>
              <w:fldChar w:fldCharType="end"/>
            </w:r>
          </w:hyperlink>
        </w:p>
        <w:p w14:paraId="6182AE5C" w14:textId="77777777" w:rsidR="00E22E94" w:rsidRDefault="00E22E94">
          <w:r>
            <w:rPr>
              <w:b/>
              <w:bCs/>
              <w:noProof/>
            </w:rPr>
            <w:fldChar w:fldCharType="end"/>
          </w:r>
        </w:p>
      </w:sdtContent>
    </w:sdt>
    <w:p w14:paraId="6D67FA01" w14:textId="77777777" w:rsidR="00E22E94" w:rsidRPr="00B8081C" w:rsidRDefault="00E22E94" w:rsidP="00E22E94">
      <w:pPr>
        <w:spacing w:line="259" w:lineRule="auto"/>
        <w:jc w:val="left"/>
        <w:rPr>
          <w:b/>
        </w:rPr>
      </w:pPr>
      <w:r>
        <w:rPr>
          <w:b/>
        </w:rPr>
        <w:br w:type="page"/>
      </w:r>
    </w:p>
    <w:p w14:paraId="48EED87F" w14:textId="77777777" w:rsidR="00DF7A70" w:rsidRPr="00DF7A70" w:rsidRDefault="00DF7A70" w:rsidP="005B79F8">
      <w:pPr>
        <w:pStyle w:val="Heading1"/>
        <w:jc w:val="both"/>
      </w:pPr>
      <w:bookmarkStart w:id="0" w:name="_Toc237317094"/>
      <w:r w:rsidRPr="00DF7A70">
        <w:lastRenderedPageBreak/>
        <w:t>Introduction</w:t>
      </w:r>
      <w:bookmarkEnd w:id="0"/>
    </w:p>
    <w:p w14:paraId="0DF45BC7" w14:textId="77777777" w:rsidR="00755130" w:rsidRDefault="00DF7A70" w:rsidP="00EA37DC">
      <w:r w:rsidRPr="00DF7A70">
        <w:t xml:space="preserve">This report examines key aspects of health and social care practice in relation to </w:t>
      </w:r>
      <w:proofErr w:type="spellStart"/>
      <w:r w:rsidRPr="00DF7A70">
        <w:t>Mrs</w:t>
      </w:r>
      <w:proofErr w:type="spellEnd"/>
      <w:r w:rsidRPr="00DF7A70">
        <w:t xml:space="preserve"> Thompson, an 84-year-old woman recently discharged from hospital following pneumonia. Her mild dementia, </w:t>
      </w:r>
      <w:proofErr w:type="gramStart"/>
      <w:r w:rsidRPr="00DF7A70">
        <w:t>medication</w:t>
      </w:r>
      <w:proofErr w:type="gramEnd"/>
      <w:r w:rsidRPr="00DF7A70">
        <w:t xml:space="preserve"> forgetfulness, confusion and her recent situation where she was found outdoors without adequate clothing are serious risk factors for her health and safety and her independence. The report takes into account the importance of effective communication with </w:t>
      </w:r>
      <w:proofErr w:type="spellStart"/>
      <w:r w:rsidRPr="00DF7A70">
        <w:t>Mrs</w:t>
      </w:r>
      <w:proofErr w:type="spellEnd"/>
      <w:r w:rsidRPr="00DF7A70">
        <w:t xml:space="preserve"> Thompson and her family, including equality, dignity and suitable approaches to communication. It also explores proper record keeping procedures, confidentiality, and personal information in relation to the law. Finally, the report looks at the collaboration between professionals such as the GP, community nurse, domiciliary care workers and local authority to ensure coordinated and person-</w:t>
      </w:r>
      <w:proofErr w:type="spellStart"/>
      <w:r w:rsidRPr="00DF7A70">
        <w:t>centred</w:t>
      </w:r>
      <w:proofErr w:type="spellEnd"/>
      <w:r w:rsidRPr="00DF7A70">
        <w:t xml:space="preserve"> care and </w:t>
      </w:r>
      <w:proofErr w:type="spellStart"/>
      <w:r w:rsidRPr="00DF7A70">
        <w:t>minimise</w:t>
      </w:r>
      <w:proofErr w:type="spellEnd"/>
      <w:r w:rsidRPr="00DF7A70">
        <w:t xml:space="preserve"> the risk of further harm.</w:t>
      </w:r>
    </w:p>
    <w:p w14:paraId="2D7E7F18" w14:textId="77777777" w:rsidR="005B79F8" w:rsidRDefault="005B79F8" w:rsidP="005B79F8">
      <w:pPr>
        <w:pStyle w:val="Heading1"/>
        <w:jc w:val="both"/>
      </w:pPr>
      <w:bookmarkStart w:id="1" w:name="_Toc237317095"/>
    </w:p>
    <w:p w14:paraId="72719A63" w14:textId="6401A0B0" w:rsidR="00DF7A70" w:rsidRPr="00DF7A70" w:rsidRDefault="00DF7A70" w:rsidP="005B79F8">
      <w:pPr>
        <w:pStyle w:val="Heading1"/>
        <w:jc w:val="both"/>
      </w:pPr>
      <w:r>
        <w:t>Effective Communication</w:t>
      </w:r>
      <w:bookmarkEnd w:id="1"/>
    </w:p>
    <w:p w14:paraId="0B3CB18B" w14:textId="77777777" w:rsidR="00DF7A70" w:rsidRPr="00DF7A70" w:rsidRDefault="00DF7A70" w:rsidP="00EA37DC">
      <w:r w:rsidRPr="00DF7A70">
        <w:t>Mild dementia can impact memory, comprehension and the capacity to absorb information, which is why effective communication plays a key role in safe, person-</w:t>
      </w:r>
      <w:proofErr w:type="spellStart"/>
      <w:r w:rsidRPr="00DF7A70">
        <w:t>centred</w:t>
      </w:r>
      <w:proofErr w:type="spellEnd"/>
      <w:r w:rsidRPr="00DF7A70">
        <w:t xml:space="preserve"> care for </w:t>
      </w:r>
      <w:proofErr w:type="spellStart"/>
      <w:r w:rsidRPr="00DF7A70">
        <w:t>Mrs</w:t>
      </w:r>
      <w:proofErr w:type="spellEnd"/>
      <w:r w:rsidRPr="00DF7A70">
        <w:t xml:space="preserve"> Thompson. Communication needs to be calm, respectful and tailored to her abilities, not on dementia or age assumptions. NICE (2018) asserts that the care of people with dementia must be tailored to the person's individuality, preferences, needs and relationships. Care workers should communicate face to face, include short sentences, state one thing at a time, let the person process the information and ask, but not </w:t>
      </w:r>
      <w:proofErr w:type="spellStart"/>
      <w:r w:rsidRPr="00DF7A70">
        <w:t>patronise</w:t>
      </w:r>
      <w:proofErr w:type="spellEnd"/>
      <w:r w:rsidRPr="00DF7A70">
        <w:t>, about understanding. This is particularly significant when talking about medication; although she may know her medication times if she</w:t>
      </w:r>
      <w:r>
        <w:t xml:space="preserve"> forgets, it may not be enough.</w:t>
      </w:r>
    </w:p>
    <w:p w14:paraId="3273D26D" w14:textId="77777777" w:rsidR="00DF7A70" w:rsidRPr="00DF7A70" w:rsidRDefault="00DF7A70" w:rsidP="00EA37DC">
      <w:r w:rsidRPr="00DF7A70">
        <w:t xml:space="preserve">Maintaining autonomy and confidentiality while communicating with </w:t>
      </w:r>
      <w:proofErr w:type="spellStart"/>
      <w:r w:rsidRPr="00DF7A70">
        <w:t>Mrs</w:t>
      </w:r>
      <w:proofErr w:type="spellEnd"/>
      <w:r w:rsidRPr="00DF7A70">
        <w:t xml:space="preserve"> Thompson's family is important. The family members can give information about her </w:t>
      </w:r>
      <w:proofErr w:type="spellStart"/>
      <w:r w:rsidRPr="00DF7A70">
        <w:t>behaviour</w:t>
      </w:r>
      <w:proofErr w:type="spellEnd"/>
      <w:r w:rsidRPr="00DF7A70">
        <w:t xml:space="preserve">, routine and changes in confusions. De Poli (2025), drawing on people with dementia and family carers in North-East England, found that carers’ information needs depend not only on how much information is supplied but also on its timing, relevance and accessibility. Professionals should therefore explain the medication review and the recent incidents and safety measures, and involve </w:t>
      </w:r>
      <w:proofErr w:type="spellStart"/>
      <w:r w:rsidRPr="00DF7A70">
        <w:t>Mrs</w:t>
      </w:r>
      <w:proofErr w:type="spellEnd"/>
      <w:r w:rsidRPr="00DF7A70">
        <w:t xml:space="preserve"> Thompson a</w:t>
      </w:r>
      <w:r>
        <w:t>s far as possible in decisions.</w:t>
      </w:r>
    </w:p>
    <w:p w14:paraId="205C6A87" w14:textId="77777777" w:rsidR="00DF7A70" w:rsidRDefault="00DF7A70" w:rsidP="00EA37DC">
      <w:r w:rsidRPr="00DF7A70">
        <w:t>The Equality Act 2010 reinforces this policy. Age and disability are protected characteristics, and service providers must not discriminate and are required to make reasonable adjustments if necessary</w:t>
      </w:r>
      <w:r w:rsidR="00B639F4">
        <w:t xml:space="preserve"> </w:t>
      </w:r>
      <w:r w:rsidR="00B639F4" w:rsidRPr="00B639F4">
        <w:t>(Great Britain, 2010)</w:t>
      </w:r>
      <w:r w:rsidRPr="00DF7A70">
        <w:t xml:space="preserve">. Some adjustments for </w:t>
      </w:r>
      <w:proofErr w:type="spellStart"/>
      <w:r w:rsidRPr="00DF7A70">
        <w:t>Mrs</w:t>
      </w:r>
      <w:proofErr w:type="spellEnd"/>
      <w:r w:rsidRPr="00DF7A70">
        <w:t xml:space="preserve"> Thompson might be using plain </w:t>
      </w:r>
      <w:r w:rsidRPr="00DF7A70">
        <w:lastRenderedPageBreak/>
        <w:t>language, written medication prompts or pictorial prompts, repeating key information and a quiet place for discussions. Rather than being the same for all, these adaptations encourage equality by meeting her communication needs.</w:t>
      </w:r>
    </w:p>
    <w:p w14:paraId="146F8919" w14:textId="77777777" w:rsidR="00DF7A70" w:rsidRDefault="00DF7A70" w:rsidP="00EA37DC">
      <w:r w:rsidRPr="00DF7A70">
        <w:t xml:space="preserve">The relevance of Argyle's communication cycle is that it is a two-way process linking a message together, it is encoded, it is sent, it is received, it is decoded and it is understood, but there is feedback to identify misunderstandings (Argyle, 1983). A domiciliary care worker should not assume that the medication instruction was understood, just because it was given. Feedback will be completed by asking her to explain when she will take her medicine, </w:t>
      </w:r>
      <w:proofErr w:type="gramStart"/>
      <w:r w:rsidRPr="00DF7A70">
        <w:t>observing</w:t>
      </w:r>
      <w:proofErr w:type="gramEnd"/>
      <w:r w:rsidRPr="00DF7A70">
        <w:t xml:space="preserve"> verbal </w:t>
      </w:r>
      <w:r w:rsidR="0066290D">
        <w:t>and non-verbal responses, and</w:t>
      </w:r>
      <w:r w:rsidRPr="00DF7A70">
        <w:t xml:space="preserve"> simplifying or repeating the message as needed. Recent research in the UK also highlights the need to improve the communication relationship between persons living with dementia and family carers (Morris et al., 2026). Communication can then </w:t>
      </w:r>
      <w:proofErr w:type="spellStart"/>
      <w:r w:rsidRPr="00DF7A70">
        <w:t>minimise</w:t>
      </w:r>
      <w:proofErr w:type="spellEnd"/>
      <w:r w:rsidRPr="00DF7A70">
        <w:t xml:space="preserve"> the risk of medication complications, </w:t>
      </w:r>
      <w:proofErr w:type="spellStart"/>
      <w:r w:rsidRPr="00DF7A70">
        <w:t>recognise</w:t>
      </w:r>
      <w:proofErr w:type="spellEnd"/>
      <w:r w:rsidRPr="00DF7A70">
        <w:t xml:space="preserve"> the early signs of increasing confusion and help to deliver safe care, but maintain </w:t>
      </w:r>
      <w:proofErr w:type="spellStart"/>
      <w:r w:rsidRPr="00DF7A70">
        <w:t>Mrs</w:t>
      </w:r>
      <w:proofErr w:type="spellEnd"/>
      <w:r w:rsidRPr="00DF7A70">
        <w:t xml:space="preserve"> Thompson's dignity and participation.</w:t>
      </w:r>
    </w:p>
    <w:p w14:paraId="7EECF861" w14:textId="77777777" w:rsidR="005B79F8" w:rsidRDefault="005B79F8" w:rsidP="005B79F8">
      <w:pPr>
        <w:pStyle w:val="Heading1"/>
        <w:jc w:val="both"/>
      </w:pPr>
      <w:bookmarkStart w:id="2" w:name="_Toc237317096"/>
    </w:p>
    <w:p w14:paraId="15EB4592" w14:textId="123E6673" w:rsidR="00B05943" w:rsidRPr="00B05943" w:rsidRDefault="00B05943" w:rsidP="005B79F8">
      <w:pPr>
        <w:pStyle w:val="Heading1"/>
        <w:jc w:val="both"/>
      </w:pPr>
      <w:r>
        <w:t>Administrative Skills</w:t>
      </w:r>
      <w:bookmarkEnd w:id="2"/>
    </w:p>
    <w:p w14:paraId="7DD8C26F" w14:textId="77777777" w:rsidR="00B55C21" w:rsidRDefault="00B05943" w:rsidP="00EA37DC">
      <w:r w:rsidRPr="00B05943">
        <w:t xml:space="preserve">In </w:t>
      </w:r>
      <w:proofErr w:type="spellStart"/>
      <w:r w:rsidRPr="00B05943">
        <w:t>Mrs</w:t>
      </w:r>
      <w:proofErr w:type="spellEnd"/>
      <w:r w:rsidRPr="00B05943">
        <w:t xml:space="preserve"> Thompson's care good administration skills are needed to ensure that records are kept accurately as they enable continuity, accountability and evidence for professional decision making. After each visit, care workers must document the information they gather clearly, objectively and without delay, including the level of cognition, support with medication, risks and actions carried out. CQC Regulation 17 states that providers must keep secure, accurate, complete and up to date records for each service user</w:t>
      </w:r>
      <w:r w:rsidR="009D2800">
        <w:t xml:space="preserve"> </w:t>
      </w:r>
      <w:r w:rsidR="009D2800" w:rsidRPr="009D2800">
        <w:t>(CQC, 2024).</w:t>
      </w:r>
      <w:r w:rsidRPr="00B05943">
        <w:t xml:space="preserve">. It is especially important since </w:t>
      </w:r>
      <w:proofErr w:type="spellStart"/>
      <w:r w:rsidRPr="00B05943">
        <w:t>Mrs</w:t>
      </w:r>
      <w:proofErr w:type="spellEnd"/>
      <w:r w:rsidRPr="00B05943">
        <w:t xml:space="preserve"> Thompson is being cared for twice a day, otherwise the next employee or someone else would not know what to look for as she deteriorated or if the safety issues were recurring.</w:t>
      </w:r>
    </w:p>
    <w:p w14:paraId="7FA818B4" w14:textId="77777777" w:rsidR="00B05943" w:rsidRDefault="00B05943" w:rsidP="00EA37DC">
      <w:r w:rsidRPr="00B05943">
        <w:t xml:space="preserve">The two missed days of medication and the incident in which </w:t>
      </w:r>
      <w:proofErr w:type="spellStart"/>
      <w:r w:rsidRPr="00B05943">
        <w:t>Mrs</w:t>
      </w:r>
      <w:proofErr w:type="spellEnd"/>
      <w:r w:rsidRPr="00B05943">
        <w:t xml:space="preserve"> Thompson was found outside inadequately dressed should therefore be formally documented. The content of the records should report evidence of what happened, when it happened, observations of the patient's condition, any action taken, decisions made, communications made with others involved, and subsequent actions taken. The NHS England's Records Management Code of Practice is a document that outlines how health and care records should be created, stored, retained and disposed of</w:t>
      </w:r>
      <w:r w:rsidR="009D2800">
        <w:t xml:space="preserve"> </w:t>
      </w:r>
      <w:r w:rsidR="009D2800" w:rsidRPr="009D2800">
        <w:t>(NHS England, 2026)</w:t>
      </w:r>
      <w:r w:rsidRPr="00B05943">
        <w:t>. This kind of documentation provides an audit trail, and can identify trends in the evolving confusion that might need reassessment or safeguarding intervention.</w:t>
      </w:r>
    </w:p>
    <w:p w14:paraId="6EC89F4F" w14:textId="77777777" w:rsidR="00B05943" w:rsidRPr="00B05943" w:rsidRDefault="00B05943" w:rsidP="00EA37DC">
      <w:r w:rsidRPr="00B05943">
        <w:lastRenderedPageBreak/>
        <w:t xml:space="preserve">Specific precision is needed when administering medicines. NICE (2017) advises that care workers should make a note of the medicines support for each individual medicine every time they are given them, and adds that if they do not, this can put service users and workers at risk if medicines are poorly kept. It is therefore important that </w:t>
      </w:r>
      <w:proofErr w:type="spellStart"/>
      <w:r w:rsidRPr="00B05943">
        <w:t>Mrs</w:t>
      </w:r>
      <w:proofErr w:type="spellEnd"/>
      <w:r w:rsidRPr="00B05943">
        <w:t xml:space="preserve"> Thompson's Medication Administration Record (MAR) reflects any doses administered, refused or missed and the reason if known. Her medication forgetfulness should also result in the appropriate professional communication and in the requested medication review. Karimi et al. (2025) highlighted the inaccuracy of medical records with others as a factor contributing to medication problems in people receiving home care, and the need to use interprofessional approaches to b</w:t>
      </w:r>
      <w:r>
        <w:t>etter manage medication safely.</w:t>
      </w:r>
    </w:p>
    <w:p w14:paraId="21948586" w14:textId="77777777" w:rsidR="00B05943" w:rsidRDefault="00B05943" w:rsidP="00EA37DC">
      <w:proofErr w:type="spellStart"/>
      <w:r w:rsidRPr="00B05943">
        <w:t>Mrs</w:t>
      </w:r>
      <w:proofErr w:type="spellEnd"/>
      <w:r w:rsidRPr="00B05943">
        <w:t xml:space="preserve"> Thompson’s records also contain sensitive health information. The Data Protection Act 2018, in conjunction with the UK GDPR, stipulates that personal data must be processed legally and securely</w:t>
      </w:r>
      <w:r w:rsidR="003620DE" w:rsidRPr="003620DE">
        <w:t xml:space="preserve"> </w:t>
      </w:r>
      <w:r w:rsidR="003620DE">
        <w:t>(Great Britain, 2018)</w:t>
      </w:r>
      <w:r w:rsidRPr="00B05943">
        <w:t xml:space="preserve">. The main principles of the UK GDPR </w:t>
      </w:r>
      <w:proofErr w:type="gramStart"/>
      <w:r w:rsidRPr="00B05943">
        <w:t>are:</w:t>
      </w:r>
      <w:proofErr w:type="gramEnd"/>
      <w:r w:rsidRPr="00B05943">
        <w:t xml:space="preserve"> Purpose limitation, Data </w:t>
      </w:r>
      <w:proofErr w:type="spellStart"/>
      <w:r w:rsidRPr="00B05943">
        <w:t>minimisation</w:t>
      </w:r>
      <w:proofErr w:type="spellEnd"/>
      <w:r w:rsidRPr="00B05943">
        <w:t xml:space="preserve">, Accuracy, Storage limitation, Integrity and confidentiality and Accountability (ICO, 2026). So only the information that is needed should be recorded; access should only be given to </w:t>
      </w:r>
      <w:proofErr w:type="spellStart"/>
      <w:r w:rsidRPr="00B05943">
        <w:t>authorised</w:t>
      </w:r>
      <w:proofErr w:type="spellEnd"/>
      <w:r w:rsidRPr="00B05943">
        <w:t xml:space="preserve"> </w:t>
      </w:r>
      <w:proofErr w:type="gramStart"/>
      <w:r w:rsidRPr="00B05943">
        <w:t>persons</w:t>
      </w:r>
      <w:proofErr w:type="gramEnd"/>
      <w:r w:rsidRPr="00B05943">
        <w:t xml:space="preserve"> and any inaccurate information corrected.</w:t>
      </w:r>
    </w:p>
    <w:p w14:paraId="59D327D7" w14:textId="77777777" w:rsidR="00B05943" w:rsidRDefault="00B05943" w:rsidP="00EA37DC">
      <w:r w:rsidRPr="00B05943">
        <w:t>However, confidentiality should not become a barrier to safe care. The Caldicott Principles say that the same level of concern for confidentiality is required as for the duty to share information for the care of others</w:t>
      </w:r>
      <w:r w:rsidR="002E6190" w:rsidRPr="002E6190">
        <w:t xml:space="preserve"> (Nati</w:t>
      </w:r>
      <w:r w:rsidR="002E6190">
        <w:t>onal Data Guardian, 2020)</w:t>
      </w:r>
      <w:r w:rsidRPr="00B05943">
        <w:t xml:space="preserve">. So relevant information on </w:t>
      </w:r>
      <w:proofErr w:type="spellStart"/>
      <w:r w:rsidRPr="00B05943">
        <w:t>Mrs</w:t>
      </w:r>
      <w:proofErr w:type="spellEnd"/>
      <w:r w:rsidRPr="00B05943">
        <w:t xml:space="preserve"> Thompson's failure to take her medicines, confusion and safety threat should be shared proportionately with those who need that information in order to deliver coordinated care which would not respect </w:t>
      </w:r>
      <w:proofErr w:type="spellStart"/>
      <w:r w:rsidRPr="00B05943">
        <w:t>Mrs</w:t>
      </w:r>
      <w:proofErr w:type="spellEnd"/>
      <w:r w:rsidRPr="00B05943">
        <w:t xml:space="preserve"> Thompson's privacy and dignity.</w:t>
      </w:r>
    </w:p>
    <w:p w14:paraId="39C3F2AC" w14:textId="77777777" w:rsidR="005B79F8" w:rsidRDefault="005B79F8" w:rsidP="005B79F8">
      <w:pPr>
        <w:pStyle w:val="Heading1"/>
        <w:jc w:val="both"/>
      </w:pPr>
      <w:bookmarkStart w:id="3" w:name="_Toc237317097"/>
    </w:p>
    <w:p w14:paraId="14AC4BDC" w14:textId="68DE788F" w:rsidR="0049710B" w:rsidRDefault="0049710B" w:rsidP="005B79F8">
      <w:pPr>
        <w:pStyle w:val="Heading1"/>
        <w:jc w:val="both"/>
      </w:pPr>
      <w:r w:rsidRPr="0049710B">
        <w:t>Collaborative / Multi-Agency Working</w:t>
      </w:r>
      <w:bookmarkEnd w:id="3"/>
      <w:r w:rsidRPr="0049710B">
        <w:t xml:space="preserve"> </w:t>
      </w:r>
    </w:p>
    <w:p w14:paraId="30E6E7DA" w14:textId="77777777" w:rsidR="0049710B" w:rsidRDefault="0049710B" w:rsidP="00EA37DC">
      <w:proofErr w:type="spellStart"/>
      <w:r w:rsidRPr="0049710B">
        <w:t>Mrs</w:t>
      </w:r>
      <w:proofErr w:type="spellEnd"/>
      <w:r w:rsidRPr="0049710B">
        <w:t xml:space="preserve"> Thompson needs collaborative </w:t>
      </w:r>
      <w:proofErr w:type="gramStart"/>
      <w:r w:rsidRPr="0049710B">
        <w:t>working</w:t>
      </w:r>
      <w:proofErr w:type="gramEnd"/>
      <w:r w:rsidRPr="0049710B">
        <w:t xml:space="preserve"> as she requires healthcare, social care, medication and safeguarding. Her GP should investigate if she has missed medication and has become confused, and the community nurse should be able to see how she is getting better from pneumonia and notice if she is getting worse. Domiciliary care workers are especially significant as they </w:t>
      </w:r>
      <w:proofErr w:type="gramStart"/>
      <w:r w:rsidRPr="0049710B">
        <w:t>come into contact with</w:t>
      </w:r>
      <w:proofErr w:type="gramEnd"/>
      <w:r w:rsidRPr="0049710B">
        <w:t xml:space="preserve"> the individual twice a day and can spot changes in </w:t>
      </w:r>
      <w:proofErr w:type="spellStart"/>
      <w:r w:rsidRPr="0049710B">
        <w:t>behaviour</w:t>
      </w:r>
      <w:proofErr w:type="spellEnd"/>
      <w:r w:rsidRPr="0049710B">
        <w:t xml:space="preserve">, medication and safety. The local council should arrange for the safeguarding review and determine if her current care package is sufficient. The Care Act statutory guidance sets out a </w:t>
      </w:r>
      <w:r w:rsidRPr="0049710B">
        <w:lastRenderedPageBreak/>
        <w:t xml:space="preserve">requirement for local authority co-Working with NHS and other services to enhance wellbeing and quality of care (Department of Health and Social Care, 2025). </w:t>
      </w:r>
    </w:p>
    <w:p w14:paraId="25596120" w14:textId="77777777" w:rsidR="0049710B" w:rsidRDefault="0049710B" w:rsidP="00EA37DC">
      <w:r w:rsidRPr="0049710B">
        <w:t xml:space="preserve">Collaboration involves timely information sharing and coordinating care plans with clear and well-defined roles. NICE (2017) recommends agreement between health and social care professionals regarding responsibility for medicines support. </w:t>
      </w:r>
      <w:proofErr w:type="spellStart"/>
      <w:r w:rsidRPr="0049710B">
        <w:t>Mrs</w:t>
      </w:r>
      <w:proofErr w:type="spellEnd"/>
      <w:r w:rsidRPr="0049710B">
        <w:t xml:space="preserve"> Thompson's professionals could implement a new medication plan, accurate Medication Administration Records (MAR), appropriate escalation protocols and regular multidisciplinary reviews. Karimi et al. (2025) identified that interprofessional interventions and effective home-care worker involvement could enhance medication management among older people in their home care setting.</w:t>
      </w:r>
    </w:p>
    <w:p w14:paraId="70EFD4AD" w14:textId="77777777" w:rsidR="00EA37DC" w:rsidRDefault="00EA37DC" w:rsidP="00EA37DC">
      <w:r w:rsidRPr="00EA37DC">
        <w:t xml:space="preserve">Multi-agency </w:t>
      </w:r>
      <w:proofErr w:type="gramStart"/>
      <w:r w:rsidRPr="00EA37DC">
        <w:t>working</w:t>
      </w:r>
      <w:proofErr w:type="gramEnd"/>
      <w:r w:rsidRPr="00EA37DC">
        <w:t xml:space="preserve"> can also be hindered, however, by lack of communication, </w:t>
      </w:r>
      <w:proofErr w:type="spellStart"/>
      <w:r w:rsidRPr="00EA37DC">
        <w:t>disorganisation</w:t>
      </w:r>
      <w:proofErr w:type="spellEnd"/>
      <w:r w:rsidRPr="00EA37DC">
        <w:t xml:space="preserve">, poor inter-agency professional boundaries, and issues of confidentiality. An English study by Zhang et al. (2025) found that communication problems and lack of coherence in health and social care are obstacles to good support for older people. This can be overcome by using a named care coordinator, the use of multi-disciplinary meetings, shared care plans, using secure information sharing and professional roles with an agreed plan. Relevant information should be shared fairly and appropriately where this is required for care and protection. Regular reviews, including </w:t>
      </w:r>
      <w:proofErr w:type="spellStart"/>
      <w:r w:rsidRPr="00EA37DC">
        <w:t>Mrs</w:t>
      </w:r>
      <w:proofErr w:type="spellEnd"/>
      <w:r w:rsidRPr="00EA37DC">
        <w:t xml:space="preserve"> Thompson and her family as appropriate, would ensure that professionals could work as a team when answering the question of medication, confusion and risks of safety, whilst caring for the person.</w:t>
      </w:r>
    </w:p>
    <w:p w14:paraId="40CE7BBF" w14:textId="77777777" w:rsidR="005B79F8" w:rsidRDefault="005B79F8" w:rsidP="005B79F8">
      <w:pPr>
        <w:pStyle w:val="Heading1"/>
        <w:jc w:val="both"/>
      </w:pPr>
      <w:bookmarkStart w:id="4" w:name="_Toc237317098"/>
    </w:p>
    <w:p w14:paraId="3BBED8B3" w14:textId="41CBC196" w:rsidR="00EA37DC" w:rsidRDefault="00EA37DC" w:rsidP="005B79F8">
      <w:pPr>
        <w:pStyle w:val="Heading1"/>
        <w:jc w:val="both"/>
      </w:pPr>
      <w:r>
        <w:t>Conclusion</w:t>
      </w:r>
      <w:bookmarkEnd w:id="4"/>
    </w:p>
    <w:p w14:paraId="238C1B94" w14:textId="77777777" w:rsidR="00EA37DC" w:rsidRDefault="00EA37DC" w:rsidP="00EA37DC">
      <w:r w:rsidRPr="00EA37DC">
        <w:t>This study is significant because effective communication, administration and collaborative working is essential in providing safe, person-</w:t>
      </w:r>
      <w:proofErr w:type="spellStart"/>
      <w:r w:rsidRPr="00EA37DC">
        <w:t>centred</w:t>
      </w:r>
      <w:proofErr w:type="spellEnd"/>
      <w:r w:rsidRPr="00EA37DC">
        <w:t xml:space="preserve"> health and social care services, as illustrated in </w:t>
      </w:r>
      <w:proofErr w:type="spellStart"/>
      <w:r w:rsidRPr="00EA37DC">
        <w:t>Mrs</w:t>
      </w:r>
      <w:proofErr w:type="spellEnd"/>
      <w:r w:rsidRPr="00EA37DC">
        <w:t xml:space="preserve"> Thompson's case study. Communication needs to be modified to address her dementia needs, and her dignity, equality and decision making will need to be respected. Accurate record keeping and documentation of medicines is vital to identifying risk, to supporting continuity of care and to ensuring professional accountability, and it is important that information is handled in a lawful manner as required by the Data Protection Act 2018 and UK GDPR. Medication errors, confusion and Safeguarding concerns are also important to address by multi-agency working (GP, community nurse, domiciliary carers and local authority). Generally, communication, sharing of information and having clear responsibilities can help </w:t>
      </w:r>
      <w:proofErr w:type="spellStart"/>
      <w:r w:rsidRPr="00EA37DC">
        <w:t>minimise</w:t>
      </w:r>
      <w:proofErr w:type="spellEnd"/>
      <w:r w:rsidRPr="00EA37DC">
        <w:t xml:space="preserve"> risks and help </w:t>
      </w:r>
      <w:proofErr w:type="spellStart"/>
      <w:r w:rsidRPr="00EA37DC">
        <w:t>Mrs</w:t>
      </w:r>
      <w:proofErr w:type="spellEnd"/>
      <w:r w:rsidRPr="00EA37DC">
        <w:t xml:space="preserve"> Thompson to stay as safe, independent and supported as possible.</w:t>
      </w:r>
    </w:p>
    <w:p w14:paraId="20E577B4" w14:textId="663DEEAB" w:rsidR="00B51F9F" w:rsidRPr="00B51F9F" w:rsidRDefault="00B51F9F" w:rsidP="00EA37DC">
      <w:pPr>
        <w:rPr>
          <w:b/>
          <w:bCs/>
        </w:rPr>
      </w:pPr>
      <w:r w:rsidRPr="00B51F9F">
        <w:rPr>
          <w:b/>
          <w:bCs/>
        </w:rPr>
        <w:lastRenderedPageBreak/>
        <w:t>Reference</w:t>
      </w:r>
      <w:r>
        <w:rPr>
          <w:b/>
          <w:bCs/>
        </w:rPr>
        <w:t>s</w:t>
      </w:r>
    </w:p>
    <w:p w14:paraId="36BA8ACB" w14:textId="5D89CBF0" w:rsidR="00712B9F" w:rsidRDefault="00712B9F" w:rsidP="005B79F8">
      <w:pPr>
        <w:spacing w:line="259" w:lineRule="auto"/>
        <w:jc w:val="left"/>
      </w:pPr>
      <w:r w:rsidRPr="00712B9F">
        <w:t xml:space="preserve">Argyle, M. (1983) </w:t>
      </w:r>
      <w:r w:rsidRPr="00712B9F">
        <w:rPr>
          <w:i/>
          <w:iCs/>
        </w:rPr>
        <w:t xml:space="preserve">The Psychology of Interpersonal </w:t>
      </w:r>
      <w:proofErr w:type="spellStart"/>
      <w:r w:rsidRPr="00712B9F">
        <w:rPr>
          <w:i/>
          <w:iCs/>
        </w:rPr>
        <w:t>Behaviour</w:t>
      </w:r>
      <w:proofErr w:type="spellEnd"/>
      <w:r w:rsidRPr="00712B9F">
        <w:t xml:space="preserve">. 4th </w:t>
      </w:r>
      <w:proofErr w:type="spellStart"/>
      <w:r w:rsidRPr="00712B9F">
        <w:t>edn</w:t>
      </w:r>
      <w:proofErr w:type="spellEnd"/>
      <w:r w:rsidRPr="00712B9F">
        <w:t>. Harmondsworth: Penguin.</w:t>
      </w:r>
    </w:p>
    <w:p w14:paraId="2D6B6830" w14:textId="77777777" w:rsidR="00A967C2" w:rsidRDefault="00A967C2" w:rsidP="008E7E4E">
      <w:pPr>
        <w:ind w:left="720" w:hanging="720"/>
      </w:pPr>
      <w:r w:rsidRPr="00A967C2">
        <w:t xml:space="preserve">Care Quality Commission (CQC) (2024) </w:t>
      </w:r>
      <w:r w:rsidRPr="00A967C2">
        <w:rPr>
          <w:i/>
          <w:iCs/>
        </w:rPr>
        <w:t>Regulation 17: Good governance</w:t>
      </w:r>
      <w:r w:rsidRPr="00A967C2">
        <w:t xml:space="preserve">. Available at: </w:t>
      </w:r>
      <w:hyperlink r:id="rId7" w:tgtFrame="_new" w:history="1">
        <w:r w:rsidRPr="00A967C2">
          <w:rPr>
            <w:rStyle w:val="Hyperlink"/>
          </w:rPr>
          <w:t>https://www.cqc.org.uk/guidance-regulation/providers/regulations-service-providers-and-managers/health-social-care-act/regulation-17</w:t>
        </w:r>
      </w:hyperlink>
    </w:p>
    <w:p w14:paraId="0C88B622" w14:textId="77777777" w:rsidR="0049710B" w:rsidRDefault="0049710B" w:rsidP="008E7E4E">
      <w:pPr>
        <w:ind w:left="720" w:hanging="720"/>
      </w:pPr>
      <w:r w:rsidRPr="0049710B">
        <w:t xml:space="preserve">Department of Health and Social Care (2025) </w:t>
      </w:r>
      <w:r w:rsidRPr="0049710B">
        <w:rPr>
          <w:i/>
          <w:iCs/>
        </w:rPr>
        <w:t>Care and support statutory guidance</w:t>
      </w:r>
      <w:r w:rsidRPr="0049710B">
        <w:t xml:space="preserve">. Available at: </w:t>
      </w:r>
      <w:hyperlink r:id="rId8" w:tgtFrame="_new" w:history="1">
        <w:r w:rsidRPr="0049710B">
          <w:rPr>
            <w:rStyle w:val="Hyperlink"/>
          </w:rPr>
          <w:t>https://www.gov.uk/government/publications/care-act-statutory-guidance/care-and-support-statutory-guidance</w:t>
        </w:r>
      </w:hyperlink>
      <w:r w:rsidRPr="0049710B">
        <w:t xml:space="preserve"> (Accessed: 11 August 2026)</w:t>
      </w:r>
    </w:p>
    <w:p w14:paraId="73BFEEC5" w14:textId="77777777" w:rsidR="0048759C" w:rsidRDefault="0048759C" w:rsidP="008E7E4E">
      <w:pPr>
        <w:ind w:left="720" w:hanging="720"/>
      </w:pPr>
      <w:r w:rsidRPr="0048759C">
        <w:t xml:space="preserve">De Poli, C. (2025) 'Explaining the unmet information needs of family carers of people with dementia: a theoretical model of information </w:t>
      </w:r>
      <w:proofErr w:type="spellStart"/>
      <w:r w:rsidRPr="0048759C">
        <w:t>behaviour</w:t>
      </w:r>
      <w:proofErr w:type="spellEnd"/>
      <w:r w:rsidRPr="0048759C">
        <w:t xml:space="preserve">,' </w:t>
      </w:r>
      <w:r w:rsidRPr="0048759C">
        <w:rPr>
          <w:i/>
          <w:iCs/>
        </w:rPr>
        <w:t>BMC Geriatrics</w:t>
      </w:r>
      <w:r w:rsidRPr="0048759C">
        <w:t xml:space="preserve">, 25(1), p. 219. </w:t>
      </w:r>
      <w:hyperlink r:id="rId9" w:history="1">
        <w:r w:rsidRPr="00CF4A88">
          <w:rPr>
            <w:rStyle w:val="Hyperlink"/>
          </w:rPr>
          <w:t>https://doi.org/10.1186/s12877-024-05626-6</w:t>
        </w:r>
      </w:hyperlink>
      <w:r w:rsidRPr="0048759C">
        <w:t>.</w:t>
      </w:r>
      <w:r>
        <w:t xml:space="preserve"> </w:t>
      </w:r>
    </w:p>
    <w:p w14:paraId="2537F327" w14:textId="77777777" w:rsidR="00F71550" w:rsidRDefault="00F71550" w:rsidP="008E7E4E">
      <w:pPr>
        <w:ind w:left="720" w:hanging="720"/>
      </w:pPr>
      <w:r w:rsidRPr="00F71550">
        <w:t xml:space="preserve">Great Britain (2018) </w:t>
      </w:r>
      <w:r w:rsidRPr="00F71550">
        <w:rPr>
          <w:i/>
          <w:iCs/>
        </w:rPr>
        <w:t>Data Protection Act 2018</w:t>
      </w:r>
      <w:r w:rsidRPr="00F71550">
        <w:t xml:space="preserve">, c. 12. London: The Stationery Office. Available at: </w:t>
      </w:r>
      <w:hyperlink r:id="rId10" w:tgtFrame="_new" w:history="1">
        <w:r w:rsidRPr="00F71550">
          <w:rPr>
            <w:rStyle w:val="Hyperlink"/>
          </w:rPr>
          <w:t>https://www.legislation.gov.uk/ukpga/2018/12/contents</w:t>
        </w:r>
      </w:hyperlink>
      <w:r>
        <w:t xml:space="preserve"> (Accessed: 11 August 2026)</w:t>
      </w:r>
    </w:p>
    <w:p w14:paraId="6E77F51C" w14:textId="77777777" w:rsidR="00677761" w:rsidRDefault="00677761" w:rsidP="008E7E4E">
      <w:pPr>
        <w:ind w:left="720" w:hanging="720"/>
      </w:pPr>
      <w:r w:rsidRPr="00677761">
        <w:t xml:space="preserve">Great Britain (2010) </w:t>
      </w:r>
      <w:r w:rsidRPr="00677761">
        <w:rPr>
          <w:i/>
          <w:iCs/>
        </w:rPr>
        <w:t>Equality Act 2010</w:t>
      </w:r>
      <w:r w:rsidRPr="00677761">
        <w:t xml:space="preserve">, c. 15. London: The Stationery Office. Available at: </w:t>
      </w:r>
      <w:hyperlink r:id="rId11" w:tgtFrame="_new" w:history="1">
        <w:r w:rsidRPr="00677761">
          <w:rPr>
            <w:rStyle w:val="Hyperlink"/>
          </w:rPr>
          <w:t>https://www.legislation.gov.uk/ukpga/2010/15/contents</w:t>
        </w:r>
      </w:hyperlink>
      <w:r w:rsidRPr="00677761">
        <w:t xml:space="preserve"> (A</w:t>
      </w:r>
      <w:r w:rsidR="00E27F74">
        <w:t>ccessed: 10</w:t>
      </w:r>
      <w:r w:rsidRPr="00677761">
        <w:t xml:space="preserve"> August 2026)</w:t>
      </w:r>
    </w:p>
    <w:p w14:paraId="0B031A20" w14:textId="77777777" w:rsidR="00283B0D" w:rsidRDefault="00283B0D" w:rsidP="008E7E4E">
      <w:pPr>
        <w:ind w:left="720" w:hanging="720"/>
      </w:pPr>
      <w:r w:rsidRPr="00283B0D">
        <w:t xml:space="preserve">Information Commissioner’s Office (ICO) (2026) </w:t>
      </w:r>
      <w:r w:rsidRPr="00283B0D">
        <w:rPr>
          <w:i/>
          <w:iCs/>
        </w:rPr>
        <w:t>A guide to the data protection principles</w:t>
      </w:r>
      <w:r w:rsidRPr="00283B0D">
        <w:t xml:space="preserve">. Available at: </w:t>
      </w:r>
      <w:hyperlink r:id="rId12" w:tgtFrame="_new" w:history="1">
        <w:r w:rsidRPr="00283B0D">
          <w:rPr>
            <w:rStyle w:val="Hyperlink"/>
          </w:rPr>
          <w:t>https://ico.org.uk/for-organisations/uk-gdpr-guidance-and-resources/data-protection-principles/a-guide-to-the-data-protection-principles/</w:t>
        </w:r>
      </w:hyperlink>
      <w:r w:rsidRPr="00283B0D">
        <w:t xml:space="preserve"> (Accessed: 11 August 2026).</w:t>
      </w:r>
    </w:p>
    <w:p w14:paraId="110E0748" w14:textId="77777777" w:rsidR="003620DE" w:rsidRDefault="003620DE" w:rsidP="008E7E4E">
      <w:pPr>
        <w:ind w:left="720" w:hanging="720"/>
      </w:pPr>
      <w:r w:rsidRPr="003620DE">
        <w:t xml:space="preserve">Karimi, R. </w:t>
      </w:r>
      <w:r w:rsidRPr="003620DE">
        <w:rPr>
          <w:i/>
          <w:iCs/>
        </w:rPr>
        <w:t>et al.</w:t>
      </w:r>
      <w:r w:rsidRPr="003620DE">
        <w:t xml:space="preserve"> (2025) 'Understanding polypharmacy for people receiving home care services: a scoping review of the evidence,' </w:t>
      </w:r>
      <w:r w:rsidRPr="003620DE">
        <w:rPr>
          <w:i/>
          <w:iCs/>
        </w:rPr>
        <w:t xml:space="preserve">Age </w:t>
      </w:r>
      <w:proofErr w:type="gramStart"/>
      <w:r w:rsidRPr="003620DE">
        <w:rPr>
          <w:i/>
          <w:iCs/>
        </w:rPr>
        <w:t>And</w:t>
      </w:r>
      <w:proofErr w:type="gramEnd"/>
      <w:r w:rsidRPr="003620DE">
        <w:rPr>
          <w:i/>
          <w:iCs/>
        </w:rPr>
        <w:t xml:space="preserve"> Ageing</w:t>
      </w:r>
      <w:r w:rsidRPr="003620DE">
        <w:t xml:space="preserve">, 54(2). </w:t>
      </w:r>
      <w:hyperlink r:id="rId13" w:history="1">
        <w:r w:rsidRPr="00CF4A88">
          <w:rPr>
            <w:rStyle w:val="Hyperlink"/>
          </w:rPr>
          <w:t>https://doi.org/10.1093/ageing/afaf031</w:t>
        </w:r>
      </w:hyperlink>
      <w:r w:rsidRPr="003620DE">
        <w:t>.</w:t>
      </w:r>
      <w:r>
        <w:t xml:space="preserve"> </w:t>
      </w:r>
    </w:p>
    <w:p w14:paraId="623A1DD6" w14:textId="77777777" w:rsidR="00A967C2" w:rsidRDefault="00A967C2" w:rsidP="008E7E4E">
      <w:pPr>
        <w:ind w:left="720" w:hanging="720"/>
      </w:pPr>
      <w:r w:rsidRPr="00A967C2">
        <w:t xml:space="preserve">Morris, L. </w:t>
      </w:r>
      <w:r w:rsidRPr="00A967C2">
        <w:rPr>
          <w:i/>
          <w:iCs/>
        </w:rPr>
        <w:t>et al.</w:t>
      </w:r>
      <w:r w:rsidRPr="00A967C2">
        <w:t xml:space="preserve"> (2026) 'A feasibility </w:t>
      </w:r>
      <w:proofErr w:type="spellStart"/>
      <w:r w:rsidRPr="00A967C2">
        <w:t>randomised</w:t>
      </w:r>
      <w:proofErr w:type="spellEnd"/>
      <w:r w:rsidRPr="00A967C2">
        <w:t xml:space="preserve"> controlled trial of Empowered Conversations: training family carers to enhance their relationships and communication with people living with dementia,' </w:t>
      </w:r>
      <w:r w:rsidRPr="00A967C2">
        <w:rPr>
          <w:i/>
          <w:iCs/>
        </w:rPr>
        <w:t>Pilot and Feasibility Studies</w:t>
      </w:r>
      <w:r w:rsidRPr="00A967C2">
        <w:t xml:space="preserve">, 12(1). </w:t>
      </w:r>
      <w:hyperlink r:id="rId14" w:history="1">
        <w:r w:rsidRPr="00CF4A88">
          <w:rPr>
            <w:rStyle w:val="Hyperlink"/>
          </w:rPr>
          <w:t>https://doi.org/10.1186/s40814-026-01799-6</w:t>
        </w:r>
      </w:hyperlink>
      <w:r w:rsidRPr="00A967C2">
        <w:t>.</w:t>
      </w:r>
      <w:r>
        <w:t xml:space="preserve"> </w:t>
      </w:r>
    </w:p>
    <w:p w14:paraId="6A977BEC" w14:textId="77777777" w:rsidR="00283B0D" w:rsidRPr="00283B0D" w:rsidRDefault="00283B0D" w:rsidP="008E7E4E">
      <w:pPr>
        <w:ind w:left="720" w:hanging="720"/>
      </w:pPr>
      <w:r w:rsidRPr="00283B0D">
        <w:t xml:space="preserve">National Data Guardian (2020) </w:t>
      </w:r>
      <w:r w:rsidRPr="00283B0D">
        <w:rPr>
          <w:i/>
          <w:iCs/>
        </w:rPr>
        <w:t>The Caldicott Principles</w:t>
      </w:r>
      <w:r w:rsidRPr="00283B0D">
        <w:t xml:space="preserve">. Available at: </w:t>
      </w:r>
      <w:hyperlink r:id="rId15" w:tgtFrame="_new" w:history="1">
        <w:r w:rsidRPr="00283B0D">
          <w:rPr>
            <w:rStyle w:val="Hyperlink"/>
            <w:bCs/>
          </w:rPr>
          <w:t>https://www.gov.uk/government/publications/the-caldicott-principles</w:t>
        </w:r>
      </w:hyperlink>
      <w:r>
        <w:t xml:space="preserve"> (Accessed: 11 August 2026)</w:t>
      </w:r>
    </w:p>
    <w:p w14:paraId="5079FD20" w14:textId="77777777" w:rsidR="00403E17" w:rsidRDefault="00403E17" w:rsidP="008E7E4E">
      <w:pPr>
        <w:ind w:left="720" w:hanging="720"/>
      </w:pPr>
      <w:r w:rsidRPr="00403E17">
        <w:lastRenderedPageBreak/>
        <w:t xml:space="preserve">NHS England (2026) </w:t>
      </w:r>
      <w:r w:rsidRPr="00403E17">
        <w:rPr>
          <w:i/>
          <w:iCs/>
        </w:rPr>
        <w:t>Records Management Code of Practice</w:t>
      </w:r>
      <w:r w:rsidRPr="00403E17">
        <w:t xml:space="preserve">. Available at: </w:t>
      </w:r>
      <w:hyperlink r:id="rId16" w:tgtFrame="_new" w:history="1">
        <w:r w:rsidRPr="00403E17">
          <w:rPr>
            <w:rStyle w:val="Hyperlink"/>
          </w:rPr>
          <w:t>https://digital.nhs.uk/data-and-information/information-governance/guidance/records-management-code-of-practice</w:t>
        </w:r>
      </w:hyperlink>
      <w:r w:rsidR="00E27F74">
        <w:t xml:space="preserve"> (Accessed: 10</w:t>
      </w:r>
      <w:r w:rsidRPr="00403E17">
        <w:t xml:space="preserve"> August 2026).</w:t>
      </w:r>
    </w:p>
    <w:p w14:paraId="72F0A025" w14:textId="77777777" w:rsidR="00DF7A70" w:rsidRDefault="00E27F74" w:rsidP="008E7E4E">
      <w:pPr>
        <w:ind w:left="720" w:hanging="720"/>
      </w:pPr>
      <w:r w:rsidRPr="00E27F74">
        <w:t xml:space="preserve">National Institute for Health and Care Excellence (NICE) </w:t>
      </w:r>
      <w:r w:rsidR="00B05943" w:rsidRPr="00B05943">
        <w:t xml:space="preserve">(2018) </w:t>
      </w:r>
      <w:r w:rsidR="00B05943" w:rsidRPr="00B05943">
        <w:rPr>
          <w:i/>
          <w:iCs/>
        </w:rPr>
        <w:t>Dementia: assessment, management and support for people living with dementia and their carers – Person-</w:t>
      </w:r>
      <w:proofErr w:type="spellStart"/>
      <w:r w:rsidR="00B05943" w:rsidRPr="00B05943">
        <w:rPr>
          <w:i/>
          <w:iCs/>
        </w:rPr>
        <w:t>centred</w:t>
      </w:r>
      <w:proofErr w:type="spellEnd"/>
      <w:r w:rsidR="00B05943" w:rsidRPr="00B05943">
        <w:rPr>
          <w:i/>
          <w:iCs/>
        </w:rPr>
        <w:t xml:space="preserve"> care</w:t>
      </w:r>
      <w:r w:rsidR="00B05943" w:rsidRPr="00B05943">
        <w:t xml:space="preserve">. NICE guideline NG97. Available at: </w:t>
      </w:r>
      <w:hyperlink r:id="rId17" w:tgtFrame="_new" w:history="1">
        <w:r w:rsidR="00B05943" w:rsidRPr="00B05943">
          <w:rPr>
            <w:rStyle w:val="Hyperlink"/>
          </w:rPr>
          <w:t>https://www.nice.org.uk/guidance/ng97/chapter/Person-centred-care</w:t>
        </w:r>
      </w:hyperlink>
      <w:r>
        <w:t xml:space="preserve"> (Accessed: 10</w:t>
      </w:r>
      <w:r w:rsidR="00B05943" w:rsidRPr="00B05943">
        <w:t xml:space="preserve"> August 2026).</w:t>
      </w:r>
    </w:p>
    <w:p w14:paraId="143C9E62" w14:textId="77777777" w:rsidR="00E27F74" w:rsidRDefault="00E27F74" w:rsidP="008E7E4E">
      <w:pPr>
        <w:ind w:left="720" w:hanging="720"/>
      </w:pPr>
      <w:r w:rsidRPr="00E27F74">
        <w:t xml:space="preserve">National Institute for Health and Care Excellence (NICE) (2017) </w:t>
      </w:r>
      <w:r w:rsidRPr="00E27F74">
        <w:rPr>
          <w:i/>
          <w:iCs/>
        </w:rPr>
        <w:t>Managing medicines for adults receiving social care in the community</w:t>
      </w:r>
      <w:r w:rsidRPr="00E27F74">
        <w:t xml:space="preserve">. NICE guideline NG67. Available at: </w:t>
      </w:r>
      <w:hyperlink r:id="rId18" w:tgtFrame="_new" w:history="1">
        <w:r w:rsidRPr="00E27F74">
          <w:rPr>
            <w:rStyle w:val="Hyperlink"/>
          </w:rPr>
          <w:t>https://www.nice.org.uk/guidance/ng67/chapter/recommendations</w:t>
        </w:r>
      </w:hyperlink>
      <w:r>
        <w:t xml:space="preserve"> (Accessed: 10</w:t>
      </w:r>
      <w:r w:rsidRPr="00E27F74">
        <w:t xml:space="preserve"> August 2026).</w:t>
      </w:r>
    </w:p>
    <w:p w14:paraId="7494E1A7" w14:textId="77777777" w:rsidR="002E2A49" w:rsidRPr="002E2A49" w:rsidRDefault="002E2A49" w:rsidP="002E2A49">
      <w:pPr>
        <w:ind w:left="720" w:hanging="720"/>
      </w:pPr>
      <w:r w:rsidRPr="002E2A49">
        <w:t xml:space="preserve">Zhang, W. </w:t>
      </w:r>
      <w:r w:rsidRPr="002E2A49">
        <w:rPr>
          <w:i/>
          <w:iCs/>
        </w:rPr>
        <w:t>et al.</w:t>
      </w:r>
      <w:r w:rsidRPr="002E2A49">
        <w:t xml:space="preserve"> (2025) 'Supporting care transitions for older people: A practice-based qualitative study in England,' </w:t>
      </w:r>
      <w:r w:rsidRPr="002E2A49">
        <w:rPr>
          <w:i/>
          <w:iCs/>
        </w:rPr>
        <w:t>The British Journal of Social Work</w:t>
      </w:r>
      <w:r w:rsidRPr="002E2A49">
        <w:t xml:space="preserve">, 55(5), pp. 2217–2235. </w:t>
      </w:r>
      <w:hyperlink r:id="rId19" w:history="1">
        <w:r w:rsidRPr="00CF4A88">
          <w:rPr>
            <w:rStyle w:val="Hyperlink"/>
          </w:rPr>
          <w:t>https://doi.org/10.1093/bjsw/bcaf041</w:t>
        </w:r>
      </w:hyperlink>
      <w:r w:rsidRPr="002E2A49">
        <w:t>.</w:t>
      </w:r>
      <w:r>
        <w:t xml:space="preserve"> </w:t>
      </w:r>
    </w:p>
    <w:p w14:paraId="0EA1AB86" w14:textId="77777777" w:rsidR="002E2A49" w:rsidRDefault="002E2A49" w:rsidP="008E7E4E">
      <w:pPr>
        <w:ind w:left="720" w:hanging="720"/>
      </w:pPr>
    </w:p>
    <w:p w14:paraId="6B3DDDDD" w14:textId="77777777" w:rsidR="00403E17" w:rsidRDefault="00403E17" w:rsidP="00EA37DC"/>
    <w:p w14:paraId="3F754B3D" w14:textId="77777777" w:rsidR="00DF7A70" w:rsidRPr="00DF7A70" w:rsidRDefault="00DF7A70" w:rsidP="00EA37DC"/>
    <w:sectPr w:rsidR="00DF7A70" w:rsidRPr="00DF7A70">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2C1E2" w14:textId="77777777" w:rsidR="00C74F03" w:rsidRDefault="00C74F03" w:rsidP="00E22E94">
      <w:pPr>
        <w:spacing w:after="0" w:line="240" w:lineRule="auto"/>
      </w:pPr>
      <w:r>
        <w:separator/>
      </w:r>
    </w:p>
  </w:endnote>
  <w:endnote w:type="continuationSeparator" w:id="0">
    <w:p w14:paraId="7802A363" w14:textId="77777777" w:rsidR="00C74F03" w:rsidRDefault="00C74F03" w:rsidP="00E2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75D93" w14:textId="77777777" w:rsidR="00C74F03" w:rsidRDefault="00C74F03" w:rsidP="00E22E94">
      <w:pPr>
        <w:spacing w:after="0" w:line="240" w:lineRule="auto"/>
      </w:pPr>
      <w:r>
        <w:separator/>
      </w:r>
    </w:p>
  </w:footnote>
  <w:footnote w:type="continuationSeparator" w:id="0">
    <w:p w14:paraId="4F0379CD" w14:textId="77777777" w:rsidR="00C74F03" w:rsidRDefault="00C74F03" w:rsidP="00E22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345815"/>
      <w:docPartObj>
        <w:docPartGallery w:val="Page Numbers (Top of Page)"/>
        <w:docPartUnique/>
      </w:docPartObj>
    </w:sdtPr>
    <w:sdtEndPr>
      <w:rPr>
        <w:noProof/>
      </w:rPr>
    </w:sdtEndPr>
    <w:sdtContent>
      <w:p w14:paraId="1DA13381" w14:textId="77777777" w:rsidR="00E22E94" w:rsidRDefault="00E22E94">
        <w:pPr>
          <w:pStyle w:val="Header"/>
          <w:jc w:val="right"/>
        </w:pPr>
        <w:r>
          <w:fldChar w:fldCharType="begin"/>
        </w:r>
        <w:r>
          <w:instrText xml:space="preserve"> PAGE   \* MERGEFORMAT </w:instrText>
        </w:r>
        <w:r>
          <w:fldChar w:fldCharType="separate"/>
        </w:r>
        <w:r w:rsidR="002E2A49">
          <w:rPr>
            <w:noProof/>
          </w:rPr>
          <w:t>7</w:t>
        </w:r>
        <w:r>
          <w:rPr>
            <w:noProof/>
          </w:rPr>
          <w:fldChar w:fldCharType="end"/>
        </w:r>
      </w:p>
    </w:sdtContent>
  </w:sdt>
  <w:p w14:paraId="4C41AAEA" w14:textId="77777777" w:rsidR="00E22E94" w:rsidRDefault="00E22E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rAwN7S0sLA0NbawNDJW0lEKTi0uzszPAykwrAUAGbnEpywAAAA="/>
  </w:docVars>
  <w:rsids>
    <w:rsidRoot w:val="00DF7A70"/>
    <w:rsid w:val="0006788F"/>
    <w:rsid w:val="00092AEA"/>
    <w:rsid w:val="00164CE6"/>
    <w:rsid w:val="00272D7D"/>
    <w:rsid w:val="00283B0D"/>
    <w:rsid w:val="002E2A49"/>
    <w:rsid w:val="002E6190"/>
    <w:rsid w:val="003620DE"/>
    <w:rsid w:val="00403E17"/>
    <w:rsid w:val="004433C8"/>
    <w:rsid w:val="0048759C"/>
    <w:rsid w:val="0049710B"/>
    <w:rsid w:val="004D49C3"/>
    <w:rsid w:val="005B79F8"/>
    <w:rsid w:val="0061061D"/>
    <w:rsid w:val="00644B72"/>
    <w:rsid w:val="00653E69"/>
    <w:rsid w:val="0066290D"/>
    <w:rsid w:val="00677761"/>
    <w:rsid w:val="0069164E"/>
    <w:rsid w:val="00712B9F"/>
    <w:rsid w:val="00755130"/>
    <w:rsid w:val="008E7E4E"/>
    <w:rsid w:val="00945F77"/>
    <w:rsid w:val="00972A7A"/>
    <w:rsid w:val="009D2800"/>
    <w:rsid w:val="00A967C2"/>
    <w:rsid w:val="00B05943"/>
    <w:rsid w:val="00B25F73"/>
    <w:rsid w:val="00B51F9F"/>
    <w:rsid w:val="00B55C21"/>
    <w:rsid w:val="00B639F4"/>
    <w:rsid w:val="00B743E0"/>
    <w:rsid w:val="00B8081C"/>
    <w:rsid w:val="00B956BD"/>
    <w:rsid w:val="00C74F03"/>
    <w:rsid w:val="00DA48B8"/>
    <w:rsid w:val="00DF7A70"/>
    <w:rsid w:val="00E22E94"/>
    <w:rsid w:val="00E27F74"/>
    <w:rsid w:val="00EA37DC"/>
    <w:rsid w:val="00F338F0"/>
    <w:rsid w:val="00F71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ED85"/>
  <w15:chartTrackingRefBased/>
  <w15:docId w15:val="{CBA0BC26-ED02-4CAD-93EC-DC30F157D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7DC"/>
    <w:pPr>
      <w:spacing w:line="360" w:lineRule="auto"/>
      <w:jc w:val="both"/>
    </w:pPr>
    <w:rPr>
      <w:rFonts w:ascii="Arial" w:hAnsi="Arial" w:cs="Arial"/>
    </w:rPr>
  </w:style>
  <w:style w:type="paragraph" w:styleId="Heading1">
    <w:name w:val="heading 1"/>
    <w:basedOn w:val="Normal"/>
    <w:next w:val="Normal"/>
    <w:link w:val="Heading1Char"/>
    <w:uiPriority w:val="9"/>
    <w:qFormat/>
    <w:rsid w:val="00DF7A70"/>
    <w:pPr>
      <w:keepNext/>
      <w:keepLines/>
      <w:spacing w:before="240" w:after="0"/>
      <w:jc w:val="center"/>
      <w:outlineLvl w:val="0"/>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A70"/>
    <w:rPr>
      <w:rFonts w:ascii="Arial" w:eastAsiaTheme="majorEastAsia" w:hAnsi="Arial" w:cs="Arial"/>
      <w:b/>
    </w:rPr>
  </w:style>
  <w:style w:type="character" w:styleId="Hyperlink">
    <w:name w:val="Hyperlink"/>
    <w:basedOn w:val="DefaultParagraphFont"/>
    <w:uiPriority w:val="99"/>
    <w:unhideWhenUsed/>
    <w:rsid w:val="00B05943"/>
    <w:rPr>
      <w:color w:val="0563C1" w:themeColor="hyperlink"/>
      <w:u w:val="single"/>
    </w:rPr>
  </w:style>
  <w:style w:type="paragraph" w:styleId="NormalWeb">
    <w:name w:val="Normal (Web)"/>
    <w:basedOn w:val="Normal"/>
    <w:uiPriority w:val="99"/>
    <w:unhideWhenUsed/>
    <w:rsid w:val="00A967C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url">
    <w:name w:val="url"/>
    <w:basedOn w:val="DefaultParagraphFont"/>
    <w:rsid w:val="00A967C2"/>
  </w:style>
  <w:style w:type="paragraph" w:styleId="TOCHeading">
    <w:name w:val="TOC Heading"/>
    <w:basedOn w:val="Heading1"/>
    <w:next w:val="Normal"/>
    <w:uiPriority w:val="39"/>
    <w:unhideWhenUsed/>
    <w:qFormat/>
    <w:rsid w:val="00E22E94"/>
    <w:pPr>
      <w:spacing w:line="259" w:lineRule="auto"/>
      <w:jc w:val="left"/>
      <w:outlineLvl w:val="9"/>
    </w:pPr>
    <w:rPr>
      <w:rFonts w:asciiTheme="majorHAnsi"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22E94"/>
    <w:pPr>
      <w:spacing w:after="100"/>
    </w:pPr>
  </w:style>
  <w:style w:type="paragraph" w:styleId="Header">
    <w:name w:val="header"/>
    <w:basedOn w:val="Normal"/>
    <w:link w:val="HeaderChar"/>
    <w:uiPriority w:val="99"/>
    <w:unhideWhenUsed/>
    <w:rsid w:val="00E22E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2E94"/>
    <w:rPr>
      <w:rFonts w:ascii="Arial" w:hAnsi="Arial" w:cs="Arial"/>
    </w:rPr>
  </w:style>
  <w:style w:type="paragraph" w:styleId="Footer">
    <w:name w:val="footer"/>
    <w:basedOn w:val="Normal"/>
    <w:link w:val="FooterChar"/>
    <w:uiPriority w:val="99"/>
    <w:unhideWhenUsed/>
    <w:rsid w:val="00E22E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E94"/>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1625">
      <w:bodyDiv w:val="1"/>
      <w:marLeft w:val="0"/>
      <w:marRight w:val="0"/>
      <w:marTop w:val="0"/>
      <w:marBottom w:val="0"/>
      <w:divBdr>
        <w:top w:val="none" w:sz="0" w:space="0" w:color="auto"/>
        <w:left w:val="none" w:sz="0" w:space="0" w:color="auto"/>
        <w:bottom w:val="none" w:sz="0" w:space="0" w:color="auto"/>
        <w:right w:val="none" w:sz="0" w:space="0" w:color="auto"/>
      </w:divBdr>
      <w:divsChild>
        <w:div w:id="29379125">
          <w:marLeft w:val="-720"/>
          <w:marRight w:val="0"/>
          <w:marTop w:val="0"/>
          <w:marBottom w:val="0"/>
          <w:divBdr>
            <w:top w:val="none" w:sz="0" w:space="0" w:color="auto"/>
            <w:left w:val="none" w:sz="0" w:space="0" w:color="auto"/>
            <w:bottom w:val="none" w:sz="0" w:space="0" w:color="auto"/>
            <w:right w:val="none" w:sz="0" w:space="0" w:color="auto"/>
          </w:divBdr>
        </w:div>
      </w:divsChild>
    </w:div>
    <w:div w:id="76707166">
      <w:bodyDiv w:val="1"/>
      <w:marLeft w:val="0"/>
      <w:marRight w:val="0"/>
      <w:marTop w:val="0"/>
      <w:marBottom w:val="0"/>
      <w:divBdr>
        <w:top w:val="none" w:sz="0" w:space="0" w:color="auto"/>
        <w:left w:val="none" w:sz="0" w:space="0" w:color="auto"/>
        <w:bottom w:val="none" w:sz="0" w:space="0" w:color="auto"/>
        <w:right w:val="none" w:sz="0" w:space="0" w:color="auto"/>
      </w:divBdr>
      <w:divsChild>
        <w:div w:id="1895198825">
          <w:marLeft w:val="-720"/>
          <w:marRight w:val="0"/>
          <w:marTop w:val="0"/>
          <w:marBottom w:val="0"/>
          <w:divBdr>
            <w:top w:val="none" w:sz="0" w:space="0" w:color="auto"/>
            <w:left w:val="none" w:sz="0" w:space="0" w:color="auto"/>
            <w:bottom w:val="none" w:sz="0" w:space="0" w:color="auto"/>
            <w:right w:val="none" w:sz="0" w:space="0" w:color="auto"/>
          </w:divBdr>
        </w:div>
      </w:divsChild>
    </w:div>
    <w:div w:id="485784030">
      <w:bodyDiv w:val="1"/>
      <w:marLeft w:val="0"/>
      <w:marRight w:val="0"/>
      <w:marTop w:val="0"/>
      <w:marBottom w:val="0"/>
      <w:divBdr>
        <w:top w:val="none" w:sz="0" w:space="0" w:color="auto"/>
        <w:left w:val="none" w:sz="0" w:space="0" w:color="auto"/>
        <w:bottom w:val="none" w:sz="0" w:space="0" w:color="auto"/>
        <w:right w:val="none" w:sz="0" w:space="0" w:color="auto"/>
      </w:divBdr>
      <w:divsChild>
        <w:div w:id="648948289">
          <w:marLeft w:val="-720"/>
          <w:marRight w:val="0"/>
          <w:marTop w:val="0"/>
          <w:marBottom w:val="0"/>
          <w:divBdr>
            <w:top w:val="none" w:sz="0" w:space="0" w:color="auto"/>
            <w:left w:val="none" w:sz="0" w:space="0" w:color="auto"/>
            <w:bottom w:val="none" w:sz="0" w:space="0" w:color="auto"/>
            <w:right w:val="none" w:sz="0" w:space="0" w:color="auto"/>
          </w:divBdr>
        </w:div>
      </w:divsChild>
    </w:div>
    <w:div w:id="553930245">
      <w:bodyDiv w:val="1"/>
      <w:marLeft w:val="0"/>
      <w:marRight w:val="0"/>
      <w:marTop w:val="0"/>
      <w:marBottom w:val="0"/>
      <w:divBdr>
        <w:top w:val="none" w:sz="0" w:space="0" w:color="auto"/>
        <w:left w:val="none" w:sz="0" w:space="0" w:color="auto"/>
        <w:bottom w:val="none" w:sz="0" w:space="0" w:color="auto"/>
        <w:right w:val="none" w:sz="0" w:space="0" w:color="auto"/>
      </w:divBdr>
      <w:divsChild>
        <w:div w:id="1118840525">
          <w:marLeft w:val="-720"/>
          <w:marRight w:val="0"/>
          <w:marTop w:val="0"/>
          <w:marBottom w:val="0"/>
          <w:divBdr>
            <w:top w:val="none" w:sz="0" w:space="0" w:color="auto"/>
            <w:left w:val="none" w:sz="0" w:space="0" w:color="auto"/>
            <w:bottom w:val="none" w:sz="0" w:space="0" w:color="auto"/>
            <w:right w:val="none" w:sz="0" w:space="0" w:color="auto"/>
          </w:divBdr>
        </w:div>
      </w:divsChild>
    </w:div>
    <w:div w:id="556824353">
      <w:bodyDiv w:val="1"/>
      <w:marLeft w:val="0"/>
      <w:marRight w:val="0"/>
      <w:marTop w:val="0"/>
      <w:marBottom w:val="0"/>
      <w:divBdr>
        <w:top w:val="none" w:sz="0" w:space="0" w:color="auto"/>
        <w:left w:val="none" w:sz="0" w:space="0" w:color="auto"/>
        <w:bottom w:val="none" w:sz="0" w:space="0" w:color="auto"/>
        <w:right w:val="none" w:sz="0" w:space="0" w:color="auto"/>
      </w:divBdr>
      <w:divsChild>
        <w:div w:id="1626886180">
          <w:marLeft w:val="-720"/>
          <w:marRight w:val="0"/>
          <w:marTop w:val="0"/>
          <w:marBottom w:val="0"/>
          <w:divBdr>
            <w:top w:val="none" w:sz="0" w:space="0" w:color="auto"/>
            <w:left w:val="none" w:sz="0" w:space="0" w:color="auto"/>
            <w:bottom w:val="none" w:sz="0" w:space="0" w:color="auto"/>
            <w:right w:val="none" w:sz="0" w:space="0" w:color="auto"/>
          </w:divBdr>
        </w:div>
      </w:divsChild>
    </w:div>
    <w:div w:id="1324971799">
      <w:bodyDiv w:val="1"/>
      <w:marLeft w:val="0"/>
      <w:marRight w:val="0"/>
      <w:marTop w:val="0"/>
      <w:marBottom w:val="0"/>
      <w:divBdr>
        <w:top w:val="none" w:sz="0" w:space="0" w:color="auto"/>
        <w:left w:val="none" w:sz="0" w:space="0" w:color="auto"/>
        <w:bottom w:val="none" w:sz="0" w:space="0" w:color="auto"/>
        <w:right w:val="none" w:sz="0" w:space="0" w:color="auto"/>
      </w:divBdr>
      <w:divsChild>
        <w:div w:id="246310434">
          <w:marLeft w:val="-720"/>
          <w:marRight w:val="0"/>
          <w:marTop w:val="0"/>
          <w:marBottom w:val="0"/>
          <w:divBdr>
            <w:top w:val="none" w:sz="0" w:space="0" w:color="auto"/>
            <w:left w:val="none" w:sz="0" w:space="0" w:color="auto"/>
            <w:bottom w:val="none" w:sz="0" w:space="0" w:color="auto"/>
            <w:right w:val="none" w:sz="0" w:space="0" w:color="auto"/>
          </w:divBdr>
        </w:div>
      </w:divsChild>
    </w:div>
    <w:div w:id="1492217616">
      <w:bodyDiv w:val="1"/>
      <w:marLeft w:val="0"/>
      <w:marRight w:val="0"/>
      <w:marTop w:val="0"/>
      <w:marBottom w:val="0"/>
      <w:divBdr>
        <w:top w:val="none" w:sz="0" w:space="0" w:color="auto"/>
        <w:left w:val="none" w:sz="0" w:space="0" w:color="auto"/>
        <w:bottom w:val="none" w:sz="0" w:space="0" w:color="auto"/>
        <w:right w:val="none" w:sz="0" w:space="0" w:color="auto"/>
      </w:divBdr>
      <w:divsChild>
        <w:div w:id="236862907">
          <w:marLeft w:val="-720"/>
          <w:marRight w:val="0"/>
          <w:marTop w:val="0"/>
          <w:marBottom w:val="0"/>
          <w:divBdr>
            <w:top w:val="none" w:sz="0" w:space="0" w:color="auto"/>
            <w:left w:val="none" w:sz="0" w:space="0" w:color="auto"/>
            <w:bottom w:val="none" w:sz="0" w:space="0" w:color="auto"/>
            <w:right w:val="none" w:sz="0" w:space="0" w:color="auto"/>
          </w:divBdr>
        </w:div>
      </w:divsChild>
    </w:div>
    <w:div w:id="1555316103">
      <w:bodyDiv w:val="1"/>
      <w:marLeft w:val="0"/>
      <w:marRight w:val="0"/>
      <w:marTop w:val="0"/>
      <w:marBottom w:val="0"/>
      <w:divBdr>
        <w:top w:val="none" w:sz="0" w:space="0" w:color="auto"/>
        <w:left w:val="none" w:sz="0" w:space="0" w:color="auto"/>
        <w:bottom w:val="none" w:sz="0" w:space="0" w:color="auto"/>
        <w:right w:val="none" w:sz="0" w:space="0" w:color="auto"/>
      </w:divBdr>
      <w:divsChild>
        <w:div w:id="209620081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care-and-support-statutory-guidance?utm_source=chatgpt.com" TargetMode="External"/><Relationship Id="rId13" Type="http://schemas.openxmlformats.org/officeDocument/2006/relationships/hyperlink" Target="https://doi.org/10.1093/ageing/afaf031" TargetMode="External"/><Relationship Id="rId18" Type="http://schemas.openxmlformats.org/officeDocument/2006/relationships/hyperlink" Target="https://www.nice.org.uk/guidance/ng67/chapter/recommendations?utm_source=chatgp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qc.org.uk/guidance-regulation/providers/regulations-service-providers-and-managers/health-social-care-act/regulation-17" TargetMode="External"/><Relationship Id="rId12" Type="http://schemas.openxmlformats.org/officeDocument/2006/relationships/hyperlink" Target="https://ico.org.uk/for-organisations/uk-gdpr-guidance-and-resources/data-protection-principles/a-guide-to-the-data-protection-principles/?utm_source=chatgpt.com" TargetMode="External"/><Relationship Id="rId17" Type="http://schemas.openxmlformats.org/officeDocument/2006/relationships/hyperlink" Target="https://www.nice.org.uk/guidance/ng97/chapter/Person-centred-care?utm_source=chatgpt.com" TargetMode="External"/><Relationship Id="rId2" Type="http://schemas.openxmlformats.org/officeDocument/2006/relationships/styles" Target="styles.xml"/><Relationship Id="rId16" Type="http://schemas.openxmlformats.org/officeDocument/2006/relationships/hyperlink" Target="https://digital.nhs.uk/data-and-information/information-governance/guidance/records-management-code-of-practice?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gov.uk/government/publications/the-caldicott-principles?utm_source=chatgpt.com" TargetMode="External"/><Relationship Id="rId10" Type="http://schemas.openxmlformats.org/officeDocument/2006/relationships/hyperlink" Target="https://www.legislation.gov.uk/ukpga/2018/12/contents" TargetMode="External"/><Relationship Id="rId19" Type="http://schemas.openxmlformats.org/officeDocument/2006/relationships/hyperlink" Target="https://doi.org/10.1093/bjsw/bcaf041" TargetMode="External"/><Relationship Id="rId4" Type="http://schemas.openxmlformats.org/officeDocument/2006/relationships/webSettings" Target="webSettings.xml"/><Relationship Id="rId9" Type="http://schemas.openxmlformats.org/officeDocument/2006/relationships/hyperlink" Target="https://doi.org/10.1186/s12877-024-05626-6" TargetMode="External"/><Relationship Id="rId14" Type="http://schemas.openxmlformats.org/officeDocument/2006/relationships/hyperlink" Target="https://doi.org/10.1186/s40814-026-01799-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DA3F6-23D2-40D4-90D9-C01153374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2342</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Haruna Olalekan Falola</cp:lastModifiedBy>
  <cp:revision>2</cp:revision>
  <dcterms:created xsi:type="dcterms:W3CDTF">2026-08-15T09:49:00Z</dcterms:created>
  <dcterms:modified xsi:type="dcterms:W3CDTF">2026-08-15T09:49:00Z</dcterms:modified>
</cp:coreProperties>
</file>