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546E4C" w14:textId="77777777" w:rsidR="008047A4" w:rsidRDefault="008047A4" w:rsidP="008047A4">
      <w:pPr>
        <w:jc w:val="center"/>
      </w:pPr>
    </w:p>
    <w:p w14:paraId="69184042" w14:textId="77777777" w:rsidR="008047A4" w:rsidRDefault="008047A4" w:rsidP="008047A4">
      <w:pPr>
        <w:jc w:val="center"/>
      </w:pPr>
    </w:p>
    <w:p w14:paraId="62661E55" w14:textId="77777777" w:rsidR="008047A4" w:rsidRDefault="008047A4" w:rsidP="008047A4">
      <w:pPr>
        <w:jc w:val="center"/>
      </w:pPr>
    </w:p>
    <w:p w14:paraId="02A69479" w14:textId="77777777" w:rsidR="008047A4" w:rsidRDefault="008047A4" w:rsidP="008047A4">
      <w:pPr>
        <w:jc w:val="center"/>
      </w:pPr>
    </w:p>
    <w:p w14:paraId="4B9AA785" w14:textId="77777777" w:rsidR="008047A4" w:rsidRDefault="008047A4" w:rsidP="008047A4">
      <w:pPr>
        <w:jc w:val="center"/>
      </w:pPr>
    </w:p>
    <w:p w14:paraId="071970B0" w14:textId="77777777" w:rsidR="008047A4" w:rsidRDefault="008047A4" w:rsidP="008047A4">
      <w:pPr>
        <w:jc w:val="center"/>
      </w:pPr>
    </w:p>
    <w:p w14:paraId="7604D279" w14:textId="77777777" w:rsidR="008047A4" w:rsidRDefault="008047A4" w:rsidP="008047A4">
      <w:pPr>
        <w:jc w:val="center"/>
      </w:pPr>
    </w:p>
    <w:p w14:paraId="320B5130" w14:textId="77777777" w:rsidR="008047A4" w:rsidRDefault="008047A4" w:rsidP="008047A4">
      <w:pPr>
        <w:jc w:val="center"/>
      </w:pPr>
    </w:p>
    <w:p w14:paraId="77366132" w14:textId="77777777" w:rsidR="008047A4" w:rsidRDefault="008047A4" w:rsidP="008047A4">
      <w:pPr>
        <w:jc w:val="center"/>
      </w:pPr>
    </w:p>
    <w:p w14:paraId="7C3BB54B" w14:textId="3EC312B5" w:rsidR="008047A4" w:rsidRPr="00296497" w:rsidRDefault="008047A4" w:rsidP="008047A4">
      <w:pPr>
        <w:jc w:val="center"/>
      </w:pPr>
      <w:r w:rsidRPr="00296497">
        <w:t>Assessment 1</w:t>
      </w:r>
    </w:p>
    <w:p w14:paraId="19A70173" w14:textId="77777777" w:rsidR="008047A4" w:rsidRPr="00296497" w:rsidRDefault="008047A4" w:rsidP="008047A4">
      <w:pPr>
        <w:jc w:val="center"/>
      </w:pPr>
      <w:r w:rsidRPr="00296497">
        <w:t>Community Engagement Process in Projects</w:t>
      </w:r>
    </w:p>
    <w:p w14:paraId="28C1E91C" w14:textId="77777777" w:rsidR="00554515" w:rsidRDefault="00554515" w:rsidP="00554515">
      <w:pPr>
        <w:jc w:val="center"/>
        <w:rPr>
          <w:szCs w:val="22"/>
        </w:rPr>
      </w:pPr>
      <w:r>
        <w:t xml:space="preserve">Roxana Mihaela Baciu   </w:t>
      </w:r>
    </w:p>
    <w:p w14:paraId="32189583" w14:textId="77777777" w:rsidR="00554515" w:rsidRDefault="00554515" w:rsidP="00554515">
      <w:pPr>
        <w:jc w:val="center"/>
      </w:pPr>
      <w:r>
        <w:t>University of Wales Trinity Saint David</w:t>
      </w:r>
    </w:p>
    <w:p w14:paraId="5C35FDD9" w14:textId="77777777" w:rsidR="00EA7352" w:rsidRPr="00296497" w:rsidRDefault="00EA7352" w:rsidP="00145A07">
      <w:r w:rsidRPr="00296497">
        <w:br w:type="page"/>
      </w:r>
    </w:p>
    <w:p w14:paraId="1E58468D" w14:textId="77777777" w:rsidR="00EA7352" w:rsidRPr="00296497" w:rsidRDefault="00EA7352" w:rsidP="008047A4"/>
    <w:p w14:paraId="3B974519" w14:textId="77777777" w:rsidR="00EA7352" w:rsidRPr="00296497" w:rsidRDefault="00EA7352" w:rsidP="008047A4"/>
    <w:p w14:paraId="35429A90" w14:textId="77777777" w:rsidR="009B0341" w:rsidRPr="00296497" w:rsidRDefault="00AD2050" w:rsidP="008047A4">
      <w:r w:rsidRPr="00296497">
        <w:rPr>
          <w:b/>
        </w:rPr>
        <w:t>Introduction</w:t>
      </w:r>
    </w:p>
    <w:p w14:paraId="57304EEB" w14:textId="77777777" w:rsidR="00296497" w:rsidRDefault="00296497" w:rsidP="00296497">
      <w:pPr>
        <w:ind w:firstLine="720"/>
      </w:pPr>
      <w:r>
        <w:t>According to the report presented by the Commonwealth Federation (2015), the Commonwealth Games in Birmingham are organised by considering the guiding principle to inspire and become impactful through actions, narratives, and decisions. The arrangement of the commonwealth games was carried out to maximise the effectiveness, as well as efficiency for delivering a world-class event with community relevance. The commonwealth games were considered one of the fantastic assets of Birmingham with reference to its diversity, as the city is the youngest city within the entire of Europe, which mirrored the youth of the commonwealth.  Birmingham utilised the games for bringing people of different communities together and allowing them to celebrate business, sports, and culture, on an international level (Commonwealth Sports, 2022a). Commonwealth Birmingham included a range of programs and activities for promoting community collaboration, participation, and inclusion. Commonwealth Birmingham assured community engagement, which is a method of working in collaboration with, and through different groups of individuals affiliated by special interest, geographical proximity, or other situations for addressing various issues, or for working towards a shared goal.</w:t>
      </w:r>
    </w:p>
    <w:p w14:paraId="73506795" w14:textId="77777777" w:rsidR="00AD2050" w:rsidRPr="00296497" w:rsidRDefault="00296497" w:rsidP="00296497">
      <w:r>
        <w:t xml:space="preserve">           This report aims to discuss the description of the Commonwealth Games, Birmingham, community engagement principles and standards, participation of stakeholders, and the measures taken for promoting community participation in the commonwealths games in Birmingham.</w:t>
      </w:r>
    </w:p>
    <w:p w14:paraId="6EA2B3A4" w14:textId="77777777" w:rsidR="00296497" w:rsidRPr="00296497" w:rsidRDefault="00296497" w:rsidP="008047A4"/>
    <w:p w14:paraId="72D285CC" w14:textId="77777777" w:rsidR="00296497" w:rsidRDefault="00296497" w:rsidP="008047A4"/>
    <w:p w14:paraId="1163E09E" w14:textId="77777777" w:rsidR="00296497" w:rsidRPr="00296497" w:rsidRDefault="00296497" w:rsidP="008047A4"/>
    <w:p w14:paraId="3FACCA77" w14:textId="77777777" w:rsidR="00CB32CC" w:rsidRPr="00296497" w:rsidRDefault="00CB32CC" w:rsidP="008047A4">
      <w:pPr>
        <w:rPr>
          <w:b/>
          <w:i/>
        </w:rPr>
      </w:pPr>
      <w:r w:rsidRPr="00296497">
        <w:rPr>
          <w:b/>
          <w:i/>
        </w:rPr>
        <w:lastRenderedPageBreak/>
        <w:t>Description of Project</w:t>
      </w:r>
    </w:p>
    <w:p w14:paraId="62E0127E" w14:textId="77777777" w:rsidR="0034201B" w:rsidRDefault="00296497" w:rsidP="008047A4">
      <w:r w:rsidRPr="00296497">
        <w:t xml:space="preserve">           Within July, and August 2022, the 22nd commonwealth games were hosted in Birmingham, and it was the largest multi-sports event held in England in almost a decade. According to the report published by Department for Digital, Culture, Media, and Sports (2022), the event features thousands of athletes and more than 1.5 million spectators. The venue of Birmingham was specifically selected for the event, because it is the house of more than 180 nationalities, and is a home game for all of these nations.  Approximately £6 million were invested by the Birmingham City Council within the fund arranged for Commonwealth Games Community, and about £2 million were invested in a scheme referred to as ‘Celebrating Communities’ (Department for Digital, Culture, Media, and Sports, 2022). The ‘Celebrating Communities’ scheme assures that all of the 69 councils embarked, on and marked the games, increased the engagement of local communities, and celebrates the association of the local diverse history of Birmingham to the Commonwealth.</w:t>
      </w:r>
    </w:p>
    <w:p w14:paraId="49324EC1" w14:textId="77777777" w:rsidR="00296497" w:rsidRPr="00296497" w:rsidRDefault="00296497" w:rsidP="008047A4"/>
    <w:p w14:paraId="2A0419EE" w14:textId="77777777" w:rsidR="00A67330" w:rsidRPr="00296497" w:rsidRDefault="00CB32CC" w:rsidP="00A67330">
      <w:pPr>
        <w:rPr>
          <w:b/>
          <w:i/>
        </w:rPr>
      </w:pPr>
      <w:r w:rsidRPr="00296497">
        <w:rPr>
          <w:b/>
          <w:i/>
        </w:rPr>
        <w:t>Community Engagement Principles</w:t>
      </w:r>
      <w:r w:rsidR="008038CB" w:rsidRPr="00296497">
        <w:rPr>
          <w:b/>
          <w:i/>
        </w:rPr>
        <w:t xml:space="preserve"> and Standards in Birmingham Commonwealth Games</w:t>
      </w:r>
    </w:p>
    <w:p w14:paraId="7A6394CD" w14:textId="77777777" w:rsidR="00296497" w:rsidRPr="00296497" w:rsidRDefault="00296497" w:rsidP="00296497">
      <w:pPr>
        <w:ind w:firstLine="720"/>
      </w:pPr>
      <w:r>
        <w:t>Community engagement is considered a powerful vehicle to bring about environmental as well as behavioural changes for community members, and ultimately, the entire community (Epstein et al., 2018). Community engagement involved coalitions, and partnerships for assisting the mobilising, and effective utilisation of available resources, influencing relationships, creating partnerships among partners, and serving as a catalyst for changing practices, policies, and programs (Gelmon, Holland, and Spring, 2018). The community engagement process is based on several core principles and standards of community engagement. The principles and standards of community engagement with reference to the Birmingham Commonwealth games are as follows.</w:t>
      </w:r>
    </w:p>
    <w:p w14:paraId="59507867" w14:textId="77777777" w:rsidR="00A67330" w:rsidRPr="00296497" w:rsidRDefault="00632540" w:rsidP="00A67330">
      <w:pPr>
        <w:rPr>
          <w:i/>
        </w:rPr>
      </w:pPr>
      <w:r w:rsidRPr="00296497">
        <w:rPr>
          <w:i/>
        </w:rPr>
        <w:lastRenderedPageBreak/>
        <w:t>Careful Preparation and Planning</w:t>
      </w:r>
    </w:p>
    <w:p w14:paraId="7F27F20A" w14:textId="77777777" w:rsidR="00425BFE" w:rsidRDefault="00632540" w:rsidP="00296497">
      <w:r w:rsidRPr="00296497">
        <w:tab/>
      </w:r>
      <w:r w:rsidR="00296497" w:rsidRPr="00296497">
        <w:t>Inclusive and adequate planning assures that the design, organisation, as well as convening of the process, fulfils the demands as well as participants’ needs (Chersulich Tomino, Perić, and Wise, 2020). The Birmingham Commonwealth games 2022 was backed by approximately £778 million of public funding, for delivering world-class sports as well as venues, and for generating a number of benefits for the local population (Department for Digital, Culture, Media, and Sports, 2022). The Commonwealth Games in Birmingham 2022 were arranged by preparing for the creation of world-class venues, for not only attract the current sports teams, and visitors, but would also contribute to bringing future sporting events in Birmingham (Commonwealth Sports, 2022a). The preparation and planning carried out for the Commonwealth games in Birmingham included a substantial investment and improvement to the venues of the games, providing employment opportunities to the local population. The local infrastructure of the city was also improved for attracting visitors, and it was assured that all of the communities received equal opportunities to invest, and enjoy the event (Commonwealth Sports, 2022a). Careful planning also assured the accessibility of the local population and communities towards inclusive sports activities.</w:t>
      </w:r>
    </w:p>
    <w:p w14:paraId="3A7D55AE" w14:textId="77777777" w:rsidR="00296497" w:rsidRPr="00296497" w:rsidRDefault="00296497" w:rsidP="00296497"/>
    <w:p w14:paraId="754CCB5A" w14:textId="77777777" w:rsidR="00632540" w:rsidRPr="00296497" w:rsidRDefault="00632540" w:rsidP="00A67330">
      <w:pPr>
        <w:rPr>
          <w:i/>
        </w:rPr>
      </w:pPr>
      <w:r w:rsidRPr="00296497">
        <w:rPr>
          <w:i/>
        </w:rPr>
        <w:t>Demographic Diversity and Inclusion</w:t>
      </w:r>
    </w:p>
    <w:p w14:paraId="1E221F0D" w14:textId="77777777" w:rsidR="00296497" w:rsidRDefault="00296497" w:rsidP="00A67330">
      <w:r>
        <w:rPr>
          <w:rStyle w:val="Emphasis"/>
          <w:color w:val="0E101A"/>
        </w:rPr>
        <w:t>           </w:t>
      </w:r>
      <w:r>
        <w:t>With reference to this standard of community engagement, equitability incorporates individuals from diverse communities, who have different ideas, voices, and information for accomplishing the groundwork for acquiring quality outcomes</w:t>
      </w:r>
      <w:r w:rsidR="00E43A6D">
        <w:t xml:space="preserve"> </w:t>
      </w:r>
      <w:r w:rsidR="00E43A6D" w:rsidRPr="00296497">
        <w:t>(Chersulic</w:t>
      </w:r>
      <w:r w:rsidR="00E43A6D">
        <w:t>h Tomino, Perić, and Wise, 2020)</w:t>
      </w:r>
      <w:r>
        <w:t xml:space="preserve">. The Community Engagement Team of Birmingham in partnership with the community partner, the Legacy Centre of Excellence hosted a special event for celebrating as </w:t>
      </w:r>
      <w:r>
        <w:lastRenderedPageBreak/>
        <w:t xml:space="preserve">well as commemorating the Windrush Generation as well as its descendants (Commonwealth Sports, 2022b). The community engagement team invited the stakeholders of the community for continuing the events within the nostalgic settings for exploration of the history of Windrush. The special guests from all over the region were invited for sharing their experiences, as well as stories, and took the audiences towards the journey starting from past to present (Commonwealth Sports, 2022b). The selected themes were sports, culture, history, and the impacts of these factors on generations in Britain. The event was open for all of the communities, for participating, and connect within a shared history. </w:t>
      </w:r>
    </w:p>
    <w:p w14:paraId="1E0E0A2B" w14:textId="77777777" w:rsidR="00296497" w:rsidRPr="00296497" w:rsidRDefault="00296497" w:rsidP="00A67330">
      <w:pPr>
        <w:rPr>
          <w:i/>
        </w:rPr>
      </w:pPr>
    </w:p>
    <w:p w14:paraId="1BA8E24C" w14:textId="77777777" w:rsidR="00632540" w:rsidRPr="00296497" w:rsidRDefault="00632540" w:rsidP="00A67330">
      <w:pPr>
        <w:rPr>
          <w:i/>
        </w:rPr>
      </w:pPr>
      <w:r w:rsidRPr="00296497">
        <w:rPr>
          <w:i/>
        </w:rPr>
        <w:t>Shared Purpose and Collaboration</w:t>
      </w:r>
    </w:p>
    <w:p w14:paraId="38FE4CCF" w14:textId="77777777" w:rsidR="00396581" w:rsidRPr="00296497" w:rsidRDefault="00296497" w:rsidP="00A67330">
      <w:r w:rsidRPr="00296497">
        <w:t xml:space="preserve">           This standard of community engagement believes in the provision of support, as well as encouragement to the community members, community institutions, government, and other stakeholders for working together and advancing the common good (Grohs, Wieser, and Pristach, 2020). With reference to Birmingham Commonwealth 2022, the Birmingham city council worked with more than 425 organisations for planning and delivering the projects of sports, culture, and community celebrations (Commonwealth Sports, 2022b). The Birmingham City Council further assured that all of the events arranged included the representatives of the communities.</w:t>
      </w:r>
    </w:p>
    <w:p w14:paraId="0ED57AD1" w14:textId="77777777" w:rsidR="00296497" w:rsidRPr="00296497" w:rsidRDefault="00296497" w:rsidP="00A67330"/>
    <w:p w14:paraId="2ED560B2" w14:textId="77777777" w:rsidR="00425BFE" w:rsidRPr="00296497" w:rsidRDefault="00197AA8" w:rsidP="00A67330">
      <w:pPr>
        <w:rPr>
          <w:i/>
        </w:rPr>
      </w:pPr>
      <w:r w:rsidRPr="00296497">
        <w:rPr>
          <w:i/>
        </w:rPr>
        <w:t>Actions and Impacts</w:t>
      </w:r>
    </w:p>
    <w:p w14:paraId="4AEB4C0E" w14:textId="77777777" w:rsidR="00C036F9" w:rsidRDefault="00E43A6D" w:rsidP="008047A4">
      <w:r w:rsidRPr="00E43A6D">
        <w:t xml:space="preserve">           According to Chersulich Tomino, Perić, and Wise (2020), the community engagement processes are required to assure that each participatory effort conducted for the event possesses a real potential for making difference and that the community members possess awareness </w:t>
      </w:r>
      <w:r w:rsidRPr="00E43A6D">
        <w:lastRenderedPageBreak/>
        <w:t>regarding the potential. The commonwealth games Birmingham was arranged as games for everyone, and it was assured that the legacy of community inclusion, cohesion, and pride reached into each region, and area for benefiting the individuals, and places (Commonwealth Sports, 2022c). The Birmingham City Council assured the participation of local individuals, and communities within the games and considered these games as opportunities for individuals, and local organisations to present their skills, and improve their lives (Commonwealth Sports, 2022c).</w:t>
      </w:r>
    </w:p>
    <w:p w14:paraId="3FD18230" w14:textId="77777777" w:rsidR="00E43A6D" w:rsidRPr="00296497" w:rsidRDefault="00E43A6D" w:rsidP="008047A4"/>
    <w:p w14:paraId="637C41C1" w14:textId="77777777" w:rsidR="008038CB" w:rsidRPr="00296497" w:rsidRDefault="008038CB" w:rsidP="008047A4">
      <w:pPr>
        <w:rPr>
          <w:b/>
          <w:i/>
        </w:rPr>
      </w:pPr>
      <w:r w:rsidRPr="00296497">
        <w:rPr>
          <w:b/>
          <w:i/>
        </w:rPr>
        <w:t>Participation of Stakeholders</w:t>
      </w:r>
    </w:p>
    <w:p w14:paraId="30F36C8B" w14:textId="77777777" w:rsidR="00E43A6D" w:rsidRPr="00E43A6D" w:rsidRDefault="00E43A6D" w:rsidP="00E43A6D">
      <w:pPr>
        <w:rPr>
          <w:lang w:val="en"/>
        </w:rPr>
      </w:pPr>
      <w:r w:rsidRPr="00E43A6D">
        <w:rPr>
          <w:lang w:val="en"/>
        </w:rPr>
        <w:t xml:space="preserve">           The Stakeholder Theory is referred to as a view of capitalism, which stresses the interconnected associations and relationships between business, and its employees, customers, suppliers, communities, investors, as well as other bodies having a stake within the organisation (Ferrero, Michael Hoffman, and McNulty, 2014). Regarding the stakeholder theory, businesses are considered successful by giving value to their stakeholders. Within the Commonwealth games, Birmingham, analysing the significance and potential contribution of stakeholders, Commonwealth Games England (CGE) arranged a significant VIP and stakeholders programs for 12 months (Commonwealth Games England, 2022). The stakeholder programme was initiated a few months before the event and ended after the completion of the event.  The stakeholders of Commonwealth Birmingham included the GCE board, partners, and sponsors of GCE, funding partners, organising committee, national governing bodies, Commonwealth Games Federation, celebrities, athletes, and politicians. Along with these VIP stakeholders, community members, volunteers, spectators, suppliers, and construction companies were some other most significant stakeholders within the Commonwealth games Birmingham </w:t>
      </w:r>
      <w:r w:rsidRPr="00E43A6D">
        <w:rPr>
          <w:lang w:val="en"/>
        </w:rPr>
        <w:lastRenderedPageBreak/>
        <w:t>(Commonwealth Games England, 2022). After the identification of stakeholders, the CGE board also managed the stakeholders by prioritising them on the basis of power, as well as interest, and the development of a stakeholders engagement plan.</w:t>
      </w:r>
    </w:p>
    <w:p w14:paraId="0597EBC3" w14:textId="77777777" w:rsidR="00296497" w:rsidRDefault="00E43A6D" w:rsidP="00E43A6D">
      <w:pPr>
        <w:rPr>
          <w:lang w:val="en"/>
        </w:rPr>
      </w:pPr>
      <w:r w:rsidRPr="00E43A6D">
        <w:rPr>
          <w:lang w:val="en"/>
        </w:rPr>
        <w:t xml:space="preserve">           Various programs were arranged within the Commonwealth games Birmingham to assuring an efficient engagement of the stakeholders. These programs included community hubs, community roadshows and events,  cultural festivals, cycling for everyone, BrumTing program, STEM Sports Expo, and Sport Tech challenge, along with several other programs (Commonwealth Sports, 2022d).  The utilisation of social media platforms, including Instagram, and Facebook was another strategy for engaging the stakeholders. These events organised for communities, renovation of cities, and site of games, and other measures taken during the commonwealth games were advertised by using Instagram, Facebook, and other social media platforms. The social media channel of commonwealth Birmingham on Facebook was established to keep the community members, and viewers the updates, and latest news related to the event, and to develop excitement ahead of the games. The Facebook page also briefed the social media users regarding the community and volunteering programs and allowed them to give their feedback and suggestions on games, and management (Facebook, 2022). In addition, the Instagram platform was utilised for posting pictures, videos of games, and community events, and encouraging Instagram users to participate in games. However, these platforms were run by individuals having interpersonal skills, including strategic planning skills, tactical execution, and utilising creative mindsets. Masterman (2014) mentioned that the utilisation of interpersonal skills by social media managers facilitates giving attention to details, and providing creative content to social media users. With reference to the commonwealth games, the social media managers also utilised the strategies for community management and assured that any post or </w:t>
      </w:r>
      <w:r w:rsidRPr="00E43A6D">
        <w:rPr>
          <w:lang w:val="en"/>
        </w:rPr>
        <w:lastRenderedPageBreak/>
        <w:t>comment was not against any specific community. Thus, the utilisation of interpersonal and professional skills facilitated in outreaching of the project.</w:t>
      </w:r>
    </w:p>
    <w:p w14:paraId="303C5475" w14:textId="77777777" w:rsidR="00E43A6D" w:rsidRPr="00296497" w:rsidRDefault="00E43A6D" w:rsidP="0084028D"/>
    <w:p w14:paraId="1580E453" w14:textId="77777777" w:rsidR="00602F25" w:rsidRPr="00296497" w:rsidRDefault="00D03B9E" w:rsidP="0084028D">
      <w:pPr>
        <w:rPr>
          <w:b/>
          <w:i/>
          <w:lang w:val="en"/>
        </w:rPr>
      </w:pPr>
      <w:r w:rsidRPr="00296497">
        <w:rPr>
          <w:b/>
          <w:i/>
          <w:lang w:val="en"/>
        </w:rPr>
        <w:t>Discussion of Avenues for Promoting Community Participation in Commonwealths Games Birmingham</w:t>
      </w:r>
    </w:p>
    <w:p w14:paraId="0CC3F323" w14:textId="77777777" w:rsidR="00E43A6D" w:rsidRPr="00E43A6D" w:rsidRDefault="003B50CA" w:rsidP="00E43A6D">
      <w:pPr>
        <w:rPr>
          <w:lang w:val="en-US"/>
        </w:rPr>
      </w:pPr>
      <w:r w:rsidRPr="00296497">
        <w:tab/>
      </w:r>
      <w:r w:rsidR="00E43A6D" w:rsidRPr="00E43A6D">
        <w:rPr>
          <w:lang w:val="en-US"/>
        </w:rPr>
        <w:t>The Birmingham festival assured inclusion, equality, as well as accessibility at its core, celebrating the common grounds of community, and reflecting the unique culture and places of West Midlands. One of the projects of commonwealth Birmingham, which was referred to as </w:t>
      </w:r>
      <w:r w:rsidR="00E43A6D" w:rsidRPr="00E43A6D">
        <w:rPr>
          <w:i/>
          <w:iCs/>
          <w:lang w:val="en-US"/>
        </w:rPr>
        <w:t>the Critical Mass participation project</w:t>
      </w:r>
      <w:r w:rsidR="00E43A6D" w:rsidRPr="00E43A6D">
        <w:rPr>
          <w:lang w:val="en-US"/>
        </w:rPr>
        <w:t> enabled the participation of disabled as well as non-disabled individuals in creating a series of major dance performances, at the opening and closing ceremonies of the festival. Moreover, the </w:t>
      </w:r>
      <w:r w:rsidR="00E43A6D" w:rsidRPr="00E43A6D">
        <w:rPr>
          <w:i/>
          <w:iCs/>
          <w:lang w:val="en-US"/>
        </w:rPr>
        <w:t>Creative City </w:t>
      </w:r>
      <w:r w:rsidR="00E43A6D" w:rsidRPr="00E43A6D">
        <w:rPr>
          <w:lang w:val="en-US"/>
        </w:rPr>
        <w:t>projects also took place across the city, which flood opened the spaces within the city with art, and was co-created with the local communities (Department for Digital, Culture, Media, and Sports, 2022). Commonwealth Birmingham assured the inclusion of individuals from all communities, and all age groups; therefore, a youth learning and engagement program, which was referred to as </w:t>
      </w:r>
      <w:r w:rsidR="00E43A6D" w:rsidRPr="00E43A6D">
        <w:rPr>
          <w:i/>
          <w:iCs/>
          <w:lang w:val="en-US"/>
        </w:rPr>
        <w:t>Bring the Power</w:t>
      </w:r>
      <w:r w:rsidR="00E43A6D" w:rsidRPr="00E43A6D">
        <w:rPr>
          <w:lang w:val="en-US"/>
        </w:rPr>
        <w:t> was introduced for inspiring the young generation. This campaign was also launched at the national level, in which workshops, lesson plans, and game-themed assemblies were introduced within the schools, for promoting the participation of youth in the event (Department for Digital, Culture, Media, and Sports, 2022). Moreover, to assure socio-cultural integration and multiculturalism, the </w:t>
      </w:r>
      <w:r w:rsidR="00E43A6D" w:rsidRPr="00E43A6D">
        <w:rPr>
          <w:i/>
          <w:iCs/>
          <w:lang w:val="en-US"/>
        </w:rPr>
        <w:t>Hit the Dhol</w:t>
      </w:r>
      <w:r w:rsidR="00E43A6D" w:rsidRPr="00E43A6D">
        <w:rPr>
          <w:lang w:val="en-US"/>
        </w:rPr>
        <w:t> campaign was introduced for providing educational Asian drumming workshops for children, and adult individual for breaking cultural barriers, and uniting individuals with reference to music (Commonwealth Sports, 2022e).</w:t>
      </w:r>
    </w:p>
    <w:p w14:paraId="545334EB" w14:textId="77777777" w:rsidR="00E43A6D" w:rsidRPr="00E43A6D" w:rsidRDefault="00E43A6D" w:rsidP="00E43A6D">
      <w:pPr>
        <w:rPr>
          <w:lang w:val="en-US"/>
        </w:rPr>
      </w:pPr>
      <w:r w:rsidRPr="00E43A6D">
        <w:rPr>
          <w:lang w:val="en-US"/>
        </w:rPr>
        <w:lastRenderedPageBreak/>
        <w:t>           The community engagement practitioner is required to adopt a forward-looking approach to convincing the community members that respecting the cultures, and beliefs of others, and providing equal opportunities to individuals of all communities to contribute to social events and influence the development of the community.</w:t>
      </w:r>
    </w:p>
    <w:p w14:paraId="172205D9" w14:textId="77777777" w:rsidR="00E43A6D" w:rsidRPr="00E43A6D" w:rsidRDefault="00E43A6D" w:rsidP="00E43A6D">
      <w:pPr>
        <w:rPr>
          <w:lang w:val="en-US"/>
        </w:rPr>
      </w:pPr>
      <w:r w:rsidRPr="00E43A6D">
        <w:rPr>
          <w:lang w:val="en-US"/>
        </w:rPr>
        <w:t> </w:t>
      </w:r>
    </w:p>
    <w:p w14:paraId="0F470D95" w14:textId="77777777" w:rsidR="00145A07" w:rsidRPr="00296497" w:rsidRDefault="00AD2050" w:rsidP="00E43A6D">
      <w:pPr>
        <w:rPr>
          <w:b/>
          <w:i/>
        </w:rPr>
      </w:pPr>
      <w:r w:rsidRPr="00296497">
        <w:rPr>
          <w:b/>
          <w:i/>
        </w:rPr>
        <w:t>Conclusion</w:t>
      </w:r>
    </w:p>
    <w:p w14:paraId="33E0C600" w14:textId="77777777" w:rsidR="00E43A6D" w:rsidRPr="00E43A6D" w:rsidRDefault="00145A07" w:rsidP="00E43A6D">
      <w:pPr>
        <w:rPr>
          <w:lang w:val="en-US"/>
        </w:rPr>
      </w:pPr>
      <w:r w:rsidRPr="00296497">
        <w:tab/>
      </w:r>
      <w:r w:rsidR="00E43A6D" w:rsidRPr="00E43A6D">
        <w:rPr>
          <w:lang w:val="en-US"/>
        </w:rPr>
        <w:t>In conclusion, it can be stated that commonwealth Birmingham assured community engagement by involving partnerships for mobilising, and effective utilisation of available resources, influencing the relationships between stakeholders and providing equal opportunities for participation, and investment, to the individuals of all communities. The preparation of venues for the games not only attracted the current sports teams, and visitors, but also contributed to bringing future sporting events to Birmingham. The substantial investment and improvement to the venues of games provided employment opportunities to the local population. </w:t>
      </w:r>
    </w:p>
    <w:p w14:paraId="5118C2AB" w14:textId="77777777" w:rsidR="00E43A6D" w:rsidRPr="00E43A6D" w:rsidRDefault="00E43A6D" w:rsidP="00E43A6D">
      <w:pPr>
        <w:rPr>
          <w:lang w:val="en-US"/>
        </w:rPr>
      </w:pPr>
      <w:r w:rsidRPr="00E43A6D">
        <w:rPr>
          <w:lang w:val="en-US"/>
        </w:rPr>
        <w:t xml:space="preserve">           Analysing the significance of stakeholder participation, the stakeholder programme was initiated a few months before the event and assured the engagement of stakeholders ranging from  GCE board, sponsors of GCE, organising committee, Commonwealth Games Federation, athletes, politicians, community members, volunteers, spectators, suppliers, construction companies, and several other stakeholders. The stakeholder engagement was assured by arranging the community-based programs, and festivals, and utilising the social media platforms for keeping the stakeholders updated regarding the event, community-based programs, and festivals. Birmingham festival assured inclusion, equality, as well as accessibility for celebrating the common grounds of communities and reflecting the unique culture and places of England. </w:t>
      </w:r>
      <w:r w:rsidRPr="00E43A6D">
        <w:rPr>
          <w:lang w:val="en-US"/>
        </w:rPr>
        <w:lastRenderedPageBreak/>
        <w:t>Based on the analysis of the commonwealth games in Birmingham, the following are recommendations for planning and coordinating future events.</w:t>
      </w:r>
    </w:p>
    <w:p w14:paraId="3DF0FDB4" w14:textId="77777777" w:rsidR="00E43A6D" w:rsidRPr="00E43A6D" w:rsidRDefault="00E43A6D" w:rsidP="00E43A6D">
      <w:pPr>
        <w:numPr>
          <w:ilvl w:val="0"/>
          <w:numId w:val="3"/>
        </w:numPr>
        <w:rPr>
          <w:lang w:val="en-US"/>
        </w:rPr>
      </w:pPr>
      <w:r w:rsidRPr="00E43A6D">
        <w:rPr>
          <w:lang w:val="en-US"/>
        </w:rPr>
        <w:t>To assuring community engagement in a better manner, it is recommended to increase the number of programs introduced within the commonwealth games to bring people together regardless of their cultural affiliation, socioeconomic status, gender, and other differences.</w:t>
      </w:r>
    </w:p>
    <w:p w14:paraId="6141A53A" w14:textId="77777777" w:rsidR="00E43A6D" w:rsidRPr="00E43A6D" w:rsidRDefault="00E43A6D" w:rsidP="00E43A6D">
      <w:pPr>
        <w:numPr>
          <w:ilvl w:val="0"/>
          <w:numId w:val="3"/>
        </w:numPr>
        <w:rPr>
          <w:lang w:val="en-US"/>
        </w:rPr>
      </w:pPr>
      <w:r w:rsidRPr="00E43A6D">
        <w:rPr>
          <w:lang w:val="en-US"/>
        </w:rPr>
        <w:t>It is also recommended that for planning, and coordinating events in the future, there is a requirement of utilising social media platforms in more efficient ways. </w:t>
      </w:r>
    </w:p>
    <w:p w14:paraId="2E6C7CCF" w14:textId="77777777" w:rsidR="00E43A6D" w:rsidRPr="00E43A6D" w:rsidRDefault="00E43A6D" w:rsidP="00E43A6D">
      <w:pPr>
        <w:numPr>
          <w:ilvl w:val="0"/>
          <w:numId w:val="3"/>
        </w:numPr>
        <w:rPr>
          <w:lang w:val="en-US"/>
        </w:rPr>
      </w:pPr>
      <w:r w:rsidRPr="00E43A6D">
        <w:rPr>
          <w:lang w:val="en-US"/>
        </w:rPr>
        <w:t>The commonwealth games included a range of activities for children and adult populations; however, there is a requirement of introducing activities for facilitating older individuals belonging to different communities.</w:t>
      </w:r>
    </w:p>
    <w:p w14:paraId="12FCE9C4" w14:textId="77777777" w:rsidR="00E43A6D" w:rsidRPr="00E43A6D" w:rsidRDefault="00E43A6D" w:rsidP="00E43A6D">
      <w:pPr>
        <w:numPr>
          <w:ilvl w:val="0"/>
          <w:numId w:val="3"/>
        </w:numPr>
        <w:rPr>
          <w:lang w:val="en-US"/>
        </w:rPr>
      </w:pPr>
      <w:r w:rsidRPr="00E43A6D">
        <w:rPr>
          <w:lang w:val="en-US"/>
        </w:rPr>
        <w:t>It is also recommended that along with making adjustments within the current infrastructure of the city, there is a requirement to allocate a specific budget for improving the health and social care facilities at the venue of the event.</w:t>
      </w:r>
    </w:p>
    <w:p w14:paraId="0BA0D282" w14:textId="77777777" w:rsidR="00E43A6D" w:rsidRPr="00E43A6D" w:rsidRDefault="00E43A6D" w:rsidP="00E43A6D">
      <w:pPr>
        <w:rPr>
          <w:lang w:val="en-US"/>
        </w:rPr>
      </w:pPr>
      <w:r w:rsidRPr="00E43A6D">
        <w:rPr>
          <w:lang w:val="en-US"/>
        </w:rPr>
        <w:t> </w:t>
      </w:r>
    </w:p>
    <w:p w14:paraId="33B87196" w14:textId="77777777" w:rsidR="0084028D" w:rsidRPr="00296497" w:rsidRDefault="0084028D" w:rsidP="00E43A6D"/>
    <w:p w14:paraId="45EA4F59" w14:textId="77777777" w:rsidR="00296497" w:rsidRPr="00296497" w:rsidRDefault="00296497">
      <w:pPr>
        <w:spacing w:after="160" w:line="259" w:lineRule="auto"/>
        <w:contextualSpacing w:val="0"/>
      </w:pPr>
      <w:r w:rsidRPr="00296497">
        <w:br w:type="page"/>
      </w:r>
    </w:p>
    <w:p w14:paraId="48F2EA97" w14:textId="77777777" w:rsidR="00C036F9" w:rsidRPr="00027CE6" w:rsidRDefault="00C036F9" w:rsidP="00296497">
      <w:pPr>
        <w:jc w:val="center"/>
        <w:rPr>
          <w:b/>
          <w:i/>
        </w:rPr>
      </w:pPr>
      <w:r w:rsidRPr="00027CE6">
        <w:rPr>
          <w:b/>
          <w:i/>
        </w:rPr>
        <w:lastRenderedPageBreak/>
        <w:t>References</w:t>
      </w:r>
    </w:p>
    <w:p w14:paraId="2A1E73DB" w14:textId="77777777" w:rsidR="00296497" w:rsidRPr="00296497" w:rsidRDefault="00296497" w:rsidP="00296497">
      <w:pPr>
        <w:ind w:left="720" w:hanging="720"/>
      </w:pPr>
    </w:p>
    <w:p w14:paraId="6D4F5998" w14:textId="77777777" w:rsidR="00296497" w:rsidRPr="00296497" w:rsidRDefault="00296497" w:rsidP="00296497">
      <w:pPr>
        <w:ind w:left="720" w:hanging="720"/>
      </w:pPr>
      <w:r w:rsidRPr="00296497">
        <w:t>Chersulich Tomino, A., Perić, M. and Wise, N., 2020. Assessing and considering the wider impacts of sport-tourism events: A research agenda review of sustainability and strategic planning elements. </w:t>
      </w:r>
      <w:r w:rsidRPr="00296497">
        <w:rPr>
          <w:i/>
          <w:iCs/>
        </w:rPr>
        <w:t>Sustainability</w:t>
      </w:r>
      <w:r w:rsidRPr="00296497">
        <w:t>, </w:t>
      </w:r>
      <w:r w:rsidRPr="00296497">
        <w:rPr>
          <w:i/>
          <w:iCs/>
        </w:rPr>
        <w:t>12</w:t>
      </w:r>
      <w:r w:rsidRPr="00296497">
        <w:t>(11), p.4473.</w:t>
      </w:r>
    </w:p>
    <w:p w14:paraId="182D0F89" w14:textId="77777777" w:rsidR="00296497" w:rsidRPr="00296497" w:rsidRDefault="00296497" w:rsidP="00296497">
      <w:pPr>
        <w:ind w:left="720" w:hanging="720"/>
        <w:rPr>
          <w:lang w:val="en"/>
        </w:rPr>
      </w:pPr>
      <w:r w:rsidRPr="00296497">
        <w:t xml:space="preserve">Commonwealth Games England. 2022. Head of Stakeholder Programme. </w:t>
      </w:r>
      <w:r w:rsidRPr="00296497">
        <w:rPr>
          <w:i/>
        </w:rPr>
        <w:t>Commonwealth Games England.</w:t>
      </w:r>
      <w:r w:rsidRPr="00296497">
        <w:rPr>
          <w:rFonts w:eastAsia="Times New Roman"/>
          <w:color w:val="000000"/>
          <w:lang w:val="en-US"/>
        </w:rPr>
        <w:t xml:space="preserve"> Retrieved from </w:t>
      </w:r>
      <w:r w:rsidRPr="00296497">
        <w:rPr>
          <w:lang w:val="en"/>
        </w:rPr>
        <w:t>https://teamengland.org/media/docs/Head%20of%20Stakeholder%20Programme.pdf</w:t>
      </w:r>
    </w:p>
    <w:p w14:paraId="13B9C33A" w14:textId="77777777" w:rsidR="00296497" w:rsidRPr="00296497" w:rsidRDefault="00296497" w:rsidP="00296497">
      <w:pPr>
        <w:ind w:left="720" w:hanging="720"/>
      </w:pPr>
      <w:r w:rsidRPr="00296497">
        <w:t xml:space="preserve">Commonwealth Sports. 2022a. The Birmingham 2022 Legacy. </w:t>
      </w:r>
      <w:r w:rsidRPr="00296497">
        <w:rPr>
          <w:i/>
        </w:rPr>
        <w:t>Commonwealth Sports</w:t>
      </w:r>
      <w:r w:rsidRPr="00296497">
        <w:rPr>
          <w:rFonts w:eastAsia="Times New Roman"/>
          <w:color w:val="000000"/>
          <w:lang w:val="en-US"/>
        </w:rPr>
        <w:t xml:space="preserve"> Retrieved from </w:t>
      </w:r>
      <w:r w:rsidRPr="00296497">
        <w:t>https://www.birmingham2022.com/about-us/our-purpose/our-legacy/venues-infrastructure</w:t>
      </w:r>
    </w:p>
    <w:p w14:paraId="58835459" w14:textId="77777777" w:rsidR="00296497" w:rsidRPr="00296497" w:rsidRDefault="00296497" w:rsidP="00296497">
      <w:pPr>
        <w:ind w:left="720" w:hanging="720"/>
      </w:pPr>
      <w:r w:rsidRPr="00296497">
        <w:t xml:space="preserve">Commonwealth Sports. 2022b. Community Engagement. A Journey through Windrush. </w:t>
      </w:r>
      <w:r w:rsidRPr="00296497">
        <w:rPr>
          <w:i/>
        </w:rPr>
        <w:t>Commonwealth Sports.</w:t>
      </w:r>
      <w:r w:rsidRPr="00296497">
        <w:t xml:space="preserve"> Retrieved from https://www.birmingham2022.com/community-engagement</w:t>
      </w:r>
    </w:p>
    <w:p w14:paraId="4147B0B9" w14:textId="77777777" w:rsidR="00296497" w:rsidRPr="00296497" w:rsidRDefault="00296497" w:rsidP="00296497">
      <w:pPr>
        <w:ind w:left="720" w:hanging="720"/>
      </w:pPr>
      <w:r w:rsidRPr="00296497">
        <w:t xml:space="preserve">Commonwealth Sports. 2022c. Our Legacy: Community Cohesion, Inclusion, &amp; Pride. </w:t>
      </w:r>
      <w:r w:rsidRPr="00296497">
        <w:rPr>
          <w:i/>
        </w:rPr>
        <w:t>Commonwealth Sports</w:t>
      </w:r>
      <w:r w:rsidRPr="00296497">
        <w:rPr>
          <w:rFonts w:eastAsia="Times New Roman"/>
          <w:color w:val="000000"/>
          <w:lang w:val="en-US"/>
        </w:rPr>
        <w:t xml:space="preserve">.Retrieved from </w:t>
      </w:r>
      <w:r w:rsidRPr="00296497">
        <w:t xml:space="preserve">https://www.birmingham2022.com/about-us/our-purpose/our-legacy/community-cohesion-inclusion-pride </w:t>
      </w:r>
    </w:p>
    <w:p w14:paraId="7653939A" w14:textId="77777777" w:rsidR="00296497" w:rsidRPr="00296497" w:rsidRDefault="00296497" w:rsidP="00296497">
      <w:pPr>
        <w:ind w:left="720" w:hanging="720"/>
      </w:pPr>
      <w:r w:rsidRPr="00296497">
        <w:t xml:space="preserve">Commonwealth Sports. 2022d. Community Projects. </w:t>
      </w:r>
      <w:r w:rsidRPr="00296497">
        <w:rPr>
          <w:i/>
        </w:rPr>
        <w:t>Commonwealth Sport.</w:t>
      </w:r>
      <w:r w:rsidRPr="00296497">
        <w:rPr>
          <w:rFonts w:eastAsia="Times New Roman"/>
          <w:color w:val="000000"/>
          <w:lang w:val="en-US"/>
        </w:rPr>
        <w:t xml:space="preserve"> Retrieved from </w:t>
      </w:r>
      <w:r w:rsidRPr="00296497">
        <w:t>https://www.birmingham2022.com/united/community-projects</w:t>
      </w:r>
    </w:p>
    <w:p w14:paraId="7F527872" w14:textId="77777777" w:rsidR="00296497" w:rsidRPr="00296497" w:rsidRDefault="00296497" w:rsidP="00296497">
      <w:pPr>
        <w:ind w:left="720" w:hanging="720"/>
      </w:pPr>
      <w:r w:rsidRPr="00296497">
        <w:t xml:space="preserve">Commonwealth Sports. 2022e. </w:t>
      </w:r>
      <w:r w:rsidRPr="00296497">
        <w:rPr>
          <w:bCs/>
          <w:lang w:val="en-US"/>
        </w:rPr>
        <w:t>Hit the Dhol.</w:t>
      </w:r>
      <w:r w:rsidRPr="00296497">
        <w:rPr>
          <w:b/>
          <w:bCs/>
          <w:lang w:val="en-US"/>
        </w:rPr>
        <w:t xml:space="preserve"> </w:t>
      </w:r>
      <w:r w:rsidRPr="00296497">
        <w:rPr>
          <w:lang w:val="en-US"/>
        </w:rPr>
        <w:t>Drum Fun.</w:t>
      </w:r>
      <w:r w:rsidRPr="00296497">
        <w:t xml:space="preserve"> </w:t>
      </w:r>
      <w:r w:rsidRPr="00296497">
        <w:rPr>
          <w:i/>
        </w:rPr>
        <w:t>Commonwealth Sports.</w:t>
      </w:r>
      <w:r w:rsidRPr="00296497">
        <w:rPr>
          <w:rFonts w:eastAsia="Times New Roman"/>
          <w:color w:val="000000"/>
          <w:lang w:val="en-US"/>
        </w:rPr>
        <w:t xml:space="preserve"> Retrieved from</w:t>
      </w:r>
      <w:r w:rsidRPr="00296497">
        <w:rPr>
          <w:lang w:val="en-US"/>
        </w:rPr>
        <w:t xml:space="preserve"> </w:t>
      </w:r>
      <w:r w:rsidRPr="00296497">
        <w:t>https://www.birmingham2022.com/news/2592902/hit-the-dhol</w:t>
      </w:r>
    </w:p>
    <w:p w14:paraId="19E3B736" w14:textId="77777777" w:rsidR="00296497" w:rsidRPr="00296497" w:rsidRDefault="00296497" w:rsidP="00296497">
      <w:pPr>
        <w:ind w:left="720" w:hanging="720"/>
      </w:pPr>
      <w:r w:rsidRPr="00296497">
        <w:t xml:space="preserve">Department for Digital, Culture, Media, and Sports. 2022. Commonwealth Games: The Highlights. </w:t>
      </w:r>
      <w:r w:rsidRPr="00296497">
        <w:rPr>
          <w:i/>
        </w:rPr>
        <w:t xml:space="preserve">Department for Digital, Culture, Media, and Sports. </w:t>
      </w:r>
      <w:r w:rsidRPr="00296497">
        <w:rPr>
          <w:rFonts w:eastAsia="Times New Roman"/>
          <w:color w:val="000000"/>
          <w:lang w:val="en-US"/>
        </w:rPr>
        <w:t xml:space="preserve">Retrieved from </w:t>
      </w:r>
      <w:r w:rsidRPr="00296497">
        <w:rPr>
          <w:rFonts w:eastAsia="Times New Roman"/>
          <w:color w:val="000000"/>
          <w:lang w:val="en-US"/>
        </w:rPr>
        <w:lastRenderedPageBreak/>
        <w:t>https://assets.publishing.service.gov.uk/government/uploads/system/uploads/attachment_data/file/1101706/CCS0422715588-002_Snapshot_Report_Commonwealth_Games_accessible.pdf</w:t>
      </w:r>
    </w:p>
    <w:p w14:paraId="4FF84797" w14:textId="77777777" w:rsidR="00296497" w:rsidRPr="00296497" w:rsidRDefault="00296497" w:rsidP="00296497">
      <w:pPr>
        <w:ind w:left="720" w:hanging="720"/>
      </w:pPr>
      <w:r w:rsidRPr="00296497">
        <w:t>Epstein, J.L., Sanders, M.G., Sheldon, S.B., Simon, B.S., Salinas, K.C., Jansorn, N.R., Van Voorhis, F.L., Martin, C.S., Thomas, B.G., Greenfeld, M.D. and Hutchins, D.J., 2018. </w:t>
      </w:r>
      <w:r w:rsidRPr="00296497">
        <w:rPr>
          <w:i/>
          <w:iCs/>
        </w:rPr>
        <w:t>School, family, and community partnerships: Your handbook for action</w:t>
      </w:r>
      <w:r w:rsidRPr="00296497">
        <w:t>. Corwin Press.</w:t>
      </w:r>
    </w:p>
    <w:p w14:paraId="02DF55CF" w14:textId="77777777" w:rsidR="00296497" w:rsidRPr="00296497" w:rsidRDefault="00296497" w:rsidP="00296497">
      <w:pPr>
        <w:ind w:left="720" w:hanging="720"/>
        <w:rPr>
          <w:lang w:val="en"/>
        </w:rPr>
      </w:pPr>
      <w:r w:rsidRPr="00296497">
        <w:rPr>
          <w:lang w:val="en"/>
        </w:rPr>
        <w:t>Facebook</w:t>
      </w:r>
      <w:r w:rsidRPr="00296497">
        <w:rPr>
          <w:rFonts w:eastAsia="Times New Roman"/>
          <w:color w:val="000000"/>
          <w:lang w:val="en-US"/>
        </w:rPr>
        <w:t>.</w:t>
      </w:r>
      <w:r w:rsidRPr="00296497">
        <w:rPr>
          <w:lang w:val="en"/>
        </w:rPr>
        <w:t xml:space="preserve"> 2022. Birmingham 2022. </w:t>
      </w:r>
      <w:r w:rsidRPr="00296497">
        <w:rPr>
          <w:i/>
          <w:lang w:val="en"/>
        </w:rPr>
        <w:t>Facebook</w:t>
      </w:r>
      <w:r w:rsidRPr="00296497">
        <w:rPr>
          <w:rFonts w:eastAsia="Times New Roman"/>
          <w:color w:val="000000"/>
          <w:lang w:val="en-US"/>
        </w:rPr>
        <w:t xml:space="preserve">. Retrieved from </w:t>
      </w:r>
      <w:r w:rsidRPr="00296497">
        <w:rPr>
          <w:lang w:val="en"/>
        </w:rPr>
        <w:t>https://m.facebook.com/Birmingham2022/about</w:t>
      </w:r>
    </w:p>
    <w:p w14:paraId="4CEB9388" w14:textId="77777777" w:rsidR="00296497" w:rsidRPr="00296497" w:rsidRDefault="00296497" w:rsidP="00296497">
      <w:pPr>
        <w:ind w:left="720" w:hanging="720"/>
      </w:pPr>
      <w:r w:rsidRPr="00296497">
        <w:t>Federation, C.G., 2015. Transformation 2022: The Commonwealth Games Federation strategic plan 2015-2022.</w:t>
      </w:r>
    </w:p>
    <w:p w14:paraId="04879E21" w14:textId="77777777" w:rsidR="00296497" w:rsidRPr="00296497" w:rsidRDefault="00296497" w:rsidP="00296497">
      <w:pPr>
        <w:ind w:left="720" w:hanging="720"/>
      </w:pPr>
      <w:r w:rsidRPr="00296497">
        <w:t>Ferrero, I., Michael Hoffman, W. and McNulty, R.E., 2014. Must Milton Friedman embrace stakeholder theory?. </w:t>
      </w:r>
      <w:r w:rsidRPr="00296497">
        <w:rPr>
          <w:i/>
          <w:iCs/>
        </w:rPr>
        <w:t>Business and Society Review</w:t>
      </w:r>
      <w:r w:rsidRPr="00296497">
        <w:t>, </w:t>
      </w:r>
      <w:r w:rsidRPr="00296497">
        <w:rPr>
          <w:i/>
          <w:iCs/>
        </w:rPr>
        <w:t>119</w:t>
      </w:r>
      <w:r w:rsidRPr="00296497">
        <w:t>(1), pp.37-59.</w:t>
      </w:r>
    </w:p>
    <w:p w14:paraId="61CA1AAC" w14:textId="77777777" w:rsidR="00296497" w:rsidRPr="00296497" w:rsidRDefault="00296497" w:rsidP="00296497">
      <w:pPr>
        <w:ind w:left="720" w:hanging="720"/>
      </w:pPr>
      <w:r w:rsidRPr="00296497">
        <w:t>Gelmon, S.B., Holland, B.A. and Spring, A., 2018. </w:t>
      </w:r>
      <w:r w:rsidRPr="00296497">
        <w:rPr>
          <w:i/>
          <w:iCs/>
        </w:rPr>
        <w:t>Assessing service-learning and civic engagement: Principles and techniques</w:t>
      </w:r>
      <w:r w:rsidRPr="00296497">
        <w:t>. Campus Compact.</w:t>
      </w:r>
    </w:p>
    <w:p w14:paraId="216E2BA7" w14:textId="77777777" w:rsidR="00296497" w:rsidRPr="00296497" w:rsidRDefault="00296497" w:rsidP="00296497">
      <w:pPr>
        <w:ind w:left="720" w:hanging="720"/>
      </w:pPr>
      <w:r w:rsidRPr="00296497">
        <w:t>Grohs, R., Wieser, V.E. and Pristach, M., 2020. Value cocreation at sport events. </w:t>
      </w:r>
      <w:r w:rsidRPr="00296497">
        <w:rPr>
          <w:i/>
          <w:iCs/>
        </w:rPr>
        <w:t>European Sport Management Quarterly</w:t>
      </w:r>
      <w:r w:rsidRPr="00296497">
        <w:t>, </w:t>
      </w:r>
      <w:r w:rsidRPr="00296497">
        <w:rPr>
          <w:i/>
          <w:iCs/>
        </w:rPr>
        <w:t>20</w:t>
      </w:r>
      <w:r w:rsidRPr="00296497">
        <w:t>(1), pp.69-87.</w:t>
      </w:r>
    </w:p>
    <w:p w14:paraId="1A8D601D" w14:textId="77777777" w:rsidR="00296497" w:rsidRPr="00296497" w:rsidRDefault="00296497" w:rsidP="00296497">
      <w:pPr>
        <w:ind w:left="720" w:hanging="720"/>
      </w:pPr>
      <w:r w:rsidRPr="00296497">
        <w:t>Masterman, G., 2014. </w:t>
      </w:r>
      <w:r w:rsidRPr="00296497">
        <w:rPr>
          <w:i/>
          <w:iCs/>
        </w:rPr>
        <w:t>Strategic sports event management</w:t>
      </w:r>
      <w:r w:rsidRPr="00296497">
        <w:t>. Routledge.</w:t>
      </w:r>
    </w:p>
    <w:sectPr w:rsidR="00296497" w:rsidRPr="0029649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FB5F5" w14:textId="77777777" w:rsidR="00084C4F" w:rsidRDefault="00084C4F" w:rsidP="00296497">
      <w:pPr>
        <w:spacing w:line="240" w:lineRule="auto"/>
      </w:pPr>
      <w:r>
        <w:separator/>
      </w:r>
    </w:p>
  </w:endnote>
  <w:endnote w:type="continuationSeparator" w:id="0">
    <w:p w14:paraId="3BF727E4" w14:textId="77777777" w:rsidR="00084C4F" w:rsidRDefault="00084C4F" w:rsidP="002964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999D0" w14:textId="77777777" w:rsidR="00084C4F" w:rsidRDefault="00084C4F" w:rsidP="00296497">
      <w:pPr>
        <w:spacing w:line="240" w:lineRule="auto"/>
      </w:pPr>
      <w:r>
        <w:separator/>
      </w:r>
    </w:p>
  </w:footnote>
  <w:footnote w:type="continuationSeparator" w:id="0">
    <w:p w14:paraId="6A69088E" w14:textId="77777777" w:rsidR="00084C4F" w:rsidRDefault="00084C4F" w:rsidP="002964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F7B38"/>
    <w:multiLevelType w:val="hybridMultilevel"/>
    <w:tmpl w:val="9FC6DBE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D60322"/>
    <w:multiLevelType w:val="multilevel"/>
    <w:tmpl w:val="BEFE9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C233C8A"/>
    <w:multiLevelType w:val="multilevel"/>
    <w:tmpl w:val="92262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2897895">
    <w:abstractNumId w:val="1"/>
  </w:num>
  <w:num w:numId="2" w16cid:durableId="1875196474">
    <w:abstractNumId w:val="0"/>
  </w:num>
  <w:num w:numId="3" w16cid:durableId="16172541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2050"/>
    <w:rsid w:val="00027CE6"/>
    <w:rsid w:val="00084C4F"/>
    <w:rsid w:val="000A6C5D"/>
    <w:rsid w:val="000E24FD"/>
    <w:rsid w:val="00145A07"/>
    <w:rsid w:val="00197AA8"/>
    <w:rsid w:val="00296497"/>
    <w:rsid w:val="00335761"/>
    <w:rsid w:val="0034201B"/>
    <w:rsid w:val="00346A42"/>
    <w:rsid w:val="0035340C"/>
    <w:rsid w:val="00396581"/>
    <w:rsid w:val="003B50CA"/>
    <w:rsid w:val="003C7F14"/>
    <w:rsid w:val="00425BFE"/>
    <w:rsid w:val="00465BBF"/>
    <w:rsid w:val="00480C9A"/>
    <w:rsid w:val="004B7AAA"/>
    <w:rsid w:val="00551A64"/>
    <w:rsid w:val="00554515"/>
    <w:rsid w:val="00602F25"/>
    <w:rsid w:val="00632540"/>
    <w:rsid w:val="00667881"/>
    <w:rsid w:val="0078305E"/>
    <w:rsid w:val="007D3B76"/>
    <w:rsid w:val="008038CB"/>
    <w:rsid w:val="008047A4"/>
    <w:rsid w:val="0084028D"/>
    <w:rsid w:val="009B0341"/>
    <w:rsid w:val="00A67330"/>
    <w:rsid w:val="00AA4BB6"/>
    <w:rsid w:val="00AD2050"/>
    <w:rsid w:val="00BB2577"/>
    <w:rsid w:val="00C036F9"/>
    <w:rsid w:val="00C32BFB"/>
    <w:rsid w:val="00CB32CC"/>
    <w:rsid w:val="00D03B9E"/>
    <w:rsid w:val="00D36508"/>
    <w:rsid w:val="00DF242F"/>
    <w:rsid w:val="00E01D10"/>
    <w:rsid w:val="00E43A6D"/>
    <w:rsid w:val="00EA1AE7"/>
    <w:rsid w:val="00EA73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BEF34"/>
  <w15:chartTrackingRefBased/>
  <w15:docId w15:val="{1710C8D5-62B6-482E-8BCF-14A9A3243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47A4"/>
    <w:pPr>
      <w:spacing w:after="0" w:line="480" w:lineRule="auto"/>
      <w:contextualSpacing/>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602F25"/>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C32BFB"/>
    <w:pPr>
      <w:spacing w:before="100" w:beforeAutospacing="1" w:after="100" w:afterAutospacing="1" w:line="240" w:lineRule="auto"/>
      <w:contextualSpacing w:val="0"/>
      <w:outlineLvl w:val="1"/>
    </w:pPr>
    <w:rPr>
      <w:rFonts w:eastAsia="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038CB"/>
    <w:pPr>
      <w:spacing w:before="100" w:beforeAutospacing="1" w:after="100" w:afterAutospacing="1" w:line="240" w:lineRule="auto"/>
      <w:contextualSpacing w:val="0"/>
    </w:pPr>
    <w:rPr>
      <w:rFonts w:eastAsia="Times New Roman"/>
      <w:lang w:val="en-US"/>
    </w:rPr>
  </w:style>
  <w:style w:type="paragraph" w:customStyle="1" w:styleId="lead">
    <w:name w:val="lead"/>
    <w:basedOn w:val="Normal"/>
    <w:rsid w:val="00A67330"/>
    <w:pPr>
      <w:spacing w:before="100" w:beforeAutospacing="1" w:after="100" w:afterAutospacing="1" w:line="240" w:lineRule="auto"/>
      <w:contextualSpacing w:val="0"/>
    </w:pPr>
    <w:rPr>
      <w:rFonts w:eastAsia="Times New Roman"/>
      <w:lang w:val="en-US"/>
    </w:rPr>
  </w:style>
  <w:style w:type="paragraph" w:customStyle="1" w:styleId="pullquote">
    <w:name w:val="pullquote"/>
    <w:basedOn w:val="Normal"/>
    <w:rsid w:val="00465BBF"/>
    <w:pPr>
      <w:spacing w:before="100" w:beforeAutospacing="1" w:after="100" w:afterAutospacing="1" w:line="240" w:lineRule="auto"/>
      <w:contextualSpacing w:val="0"/>
    </w:pPr>
    <w:rPr>
      <w:rFonts w:eastAsia="Times New Roman"/>
      <w:lang w:val="en-US"/>
    </w:rPr>
  </w:style>
  <w:style w:type="character" w:customStyle="1" w:styleId="Heading2Char">
    <w:name w:val="Heading 2 Char"/>
    <w:basedOn w:val="DefaultParagraphFont"/>
    <w:link w:val="Heading2"/>
    <w:uiPriority w:val="9"/>
    <w:rsid w:val="00C32BFB"/>
    <w:rPr>
      <w:rFonts w:ascii="Times New Roman" w:eastAsia="Times New Roman" w:hAnsi="Times New Roman" w:cs="Times New Roman"/>
      <w:b/>
      <w:bCs/>
      <w:sz w:val="36"/>
      <w:szCs w:val="36"/>
    </w:rPr>
  </w:style>
  <w:style w:type="character" w:styleId="Strong">
    <w:name w:val="Strong"/>
    <w:basedOn w:val="DefaultParagraphFont"/>
    <w:uiPriority w:val="22"/>
    <w:qFormat/>
    <w:rsid w:val="00197AA8"/>
    <w:rPr>
      <w:b/>
      <w:bCs/>
    </w:rPr>
  </w:style>
  <w:style w:type="character" w:styleId="Hyperlink">
    <w:name w:val="Hyperlink"/>
    <w:basedOn w:val="DefaultParagraphFont"/>
    <w:uiPriority w:val="99"/>
    <w:unhideWhenUsed/>
    <w:rsid w:val="00C036F9"/>
    <w:rPr>
      <w:color w:val="0563C1" w:themeColor="hyperlink"/>
      <w:u w:val="single"/>
    </w:rPr>
  </w:style>
  <w:style w:type="character" w:customStyle="1" w:styleId="hgkelc">
    <w:name w:val="hgkelc"/>
    <w:basedOn w:val="DefaultParagraphFont"/>
    <w:rsid w:val="0078305E"/>
  </w:style>
  <w:style w:type="character" w:customStyle="1" w:styleId="Heading1Char">
    <w:name w:val="Heading 1 Char"/>
    <w:basedOn w:val="DefaultParagraphFont"/>
    <w:link w:val="Heading1"/>
    <w:uiPriority w:val="9"/>
    <w:rsid w:val="00602F25"/>
    <w:rPr>
      <w:rFonts w:asciiTheme="majorHAnsi" w:eastAsiaTheme="majorEastAsia" w:hAnsiTheme="majorHAnsi" w:cstheme="majorBidi"/>
      <w:color w:val="2E74B5" w:themeColor="accent1" w:themeShade="BF"/>
      <w:sz w:val="32"/>
      <w:szCs w:val="32"/>
      <w:lang w:val="en-GB"/>
    </w:rPr>
  </w:style>
  <w:style w:type="character" w:customStyle="1" w:styleId="articledate-label">
    <w:name w:val="article__date-label"/>
    <w:basedOn w:val="DefaultParagraphFont"/>
    <w:rsid w:val="00602F25"/>
  </w:style>
  <w:style w:type="paragraph" w:styleId="ListParagraph">
    <w:name w:val="List Paragraph"/>
    <w:basedOn w:val="Normal"/>
    <w:uiPriority w:val="34"/>
    <w:qFormat/>
    <w:rsid w:val="00396581"/>
    <w:pPr>
      <w:ind w:left="720"/>
    </w:pPr>
  </w:style>
  <w:style w:type="paragraph" w:styleId="Header">
    <w:name w:val="header"/>
    <w:basedOn w:val="Normal"/>
    <w:link w:val="HeaderChar"/>
    <w:uiPriority w:val="99"/>
    <w:unhideWhenUsed/>
    <w:rsid w:val="00296497"/>
    <w:pPr>
      <w:tabs>
        <w:tab w:val="center" w:pos="4680"/>
        <w:tab w:val="right" w:pos="9360"/>
      </w:tabs>
      <w:spacing w:line="240" w:lineRule="auto"/>
    </w:pPr>
  </w:style>
  <w:style w:type="character" w:customStyle="1" w:styleId="HeaderChar">
    <w:name w:val="Header Char"/>
    <w:basedOn w:val="DefaultParagraphFont"/>
    <w:link w:val="Header"/>
    <w:uiPriority w:val="99"/>
    <w:rsid w:val="00296497"/>
    <w:rPr>
      <w:rFonts w:ascii="Times New Roman" w:hAnsi="Times New Roman" w:cs="Times New Roman"/>
      <w:sz w:val="24"/>
      <w:szCs w:val="24"/>
      <w:lang w:val="en-GB"/>
    </w:rPr>
  </w:style>
  <w:style w:type="paragraph" w:styleId="Footer">
    <w:name w:val="footer"/>
    <w:basedOn w:val="Normal"/>
    <w:link w:val="FooterChar"/>
    <w:uiPriority w:val="99"/>
    <w:unhideWhenUsed/>
    <w:rsid w:val="00296497"/>
    <w:pPr>
      <w:tabs>
        <w:tab w:val="center" w:pos="4680"/>
        <w:tab w:val="right" w:pos="9360"/>
      </w:tabs>
      <w:spacing w:line="240" w:lineRule="auto"/>
    </w:pPr>
  </w:style>
  <w:style w:type="character" w:customStyle="1" w:styleId="FooterChar">
    <w:name w:val="Footer Char"/>
    <w:basedOn w:val="DefaultParagraphFont"/>
    <w:link w:val="Footer"/>
    <w:uiPriority w:val="99"/>
    <w:rsid w:val="00296497"/>
    <w:rPr>
      <w:rFonts w:ascii="Times New Roman" w:hAnsi="Times New Roman" w:cs="Times New Roman"/>
      <w:sz w:val="24"/>
      <w:szCs w:val="24"/>
      <w:lang w:val="en-GB"/>
    </w:rPr>
  </w:style>
  <w:style w:type="character" w:styleId="Emphasis">
    <w:name w:val="Emphasis"/>
    <w:basedOn w:val="DefaultParagraphFont"/>
    <w:uiPriority w:val="20"/>
    <w:qFormat/>
    <w:rsid w:val="0029649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4412">
      <w:bodyDiv w:val="1"/>
      <w:marLeft w:val="0"/>
      <w:marRight w:val="0"/>
      <w:marTop w:val="0"/>
      <w:marBottom w:val="0"/>
      <w:divBdr>
        <w:top w:val="none" w:sz="0" w:space="0" w:color="auto"/>
        <w:left w:val="none" w:sz="0" w:space="0" w:color="auto"/>
        <w:bottom w:val="none" w:sz="0" w:space="0" w:color="auto"/>
        <w:right w:val="none" w:sz="0" w:space="0" w:color="auto"/>
      </w:divBdr>
    </w:div>
    <w:div w:id="33963792">
      <w:bodyDiv w:val="1"/>
      <w:marLeft w:val="0"/>
      <w:marRight w:val="0"/>
      <w:marTop w:val="0"/>
      <w:marBottom w:val="0"/>
      <w:divBdr>
        <w:top w:val="none" w:sz="0" w:space="0" w:color="auto"/>
        <w:left w:val="none" w:sz="0" w:space="0" w:color="auto"/>
        <w:bottom w:val="none" w:sz="0" w:space="0" w:color="auto"/>
        <w:right w:val="none" w:sz="0" w:space="0" w:color="auto"/>
      </w:divBdr>
    </w:div>
    <w:div w:id="301034552">
      <w:bodyDiv w:val="1"/>
      <w:marLeft w:val="0"/>
      <w:marRight w:val="0"/>
      <w:marTop w:val="0"/>
      <w:marBottom w:val="0"/>
      <w:divBdr>
        <w:top w:val="none" w:sz="0" w:space="0" w:color="auto"/>
        <w:left w:val="none" w:sz="0" w:space="0" w:color="auto"/>
        <w:bottom w:val="none" w:sz="0" w:space="0" w:color="auto"/>
        <w:right w:val="none" w:sz="0" w:space="0" w:color="auto"/>
      </w:divBdr>
    </w:div>
    <w:div w:id="400758146">
      <w:bodyDiv w:val="1"/>
      <w:marLeft w:val="0"/>
      <w:marRight w:val="0"/>
      <w:marTop w:val="0"/>
      <w:marBottom w:val="0"/>
      <w:divBdr>
        <w:top w:val="none" w:sz="0" w:space="0" w:color="auto"/>
        <w:left w:val="none" w:sz="0" w:space="0" w:color="auto"/>
        <w:bottom w:val="none" w:sz="0" w:space="0" w:color="auto"/>
        <w:right w:val="none" w:sz="0" w:space="0" w:color="auto"/>
      </w:divBdr>
    </w:div>
    <w:div w:id="594552514">
      <w:bodyDiv w:val="1"/>
      <w:marLeft w:val="0"/>
      <w:marRight w:val="0"/>
      <w:marTop w:val="0"/>
      <w:marBottom w:val="0"/>
      <w:divBdr>
        <w:top w:val="none" w:sz="0" w:space="0" w:color="auto"/>
        <w:left w:val="none" w:sz="0" w:space="0" w:color="auto"/>
        <w:bottom w:val="none" w:sz="0" w:space="0" w:color="auto"/>
        <w:right w:val="none" w:sz="0" w:space="0" w:color="auto"/>
      </w:divBdr>
      <w:divsChild>
        <w:div w:id="518660589">
          <w:marLeft w:val="0"/>
          <w:marRight w:val="0"/>
          <w:marTop w:val="0"/>
          <w:marBottom w:val="0"/>
          <w:divBdr>
            <w:top w:val="none" w:sz="0" w:space="0" w:color="auto"/>
            <w:left w:val="none" w:sz="0" w:space="0" w:color="auto"/>
            <w:bottom w:val="none" w:sz="0" w:space="0" w:color="auto"/>
            <w:right w:val="none" w:sz="0" w:space="0" w:color="auto"/>
          </w:divBdr>
          <w:divsChild>
            <w:div w:id="2073775824">
              <w:marLeft w:val="0"/>
              <w:marRight w:val="0"/>
              <w:marTop w:val="0"/>
              <w:marBottom w:val="0"/>
              <w:divBdr>
                <w:top w:val="none" w:sz="0" w:space="0" w:color="auto"/>
                <w:left w:val="none" w:sz="0" w:space="0" w:color="auto"/>
                <w:bottom w:val="none" w:sz="0" w:space="0" w:color="auto"/>
                <w:right w:val="none" w:sz="0" w:space="0" w:color="auto"/>
              </w:divBdr>
              <w:divsChild>
                <w:div w:id="90159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5622155">
          <w:marLeft w:val="0"/>
          <w:marRight w:val="0"/>
          <w:marTop w:val="0"/>
          <w:marBottom w:val="0"/>
          <w:divBdr>
            <w:top w:val="none" w:sz="0" w:space="0" w:color="auto"/>
            <w:left w:val="none" w:sz="0" w:space="0" w:color="auto"/>
            <w:bottom w:val="none" w:sz="0" w:space="0" w:color="auto"/>
            <w:right w:val="none" w:sz="0" w:space="0" w:color="auto"/>
          </w:divBdr>
        </w:div>
      </w:divsChild>
    </w:div>
    <w:div w:id="611472334">
      <w:bodyDiv w:val="1"/>
      <w:marLeft w:val="0"/>
      <w:marRight w:val="0"/>
      <w:marTop w:val="0"/>
      <w:marBottom w:val="0"/>
      <w:divBdr>
        <w:top w:val="none" w:sz="0" w:space="0" w:color="auto"/>
        <w:left w:val="none" w:sz="0" w:space="0" w:color="auto"/>
        <w:bottom w:val="none" w:sz="0" w:space="0" w:color="auto"/>
        <w:right w:val="none" w:sz="0" w:space="0" w:color="auto"/>
      </w:divBdr>
    </w:div>
    <w:div w:id="639186577">
      <w:bodyDiv w:val="1"/>
      <w:marLeft w:val="0"/>
      <w:marRight w:val="0"/>
      <w:marTop w:val="0"/>
      <w:marBottom w:val="0"/>
      <w:divBdr>
        <w:top w:val="none" w:sz="0" w:space="0" w:color="auto"/>
        <w:left w:val="none" w:sz="0" w:space="0" w:color="auto"/>
        <w:bottom w:val="none" w:sz="0" w:space="0" w:color="auto"/>
        <w:right w:val="none" w:sz="0" w:space="0" w:color="auto"/>
      </w:divBdr>
    </w:div>
    <w:div w:id="813833452">
      <w:bodyDiv w:val="1"/>
      <w:marLeft w:val="0"/>
      <w:marRight w:val="0"/>
      <w:marTop w:val="0"/>
      <w:marBottom w:val="0"/>
      <w:divBdr>
        <w:top w:val="none" w:sz="0" w:space="0" w:color="auto"/>
        <w:left w:val="none" w:sz="0" w:space="0" w:color="auto"/>
        <w:bottom w:val="none" w:sz="0" w:space="0" w:color="auto"/>
        <w:right w:val="none" w:sz="0" w:space="0" w:color="auto"/>
      </w:divBdr>
    </w:div>
    <w:div w:id="940799229">
      <w:bodyDiv w:val="1"/>
      <w:marLeft w:val="0"/>
      <w:marRight w:val="0"/>
      <w:marTop w:val="0"/>
      <w:marBottom w:val="0"/>
      <w:divBdr>
        <w:top w:val="none" w:sz="0" w:space="0" w:color="auto"/>
        <w:left w:val="none" w:sz="0" w:space="0" w:color="auto"/>
        <w:bottom w:val="none" w:sz="0" w:space="0" w:color="auto"/>
        <w:right w:val="none" w:sz="0" w:space="0" w:color="auto"/>
      </w:divBdr>
    </w:div>
    <w:div w:id="1037387731">
      <w:bodyDiv w:val="1"/>
      <w:marLeft w:val="0"/>
      <w:marRight w:val="0"/>
      <w:marTop w:val="0"/>
      <w:marBottom w:val="0"/>
      <w:divBdr>
        <w:top w:val="none" w:sz="0" w:space="0" w:color="auto"/>
        <w:left w:val="none" w:sz="0" w:space="0" w:color="auto"/>
        <w:bottom w:val="none" w:sz="0" w:space="0" w:color="auto"/>
        <w:right w:val="none" w:sz="0" w:space="0" w:color="auto"/>
      </w:divBdr>
      <w:divsChild>
        <w:div w:id="1080903476">
          <w:marLeft w:val="0"/>
          <w:marRight w:val="0"/>
          <w:marTop w:val="0"/>
          <w:marBottom w:val="0"/>
          <w:divBdr>
            <w:top w:val="none" w:sz="0" w:space="0" w:color="auto"/>
            <w:left w:val="none" w:sz="0" w:space="0" w:color="auto"/>
            <w:bottom w:val="none" w:sz="0" w:space="0" w:color="auto"/>
            <w:right w:val="none" w:sz="0" w:space="0" w:color="auto"/>
          </w:divBdr>
        </w:div>
      </w:divsChild>
    </w:div>
    <w:div w:id="1309475742">
      <w:bodyDiv w:val="1"/>
      <w:marLeft w:val="0"/>
      <w:marRight w:val="0"/>
      <w:marTop w:val="0"/>
      <w:marBottom w:val="0"/>
      <w:divBdr>
        <w:top w:val="none" w:sz="0" w:space="0" w:color="auto"/>
        <w:left w:val="none" w:sz="0" w:space="0" w:color="auto"/>
        <w:bottom w:val="none" w:sz="0" w:space="0" w:color="auto"/>
        <w:right w:val="none" w:sz="0" w:space="0" w:color="auto"/>
      </w:divBdr>
    </w:div>
    <w:div w:id="1321469717">
      <w:bodyDiv w:val="1"/>
      <w:marLeft w:val="0"/>
      <w:marRight w:val="0"/>
      <w:marTop w:val="0"/>
      <w:marBottom w:val="0"/>
      <w:divBdr>
        <w:top w:val="none" w:sz="0" w:space="0" w:color="auto"/>
        <w:left w:val="none" w:sz="0" w:space="0" w:color="auto"/>
        <w:bottom w:val="none" w:sz="0" w:space="0" w:color="auto"/>
        <w:right w:val="none" w:sz="0" w:space="0" w:color="auto"/>
      </w:divBdr>
    </w:div>
    <w:div w:id="1482231411">
      <w:bodyDiv w:val="1"/>
      <w:marLeft w:val="0"/>
      <w:marRight w:val="0"/>
      <w:marTop w:val="0"/>
      <w:marBottom w:val="0"/>
      <w:divBdr>
        <w:top w:val="none" w:sz="0" w:space="0" w:color="auto"/>
        <w:left w:val="none" w:sz="0" w:space="0" w:color="auto"/>
        <w:bottom w:val="none" w:sz="0" w:space="0" w:color="auto"/>
        <w:right w:val="none" w:sz="0" w:space="0" w:color="auto"/>
      </w:divBdr>
    </w:div>
    <w:div w:id="1585066683">
      <w:bodyDiv w:val="1"/>
      <w:marLeft w:val="0"/>
      <w:marRight w:val="0"/>
      <w:marTop w:val="0"/>
      <w:marBottom w:val="0"/>
      <w:divBdr>
        <w:top w:val="none" w:sz="0" w:space="0" w:color="auto"/>
        <w:left w:val="none" w:sz="0" w:space="0" w:color="auto"/>
        <w:bottom w:val="none" w:sz="0" w:space="0" w:color="auto"/>
        <w:right w:val="none" w:sz="0" w:space="0" w:color="auto"/>
      </w:divBdr>
      <w:divsChild>
        <w:div w:id="1724983436">
          <w:marLeft w:val="0"/>
          <w:marRight w:val="0"/>
          <w:marTop w:val="0"/>
          <w:marBottom w:val="0"/>
          <w:divBdr>
            <w:top w:val="none" w:sz="0" w:space="0" w:color="auto"/>
            <w:left w:val="none" w:sz="0" w:space="0" w:color="auto"/>
            <w:bottom w:val="none" w:sz="0" w:space="0" w:color="auto"/>
            <w:right w:val="none" w:sz="0" w:space="0" w:color="auto"/>
          </w:divBdr>
          <w:divsChild>
            <w:div w:id="1524249870">
              <w:marLeft w:val="0"/>
              <w:marRight w:val="0"/>
              <w:marTop w:val="0"/>
              <w:marBottom w:val="0"/>
              <w:divBdr>
                <w:top w:val="none" w:sz="0" w:space="0" w:color="auto"/>
                <w:left w:val="none" w:sz="0" w:space="0" w:color="auto"/>
                <w:bottom w:val="none" w:sz="0" w:space="0" w:color="auto"/>
                <w:right w:val="none" w:sz="0" w:space="0" w:color="auto"/>
              </w:divBdr>
              <w:divsChild>
                <w:div w:id="958103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968541">
      <w:bodyDiv w:val="1"/>
      <w:marLeft w:val="0"/>
      <w:marRight w:val="0"/>
      <w:marTop w:val="0"/>
      <w:marBottom w:val="0"/>
      <w:divBdr>
        <w:top w:val="none" w:sz="0" w:space="0" w:color="auto"/>
        <w:left w:val="none" w:sz="0" w:space="0" w:color="auto"/>
        <w:bottom w:val="none" w:sz="0" w:space="0" w:color="auto"/>
        <w:right w:val="none" w:sz="0" w:space="0" w:color="auto"/>
      </w:divBdr>
    </w:div>
    <w:div w:id="1699114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F61296-00C8-4956-9EFA-477FFB567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2626</TotalTime>
  <Pages>12</Pages>
  <Words>2716</Words>
  <Characters>15485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 Computers</dc:creator>
  <cp:keywords/>
  <dc:description/>
  <cp:lastModifiedBy>Baciu</cp:lastModifiedBy>
  <cp:revision>11</cp:revision>
  <dcterms:created xsi:type="dcterms:W3CDTF">2022-11-29T16:20:00Z</dcterms:created>
  <dcterms:modified xsi:type="dcterms:W3CDTF">2022-12-06T21:57:00Z</dcterms:modified>
</cp:coreProperties>
</file>