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4BA52CE3" w14:textId="240113BE" w:rsidR="00DF1E4A" w:rsidRPr="00CD33A8" w:rsidRDefault="00074402" w:rsidP="006732C1">
      <w:pPr>
        <w:rPr>
          <w:rFonts w:asciiTheme="minorBidi" w:hAnsiTheme="minorBidi"/>
        </w:rPr>
      </w:pPr>
      <w:r w:rsidRPr="00CD33A8">
        <w:rPr>
          <w:rFonts w:asciiTheme="minorBidi" w:hAnsiTheme="minorBidi"/>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C0A84" w:rsidRDefault="00074402" w:rsidP="000C0A84">
      <w:pPr>
        <w:rPr>
          <w:sz w:val="24"/>
        </w:rPr>
      </w:pPr>
    </w:p>
    <w:p w14:paraId="4E267F2C" w14:textId="35E99859" w:rsidR="00074402" w:rsidRPr="006732C1" w:rsidRDefault="00074402" w:rsidP="00CD33A8">
      <w:pPr>
        <w:spacing w:line="360" w:lineRule="auto"/>
        <w:rPr>
          <w:rFonts w:asciiTheme="minorBidi" w:hAnsiTheme="minorBidi"/>
          <w:color w:val="FFFFFF" w:themeColor="background1"/>
        </w:rPr>
      </w:pPr>
    </w:p>
    <w:p w14:paraId="5D864E3F" w14:textId="04749E68" w:rsidR="00074402" w:rsidRPr="00CD33A8" w:rsidRDefault="00074402" w:rsidP="00CD33A8">
      <w:pPr>
        <w:spacing w:line="360" w:lineRule="auto"/>
        <w:rPr>
          <w:rFonts w:asciiTheme="minorBidi" w:hAnsiTheme="minorBidi"/>
        </w:rPr>
      </w:pPr>
    </w:p>
    <w:p w14:paraId="22F2817A" w14:textId="77777777" w:rsidR="00074402" w:rsidRPr="00CD33A8" w:rsidRDefault="00074402" w:rsidP="00CD33A8">
      <w:pPr>
        <w:tabs>
          <w:tab w:val="left" w:pos="6540"/>
        </w:tabs>
        <w:spacing w:line="360" w:lineRule="auto"/>
        <w:rPr>
          <w:rFonts w:asciiTheme="minorBidi" w:hAnsiTheme="minorBidi"/>
        </w:rPr>
      </w:pPr>
    </w:p>
    <w:p w14:paraId="7D557BA5" w14:textId="38C43CCC" w:rsidR="00CD33A8" w:rsidRPr="00EE50A9" w:rsidRDefault="00CD33A8" w:rsidP="00CD33A8">
      <w:pPr>
        <w:tabs>
          <w:tab w:val="left" w:pos="6540"/>
        </w:tabs>
        <w:spacing w:line="360" w:lineRule="auto"/>
        <w:rPr>
          <w:rFonts w:ascii="Arial" w:hAnsi="Arial" w:cs="Arial"/>
          <w:color w:val="E2DFCC" w:themeColor="background2"/>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D908AD" w:rsidRPr="00D908AD">
        <w:rPr>
          <w:rFonts w:ascii="Arial" w:hAnsi="Arial" w:cs="Arial"/>
          <w:sz w:val="28"/>
          <w:szCs w:val="28"/>
          <w:lang w:val="nl-NL"/>
        </w:rPr>
        <w:t xml:space="preserve">Introduction to Public Health </w:t>
      </w:r>
    </w:p>
    <w:p w14:paraId="537571AF" w14:textId="1EF46BE4"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D908AD" w:rsidRPr="00D908AD">
        <w:t xml:space="preserve"> </w:t>
      </w:r>
      <w:r w:rsidR="00D908AD" w:rsidRPr="00D908AD">
        <w:rPr>
          <w:rFonts w:ascii="Arial" w:hAnsi="Arial" w:cs="Arial"/>
          <w:sz w:val="28"/>
          <w:szCs w:val="28"/>
        </w:rPr>
        <w:t>(LCHS4008).</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12FBACF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0C22DC">
        <w:rPr>
          <w:rFonts w:ascii="Arial" w:hAnsi="Arial" w:cs="Arial"/>
          <w:sz w:val="28"/>
          <w:szCs w:val="28"/>
          <w:lang w:val="nl-NL"/>
        </w:rPr>
        <w:t xml:space="preserve"> Alketa Lata </w:t>
      </w:r>
    </w:p>
    <w:p w14:paraId="39AA4413" w14:textId="0497676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0C22DC">
        <w:rPr>
          <w:rFonts w:ascii="Arial" w:hAnsi="Arial" w:cs="Arial"/>
          <w:sz w:val="28"/>
          <w:szCs w:val="28"/>
          <w:lang w:val="nl-NL"/>
        </w:rPr>
        <w:t xml:space="preserve"> 2510172</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EF06412"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0C22DC">
        <w:rPr>
          <w:rFonts w:ascii="Arial" w:hAnsi="Arial" w:cs="Arial"/>
          <w:sz w:val="28"/>
          <w:szCs w:val="28"/>
        </w:rPr>
        <w:t xml:space="preserve"> </w:t>
      </w:r>
      <w:r w:rsidR="00990AE3" w:rsidRPr="00990AE3">
        <w:rPr>
          <w:rFonts w:ascii="Arial" w:hAnsi="Arial" w:cs="Arial"/>
          <w:sz w:val="28"/>
          <w:szCs w:val="28"/>
        </w:rPr>
        <w:t>Caroline Salami​</w:t>
      </w:r>
    </w:p>
    <w:p w14:paraId="39D08584" w14:textId="77777777" w:rsidR="00074402" w:rsidRPr="00CD33A8" w:rsidRDefault="00074402" w:rsidP="00CD33A8">
      <w:pPr>
        <w:tabs>
          <w:tab w:val="left" w:pos="6540"/>
        </w:tabs>
        <w:spacing w:line="360" w:lineRule="auto"/>
        <w:rPr>
          <w:rFonts w:asciiTheme="minorBidi" w:hAnsiTheme="minorBidi"/>
        </w:rPr>
      </w:pPr>
    </w:p>
    <w:p w14:paraId="5B66D125" w14:textId="77777777" w:rsidR="00074402" w:rsidRPr="00CD33A8" w:rsidRDefault="00074402" w:rsidP="00CD33A8">
      <w:pPr>
        <w:tabs>
          <w:tab w:val="left" w:pos="6540"/>
        </w:tabs>
        <w:spacing w:line="360" w:lineRule="auto"/>
        <w:rPr>
          <w:rFonts w:asciiTheme="minorBidi" w:hAnsiTheme="minorBidi"/>
        </w:rPr>
      </w:pPr>
    </w:p>
    <w:p w14:paraId="291524A2" w14:textId="2CBFF360" w:rsidR="00074402" w:rsidRPr="00CD33A8" w:rsidRDefault="00074402" w:rsidP="00CD33A8">
      <w:pPr>
        <w:tabs>
          <w:tab w:val="left" w:pos="6540"/>
        </w:tabs>
        <w:spacing w:line="360" w:lineRule="auto"/>
        <w:rPr>
          <w:rFonts w:asciiTheme="minorBidi" w:hAnsiTheme="minorBidi"/>
        </w:rPr>
      </w:pPr>
    </w:p>
    <w:p w14:paraId="5AE88297" w14:textId="24E6B718" w:rsidR="00B87E75" w:rsidRPr="00CD33A8" w:rsidRDefault="00B87E75" w:rsidP="00CD33A8">
      <w:pPr>
        <w:tabs>
          <w:tab w:val="left" w:pos="6540"/>
        </w:tabs>
        <w:spacing w:line="360" w:lineRule="auto"/>
        <w:rPr>
          <w:rFonts w:asciiTheme="minorBidi" w:hAnsiTheme="minorBidi"/>
        </w:rPr>
      </w:pPr>
    </w:p>
    <w:p w14:paraId="420ADE33" w14:textId="35FB1322" w:rsidR="00B87E75" w:rsidRPr="00CD33A8" w:rsidRDefault="00B87E75" w:rsidP="00CD33A8">
      <w:pPr>
        <w:spacing w:line="360" w:lineRule="auto"/>
        <w:rPr>
          <w:rFonts w:asciiTheme="minorBidi" w:hAnsiTheme="minorBidi"/>
        </w:rPr>
      </w:pPr>
      <w:r w:rsidRPr="00CD33A8">
        <w:rPr>
          <w:rFonts w:asciiTheme="minorBidi" w:hAnsiTheme="minorBidi"/>
        </w:rPr>
        <w:br w:type="page"/>
      </w:r>
    </w:p>
    <w:p w14:paraId="05AB2C84" w14:textId="4D2C1F1C" w:rsidR="00B87E75" w:rsidRPr="00CD33A8" w:rsidRDefault="00B87E75" w:rsidP="00E620E7">
      <w:pPr>
        <w:pStyle w:val="Heading1"/>
      </w:pPr>
      <w:r w:rsidRPr="00CD33A8">
        <w:lastRenderedPageBreak/>
        <w:t>Table of contents</w:t>
      </w:r>
    </w:p>
    <w:p w14:paraId="75067F26" w14:textId="29503E02" w:rsidR="007378D8" w:rsidRPr="007378D8" w:rsidRDefault="007378D8" w:rsidP="00F91D22"/>
    <w:p w14:paraId="2ED8D76A" w14:textId="77777777" w:rsidR="00F839CD" w:rsidRPr="00F839CD" w:rsidRDefault="00F839CD" w:rsidP="00F839CD">
      <w:pPr>
        <w:rPr>
          <w:rFonts w:asciiTheme="minorBidi" w:hAnsiTheme="minorBidi"/>
        </w:rPr>
      </w:pPr>
      <w:r w:rsidRPr="00F839CD">
        <w:rPr>
          <w:rFonts w:asciiTheme="minorBidi" w:hAnsiTheme="minorBidi"/>
        </w:rPr>
        <w:t>Stroke is a major non</w:t>
      </w:r>
      <w:r w:rsidRPr="00F839CD">
        <w:rPr>
          <w:rFonts w:ascii="Cambria Math" w:hAnsi="Cambria Math" w:cs="Cambria Math"/>
        </w:rPr>
        <w:t>‑</w:t>
      </w:r>
      <w:r w:rsidRPr="00F839CD">
        <w:rPr>
          <w:rFonts w:asciiTheme="minorBidi" w:hAnsiTheme="minorBidi"/>
        </w:rPr>
        <w:t>communicable disease characterised by a sudden interruption of cerebral blood flow due to vessel blockage (ischaemic stroke) or intracranial bleeding (haemorrhagic stroke), resulting in rapid neurological impairment (WHO, 2025).</w:t>
      </w:r>
    </w:p>
    <w:p w14:paraId="4FCCDBB1" w14:textId="31F10742" w:rsidR="00F839CD" w:rsidRPr="00F839CD" w:rsidRDefault="00D50B57" w:rsidP="00F839CD">
      <w:pPr>
        <w:rPr>
          <w:rFonts w:asciiTheme="minorBidi" w:hAnsiTheme="minorBidi"/>
        </w:rPr>
      </w:pPr>
      <w:r>
        <w:rPr>
          <w:rFonts w:asciiTheme="minorBidi" w:hAnsiTheme="minorBidi"/>
        </w:rPr>
        <w:t>The report aims to examine how stroke is measured, monitored, and controlled; identify its key determinants and risk factors; and assess strategies that promote the health and well-being of people and communities affected by stroke. It demonstrates advanced critical analysis, comprehensive coverage of current evidence and policy, and an evaluative approach to public health strategies regarding stroke.</w:t>
      </w:r>
    </w:p>
    <w:p w14:paraId="1D01546A" w14:textId="38F284C3" w:rsidR="00F839CD" w:rsidRPr="00F839CD" w:rsidRDefault="00C9361B" w:rsidP="00F839CD">
      <w:pPr>
        <w:rPr>
          <w:rFonts w:asciiTheme="minorBidi" w:hAnsiTheme="minorBidi"/>
        </w:rPr>
      </w:pPr>
      <w:r>
        <w:rPr>
          <w:rFonts w:asciiTheme="minorBidi" w:hAnsiTheme="minorBidi"/>
        </w:rPr>
        <w:t xml:space="preserve">This report is </w:t>
      </w:r>
      <w:r w:rsidR="00BD57C1">
        <w:rPr>
          <w:rFonts w:asciiTheme="minorBidi" w:hAnsiTheme="minorBidi"/>
        </w:rPr>
        <w:t>divided</w:t>
      </w:r>
      <w:r>
        <w:rPr>
          <w:rFonts w:asciiTheme="minorBidi" w:hAnsiTheme="minorBidi"/>
        </w:rPr>
        <w:t xml:space="preserve"> into three main sections. First, it examines the measurement, monitoring, and control of stroke, focusing on surveillance systems and both acute and long-term management. Second, it discusses the primary determinants and risk factors, differentiating between non</w:t>
      </w:r>
      <w:r>
        <w:rPr>
          <w:rFonts w:ascii="Cambria Math" w:hAnsi="Cambria Math" w:cs="Cambria Math"/>
        </w:rPr>
        <w:t>‑</w:t>
      </w:r>
      <w:r>
        <w:rPr>
          <w:rFonts w:asciiTheme="minorBidi" w:hAnsiTheme="minorBidi"/>
        </w:rPr>
        <w:t xml:space="preserve">modifiable and modifiable factors. Finally, it assesses strategies at the individual, community, and healthcare system levels </w:t>
      </w:r>
      <w:r w:rsidR="003F06F7">
        <w:rPr>
          <w:rFonts w:asciiTheme="minorBidi" w:hAnsiTheme="minorBidi"/>
        </w:rPr>
        <w:t>to reduce the stroke burden and support</w:t>
      </w:r>
      <w:r>
        <w:rPr>
          <w:rFonts w:asciiTheme="minorBidi" w:hAnsiTheme="minorBidi"/>
        </w:rPr>
        <w:t xml:space="preserve"> affected populations.</w:t>
      </w:r>
    </w:p>
    <w:p w14:paraId="2145C443" w14:textId="6AF8CAF4" w:rsidR="00F839CD" w:rsidRPr="00F839CD" w:rsidRDefault="00F839CD" w:rsidP="00F839CD">
      <w:pPr>
        <w:rPr>
          <w:rFonts w:asciiTheme="minorBidi" w:hAnsiTheme="minorBidi"/>
        </w:rPr>
      </w:pPr>
      <w:r w:rsidRPr="00F839CD">
        <w:rPr>
          <w:rFonts w:asciiTheme="minorBidi" w:hAnsiTheme="minorBidi"/>
        </w:rPr>
        <w:t>Globally, stroke remains one of the most severe public health challenges, with 93.8 million people suffering from its long-term effects and 11.9 million new cases annually, reflecting an 86% rise in prevalence since 1990 (Feigin et al., 2025). In the UK, stroke affects over 113,000 individuals each year, and approximately 1 million people live with stroke</w:t>
      </w:r>
      <w:r w:rsidRPr="00F839CD">
        <w:rPr>
          <w:rFonts w:ascii="Cambria Math" w:hAnsi="Cambria Math" w:cs="Cambria Math"/>
        </w:rPr>
        <w:t>‑</w:t>
      </w:r>
      <w:r w:rsidRPr="00F839CD">
        <w:rPr>
          <w:rFonts w:asciiTheme="minorBidi" w:hAnsiTheme="minorBidi"/>
        </w:rPr>
        <w:t xml:space="preserve">related disability (King et al., 2020). Common signs and symptoms include facial asymmetry, arm weakness, and speech disturbances, often summarised by the </w:t>
      </w:r>
      <w:r w:rsidR="00BD58D5">
        <w:rPr>
          <w:rFonts w:asciiTheme="minorBidi" w:hAnsiTheme="minorBidi"/>
        </w:rPr>
        <w:t>A</w:t>
      </w:r>
      <w:r w:rsidR="00714771">
        <w:rPr>
          <w:rFonts w:asciiTheme="minorBidi" w:hAnsiTheme="minorBidi"/>
        </w:rPr>
        <w:t>ct</w:t>
      </w:r>
      <w:r w:rsidR="00BD58D5">
        <w:rPr>
          <w:rFonts w:asciiTheme="minorBidi" w:hAnsiTheme="minorBidi"/>
        </w:rPr>
        <w:t xml:space="preserve"> </w:t>
      </w:r>
      <w:r w:rsidRPr="00F839CD">
        <w:rPr>
          <w:rFonts w:asciiTheme="minorBidi" w:hAnsiTheme="minorBidi"/>
        </w:rPr>
        <w:t>FAST (NHS England, 2024)</w:t>
      </w:r>
      <w:r w:rsidR="00280325">
        <w:rPr>
          <w:rFonts w:asciiTheme="minorBidi" w:hAnsiTheme="minorBidi"/>
        </w:rPr>
        <w:t>.</w:t>
      </w:r>
    </w:p>
    <w:p w14:paraId="34F6D70C" w14:textId="62C9A35E" w:rsidR="00F839CD" w:rsidRPr="00F839CD" w:rsidRDefault="00BB37E7" w:rsidP="00F839CD">
      <w:pPr>
        <w:rPr>
          <w:rFonts w:asciiTheme="minorBidi" w:hAnsiTheme="minorBidi"/>
        </w:rPr>
      </w:pPr>
      <w:r>
        <w:rPr>
          <w:rFonts w:asciiTheme="minorBidi" w:hAnsiTheme="minorBidi"/>
        </w:rPr>
        <w:t>However, it is important to recognise that stroke data have several limitations. Surveillance data may be affected by underreporting, variations in diagnostic criteria, and incomplete coverage across regions, particularly in low- and middle-income countries. Differences in data collection methods and potential misclassification of stroke types can introduce bias and affect comparisons between studies. Recognising these limitations helps ensure that interpretations of burden and trends remain transparent and suitably cautious.</w:t>
      </w:r>
    </w:p>
    <w:p w14:paraId="58A5A6E9" w14:textId="16F9F918" w:rsidR="00F839CD" w:rsidRPr="00F839CD" w:rsidRDefault="007F6158" w:rsidP="00F839CD">
      <w:pPr>
        <w:rPr>
          <w:rFonts w:asciiTheme="minorBidi" w:hAnsiTheme="minorBidi"/>
        </w:rPr>
      </w:pPr>
      <w:r>
        <w:rPr>
          <w:rFonts w:asciiTheme="minorBidi" w:hAnsiTheme="minorBidi"/>
        </w:rPr>
        <w:t>In the UK, surveillance is supported by the Sentinel Stroke National Audit Programme (SSNAP), which provides real-time data on the quality of stroke care. Approximately 113,000 strokes occur annually, and prevalence is projected to rise by 120% by 2035 (King et al., 2020). Mortality data from NHS England show a steady increase in hospital admissions, with 111,137 admissions in 2023/24, representing a 28% rise since 2004 (NHS England, 2024). Compared to other high-income countries, the UK’s stroke incidence and mortality rates are broadly similar. However, some Western European nations have experienced more gradual increases, or even declines, due to earlier implementation of large-scale prevention and control measures. For example, while the UK has seen a marked rise in admissions, countries such as Germany and France have stabilised stroke rates, demonstrating differences in public health policies and risk factor management. (Redon et al., 2011, pp. 1424-1431) These metrics enable decision-makers to monitor trends, allocate resources, and evaluate prevention strategies.</w:t>
      </w:r>
    </w:p>
    <w:p w14:paraId="59A64C1C" w14:textId="77777777" w:rsidR="00F9423E" w:rsidRDefault="00F9423E" w:rsidP="00F839CD">
      <w:pPr>
        <w:rPr>
          <w:rFonts w:asciiTheme="minorBidi" w:hAnsiTheme="minorBidi"/>
        </w:rPr>
      </w:pPr>
    </w:p>
    <w:p w14:paraId="1867E448" w14:textId="74D78C33" w:rsidR="00F839CD" w:rsidRPr="00F839CD" w:rsidRDefault="00F839CD" w:rsidP="00F839CD">
      <w:pPr>
        <w:rPr>
          <w:rFonts w:asciiTheme="minorBidi" w:hAnsiTheme="minorBidi"/>
        </w:rPr>
      </w:pPr>
      <w:r w:rsidRPr="00F839CD">
        <w:rPr>
          <w:rFonts w:asciiTheme="minorBidi" w:hAnsiTheme="minorBidi"/>
        </w:rPr>
        <w:t xml:space="preserve">Protection focuses on safeguarding populations from risk factors and assuring a rapid response to acute stroke events. One of the most effective protective strategies is the NHS </w:t>
      </w:r>
      <w:r w:rsidRPr="00F839CD">
        <w:rPr>
          <w:rFonts w:asciiTheme="minorBidi" w:hAnsiTheme="minorBidi"/>
        </w:rPr>
        <w:lastRenderedPageBreak/>
        <w:t xml:space="preserve">Act FAST campaign, which educates the public on recognising facial drooping, arm weakness and speech difficulties, inducing immediate emergency action (NHS England, 2024). Early recognition is </w:t>
      </w:r>
      <w:r w:rsidR="00026EA8">
        <w:rPr>
          <w:rFonts w:asciiTheme="minorBidi" w:hAnsiTheme="minorBidi"/>
        </w:rPr>
        <w:t>critical</w:t>
      </w:r>
      <w:r w:rsidRPr="00F839CD">
        <w:rPr>
          <w:rFonts w:asciiTheme="minorBidi" w:hAnsiTheme="minorBidi"/>
        </w:rPr>
        <w:t>, as timely thrombolysis or thrombectomy considerably lowers mortality and long</w:t>
      </w:r>
      <w:r w:rsidRPr="00F839CD">
        <w:rPr>
          <w:rFonts w:ascii="Cambria Math" w:hAnsi="Cambria Math" w:cs="Cambria Math"/>
        </w:rPr>
        <w:t>‑</w:t>
      </w:r>
      <w:r w:rsidRPr="00F839CD">
        <w:rPr>
          <w:rFonts w:asciiTheme="minorBidi" w:hAnsiTheme="minorBidi"/>
        </w:rPr>
        <w:t>term disability. (Nam &amp; Kim, 2023)</w:t>
      </w:r>
    </w:p>
    <w:p w14:paraId="31F45473" w14:textId="4487A38E" w:rsidR="00F839CD" w:rsidRPr="00F839CD" w:rsidRDefault="00F839CD" w:rsidP="00F839CD">
      <w:pPr>
        <w:rPr>
          <w:rFonts w:asciiTheme="minorBidi" w:hAnsiTheme="minorBidi"/>
        </w:rPr>
      </w:pPr>
      <w:r w:rsidRPr="00F839CD">
        <w:rPr>
          <w:rFonts w:asciiTheme="minorBidi" w:hAnsiTheme="minorBidi"/>
        </w:rPr>
        <w:t>Environmental protection also serves a function. Air pollution is a major contributor to stroke burden, accounting for 37% of global stroke cases (Feigin et al., 2025). National clean</w:t>
      </w:r>
      <w:r w:rsidRPr="00F839CD">
        <w:rPr>
          <w:rFonts w:ascii="Cambria Math" w:hAnsi="Cambria Math" w:cs="Cambria Math"/>
        </w:rPr>
        <w:t>‑</w:t>
      </w:r>
      <w:r w:rsidRPr="00F839CD">
        <w:rPr>
          <w:rFonts w:asciiTheme="minorBidi" w:hAnsiTheme="minorBidi"/>
        </w:rPr>
        <w:t>air policies, emission controls and urban planning initiatives help reduce exposure to harmful pollutants. Protective strategies also include routine hypertension screening, as high blood pressure is the leading modifiable risk factor for stroke.</w:t>
      </w:r>
    </w:p>
    <w:p w14:paraId="570024D0" w14:textId="2C01FF4A" w:rsidR="00F839CD" w:rsidRPr="00F839CD" w:rsidRDefault="00F839CD" w:rsidP="00F839CD">
      <w:pPr>
        <w:rPr>
          <w:rFonts w:asciiTheme="minorBidi" w:hAnsiTheme="minorBidi"/>
        </w:rPr>
      </w:pPr>
      <w:r w:rsidRPr="00F839CD">
        <w:rPr>
          <w:rFonts w:asciiTheme="minorBidi" w:hAnsiTheme="minorBidi"/>
        </w:rPr>
        <w:t xml:space="preserve">Prevention aims to reduce stroke incidence </w:t>
      </w:r>
      <w:r w:rsidR="007B3BE3">
        <w:rPr>
          <w:rFonts w:asciiTheme="minorBidi" w:hAnsiTheme="minorBidi"/>
        </w:rPr>
        <w:t>by</w:t>
      </w:r>
      <w:r w:rsidRPr="00F839CD">
        <w:rPr>
          <w:rFonts w:asciiTheme="minorBidi" w:hAnsiTheme="minorBidi"/>
        </w:rPr>
        <w:t xml:space="preserve"> addressing modifiable risk factors. Globally, ten modifiable factors</w:t>
      </w:r>
      <w:r w:rsidR="009C22BA">
        <w:rPr>
          <w:rFonts w:asciiTheme="minorBidi" w:hAnsiTheme="minorBidi"/>
        </w:rPr>
        <w:t>-</w:t>
      </w:r>
      <w:r w:rsidRPr="00F839CD">
        <w:rPr>
          <w:rFonts w:asciiTheme="minorBidi" w:hAnsiTheme="minorBidi"/>
        </w:rPr>
        <w:t xml:space="preserve"> hypertension, smoking, high LDL cholesterol, obesity, physical inactivity, high fasting glucose and harmful alcohol use—account for most stroke cases (WHO, 2025). Public health interventions include </w:t>
      </w:r>
      <w:r w:rsidR="00766A4B">
        <w:rPr>
          <w:rFonts w:asciiTheme="minorBidi" w:hAnsiTheme="minorBidi"/>
        </w:rPr>
        <w:t xml:space="preserve">smoking-quit </w:t>
      </w:r>
      <w:r w:rsidRPr="00F839CD">
        <w:rPr>
          <w:rFonts w:asciiTheme="minorBidi" w:hAnsiTheme="minorBidi"/>
        </w:rPr>
        <w:t>services, dietary guidelines, alcohol reduction campaigns</w:t>
      </w:r>
      <w:r w:rsidR="00AA416C">
        <w:rPr>
          <w:rFonts w:asciiTheme="minorBidi" w:hAnsiTheme="minorBidi"/>
        </w:rPr>
        <w:t>,</w:t>
      </w:r>
      <w:r w:rsidRPr="00F839CD">
        <w:rPr>
          <w:rFonts w:asciiTheme="minorBidi" w:hAnsiTheme="minorBidi"/>
        </w:rPr>
        <w:t xml:space="preserve"> and physical activity promotion.</w:t>
      </w:r>
    </w:p>
    <w:p w14:paraId="29EF73F1" w14:textId="1B3E79FD" w:rsidR="00F9423E" w:rsidRDefault="009721F3" w:rsidP="00F839CD">
      <w:pPr>
        <w:rPr>
          <w:rFonts w:asciiTheme="minorBidi" w:hAnsiTheme="minorBidi"/>
        </w:rPr>
      </w:pPr>
      <w:r>
        <w:rPr>
          <w:rFonts w:asciiTheme="minorBidi" w:hAnsiTheme="minorBidi"/>
        </w:rPr>
        <w:t xml:space="preserve">In the UK, the NHS Long Term Plan prioritises </w:t>
      </w:r>
      <w:r w:rsidR="00FC20BE">
        <w:rPr>
          <w:rFonts w:asciiTheme="minorBidi" w:hAnsiTheme="minorBidi"/>
        </w:rPr>
        <w:t xml:space="preserve">the </w:t>
      </w:r>
      <w:r w:rsidR="00737245">
        <w:rPr>
          <w:rFonts w:asciiTheme="minorBidi" w:hAnsiTheme="minorBidi"/>
        </w:rPr>
        <w:t>prevention of</w:t>
      </w:r>
      <w:r w:rsidR="005F567E">
        <w:rPr>
          <w:rFonts w:asciiTheme="minorBidi" w:hAnsiTheme="minorBidi"/>
        </w:rPr>
        <w:t xml:space="preserve"> </w:t>
      </w:r>
      <w:r w:rsidR="00FC20BE">
        <w:rPr>
          <w:rFonts w:asciiTheme="minorBidi" w:hAnsiTheme="minorBidi"/>
        </w:rPr>
        <w:t>cardiovascular disease by enhancing the detection of hypertension, dyslipidaemia</w:t>
      </w:r>
      <w:r>
        <w:rPr>
          <w:rFonts w:asciiTheme="minorBidi" w:hAnsiTheme="minorBidi"/>
        </w:rPr>
        <w:t>, and diabetes. Community-led initiatives, such as NHS Health Checks, identify individuals at high risk and offer personalised lifestyle advice. Prophylactic strategies also include anticoagulation for atrial fibrillation, which significantly reduces the risk of ischaemic stroke. (</w:t>
      </w:r>
      <w:proofErr w:type="spellStart"/>
      <w:r>
        <w:rPr>
          <w:rFonts w:asciiTheme="minorBidi" w:hAnsiTheme="minorBidi"/>
        </w:rPr>
        <w:t>Bafail</w:t>
      </w:r>
      <w:proofErr w:type="spellEnd"/>
      <w:r>
        <w:rPr>
          <w:rFonts w:asciiTheme="minorBidi" w:hAnsiTheme="minorBidi"/>
        </w:rPr>
        <w:t xml:space="preserve"> &amp; </w:t>
      </w:r>
      <w:proofErr w:type="spellStart"/>
      <w:r>
        <w:rPr>
          <w:rFonts w:asciiTheme="minorBidi" w:hAnsiTheme="minorBidi"/>
        </w:rPr>
        <w:t>Bafail</w:t>
      </w:r>
      <w:proofErr w:type="spellEnd"/>
      <w:r>
        <w:rPr>
          <w:rFonts w:asciiTheme="minorBidi" w:hAnsiTheme="minorBidi"/>
        </w:rPr>
        <w:t>, 2025) However, the success of these strategies varies. While the NHS Health Checks programme has improved the identification of at-risk individuals and facilitated earlier interventions, participation remains uneven across regions and socioeconomic groups. There are also challenges for patients, such as making lifestyle changes and following medical advice, that may limit long-term success. Additionally, despite increased use of anticoagulation for atrial fibrillation, some patients remain untreated due to concerns about bleeding risk or lack of awareness. These challenges highlight the need for ongoing efforts to improve public engagement, address health inequalities, and monitor the real-world impact of preventive measures.</w:t>
      </w:r>
    </w:p>
    <w:p w14:paraId="2FBB9E53" w14:textId="453F56BD" w:rsidR="00F839CD" w:rsidRPr="00F839CD" w:rsidRDefault="00F839CD" w:rsidP="00F839CD">
      <w:pPr>
        <w:rPr>
          <w:rFonts w:asciiTheme="minorBidi" w:hAnsiTheme="minorBidi"/>
        </w:rPr>
      </w:pPr>
      <w:r w:rsidRPr="00F839CD">
        <w:rPr>
          <w:rFonts w:asciiTheme="minorBidi" w:hAnsiTheme="minorBidi"/>
        </w:rPr>
        <w:t>Health promotion strengthens individuals and communities to adopt more healthful lifestyles. Stroke outreach campaigns, community education, and culturally tailored interventions help populations understand risk factors and symptoms—programmes promoting physical activity, healthy eating, and smoking cessation aid long</w:t>
      </w:r>
      <w:r w:rsidRPr="00F839CD">
        <w:rPr>
          <w:rFonts w:ascii="Cambria Math" w:hAnsi="Cambria Math" w:cs="Cambria Math"/>
        </w:rPr>
        <w:t>‑</w:t>
      </w:r>
      <w:r w:rsidRPr="00F839CD">
        <w:rPr>
          <w:rFonts w:asciiTheme="minorBidi" w:hAnsiTheme="minorBidi"/>
        </w:rPr>
        <w:t>term risk reduction.</w:t>
      </w:r>
    </w:p>
    <w:p w14:paraId="45DA7978" w14:textId="7D3906CB" w:rsidR="00F839CD" w:rsidRPr="00F839CD" w:rsidRDefault="00FA0F38" w:rsidP="00F839CD">
      <w:pPr>
        <w:rPr>
          <w:rFonts w:asciiTheme="minorBidi" w:hAnsiTheme="minorBidi"/>
        </w:rPr>
      </w:pPr>
      <w:r w:rsidRPr="00FA0F38">
        <w:rPr>
          <w:rFonts w:asciiTheme="minorBidi" w:hAnsiTheme="minorBidi"/>
        </w:rPr>
        <w:t>Health promotion empowers individuals and communities to adopt healthier lifestyles. Outreach campaigns, community education and culturally tailored interventions raise awareness of stroke risks and symptoms, while programmes encouraging physical activity, healthy eating and smoking cessation support long</w:t>
      </w:r>
      <w:r w:rsidRPr="00FA0F38">
        <w:rPr>
          <w:rFonts w:ascii="Cambria Math" w:hAnsi="Cambria Math" w:cs="Cambria Math"/>
        </w:rPr>
        <w:t>‑</w:t>
      </w:r>
      <w:r w:rsidRPr="00FA0F38">
        <w:rPr>
          <w:rFonts w:asciiTheme="minorBidi" w:hAnsiTheme="minorBidi"/>
        </w:rPr>
        <w:t>term prevention. Promotion also involves rehabilitation, social care and community reintegration to improve quality of life and reduce disability. Control strategies aim to limit stroke severity through rapid CT or MRI diagnosis and evidence</w:t>
      </w:r>
      <w:r w:rsidRPr="00FA0F38">
        <w:rPr>
          <w:rFonts w:ascii="Cambria Math" w:hAnsi="Cambria Math" w:cs="Cambria Math"/>
        </w:rPr>
        <w:t>‑</w:t>
      </w:r>
      <w:r w:rsidRPr="00FA0F38">
        <w:rPr>
          <w:rFonts w:asciiTheme="minorBidi" w:hAnsiTheme="minorBidi"/>
        </w:rPr>
        <w:t>based treatments such as thrombolysis or surgery (WHO, 2025). SSNAP audits ensure guideline compliance, and long</w:t>
      </w:r>
      <w:r w:rsidRPr="00FA0F38">
        <w:rPr>
          <w:rFonts w:ascii="Cambria Math" w:hAnsi="Cambria Math" w:cs="Cambria Math"/>
        </w:rPr>
        <w:t>‑</w:t>
      </w:r>
      <w:r w:rsidRPr="00FA0F38">
        <w:rPr>
          <w:rFonts w:asciiTheme="minorBidi" w:hAnsiTheme="minorBidi"/>
        </w:rPr>
        <w:t>term management includes rehabilitation, secondary prevention and recurrence monitoring.</w:t>
      </w:r>
    </w:p>
    <w:p w14:paraId="6972D3B9" w14:textId="374C9C10" w:rsidR="00F839CD" w:rsidRPr="00F839CD" w:rsidRDefault="00F902EF" w:rsidP="00F839CD">
      <w:pPr>
        <w:rPr>
          <w:rFonts w:asciiTheme="minorBidi" w:hAnsiTheme="minorBidi"/>
        </w:rPr>
      </w:pPr>
      <w:r>
        <w:rPr>
          <w:rFonts w:asciiTheme="minorBidi" w:hAnsiTheme="minorBidi"/>
        </w:rPr>
        <w:t xml:space="preserve">Non-modifiable risk factors for stroke include age, the most common risk factor. </w:t>
      </w:r>
      <w:r w:rsidR="000A1C7D">
        <w:rPr>
          <w:rFonts w:asciiTheme="minorBidi" w:hAnsiTheme="minorBidi"/>
        </w:rPr>
        <w:t>Most strokes happen in people over 55, and ageing populations lead to a growing number of cases worldwide and in the UK (King et al., 2020).</w:t>
      </w:r>
    </w:p>
    <w:p w14:paraId="753145F5" w14:textId="77777777" w:rsidR="00F839CD" w:rsidRPr="00F839CD" w:rsidRDefault="00F839CD" w:rsidP="00F839CD">
      <w:pPr>
        <w:rPr>
          <w:rFonts w:asciiTheme="minorBidi" w:hAnsiTheme="minorBidi"/>
        </w:rPr>
      </w:pPr>
      <w:r w:rsidRPr="00F839CD">
        <w:rPr>
          <w:rFonts w:asciiTheme="minorBidi" w:hAnsiTheme="minorBidi"/>
        </w:rPr>
        <w:t>Genetics and family history are other risk factors of stroke or cardiovascular disease, increasing susceptibility due to inherited metabolic or vascular traits.</w:t>
      </w:r>
    </w:p>
    <w:p w14:paraId="7E55BB77" w14:textId="77777777" w:rsidR="00F839CD" w:rsidRPr="00F839CD" w:rsidRDefault="00F839CD" w:rsidP="00F839CD">
      <w:pPr>
        <w:rPr>
          <w:rFonts w:asciiTheme="minorBidi" w:hAnsiTheme="minorBidi"/>
        </w:rPr>
      </w:pPr>
      <w:r w:rsidRPr="00F839CD">
        <w:rPr>
          <w:rFonts w:asciiTheme="minorBidi" w:hAnsiTheme="minorBidi"/>
        </w:rPr>
        <w:lastRenderedPageBreak/>
        <w:t>Sex and Ethnicity shows that men have a slightly higher incidence of stroke, though women experience higher mortality and disability due to longer life expectancy. Certain ethnic groups, including Black and South Asian populations, have a higher risk due to genetic predispositions and a higher prevalence of hypertension and diabetes.</w:t>
      </w:r>
    </w:p>
    <w:p w14:paraId="3A05C0FD" w14:textId="77777777" w:rsidR="00F839CD" w:rsidRPr="00F839CD" w:rsidRDefault="00F839CD" w:rsidP="00F839CD">
      <w:pPr>
        <w:rPr>
          <w:rFonts w:asciiTheme="minorBidi" w:hAnsiTheme="minorBidi"/>
        </w:rPr>
      </w:pPr>
      <w:r w:rsidRPr="00F839CD">
        <w:rPr>
          <w:rFonts w:asciiTheme="minorBidi" w:hAnsiTheme="minorBidi"/>
        </w:rPr>
        <w:t>Pre-existing medical conditions contribute to atrial fibrillation, heart failure, and chronic kidney disease, which can significantly elevate stroke risk (WHO, 2025). A prior stroke is one of the strongest predictors of recurrence.</w:t>
      </w:r>
    </w:p>
    <w:p w14:paraId="0F8E93EE" w14:textId="77777777" w:rsidR="00F839CD" w:rsidRPr="00F839CD" w:rsidRDefault="00F839CD" w:rsidP="00F839CD">
      <w:pPr>
        <w:rPr>
          <w:rFonts w:asciiTheme="minorBidi" w:hAnsiTheme="minorBidi"/>
        </w:rPr>
      </w:pPr>
      <w:r w:rsidRPr="00F839CD">
        <w:rPr>
          <w:rFonts w:asciiTheme="minorBidi" w:hAnsiTheme="minorBidi"/>
        </w:rPr>
        <w:t>Modifiable Risk Factors include hypertension, the leading modifiable risk factor that triples stroke risk (WHO, 2025). Effective blood pressure control could prevent a substantial proportion of global strokes.</w:t>
      </w:r>
    </w:p>
    <w:p w14:paraId="6BCDCA54" w14:textId="77777777" w:rsidR="00F839CD" w:rsidRPr="00F839CD" w:rsidRDefault="00F839CD" w:rsidP="00F839CD">
      <w:pPr>
        <w:rPr>
          <w:rFonts w:asciiTheme="minorBidi" w:hAnsiTheme="minorBidi"/>
        </w:rPr>
      </w:pPr>
      <w:r w:rsidRPr="00F839CD">
        <w:rPr>
          <w:rFonts w:asciiTheme="minorBidi" w:hAnsiTheme="minorBidi"/>
        </w:rPr>
        <w:t>Smoking tobacco use contributes to approximately 40% of stroke deaths among individuals under 65 (WHO, 2025). Smoking cessation dramatically reduces risk within 2–5 years. (</w:t>
      </w:r>
      <w:proofErr w:type="spellStart"/>
      <w:r w:rsidRPr="00F839CD">
        <w:rPr>
          <w:rFonts w:asciiTheme="minorBidi" w:hAnsiTheme="minorBidi"/>
        </w:rPr>
        <w:t>Wannamethee</w:t>
      </w:r>
      <w:proofErr w:type="spellEnd"/>
      <w:r w:rsidRPr="00F839CD">
        <w:rPr>
          <w:rFonts w:asciiTheme="minorBidi" w:hAnsiTheme="minorBidi"/>
        </w:rPr>
        <w:t xml:space="preserve"> et al., 1995, pp. 155-160)</w:t>
      </w:r>
    </w:p>
    <w:p w14:paraId="50D7F38C" w14:textId="6FF0F040" w:rsidR="00F839CD" w:rsidRPr="00F839CD" w:rsidRDefault="00F839CD" w:rsidP="00F839CD">
      <w:pPr>
        <w:rPr>
          <w:rFonts w:asciiTheme="minorBidi" w:hAnsiTheme="minorBidi"/>
        </w:rPr>
      </w:pPr>
      <w:r w:rsidRPr="00F839CD">
        <w:rPr>
          <w:rFonts w:asciiTheme="minorBidi" w:hAnsiTheme="minorBidi"/>
        </w:rPr>
        <w:t xml:space="preserve">High LDL Cholesterol and </w:t>
      </w:r>
      <w:r w:rsidR="00BF0082">
        <w:rPr>
          <w:rFonts w:asciiTheme="minorBidi" w:hAnsiTheme="minorBidi"/>
        </w:rPr>
        <w:t>a poor diet, low in sodium and high</w:t>
      </w:r>
      <w:r w:rsidRPr="00F839CD">
        <w:rPr>
          <w:rFonts w:asciiTheme="minorBidi" w:hAnsiTheme="minorBidi"/>
        </w:rPr>
        <w:t xml:space="preserve"> in fruits and vegetables, increases stroke risk. High LDL cholesterol contributes to atherosclerosis, leading to ischaemic stroke.</w:t>
      </w:r>
    </w:p>
    <w:p w14:paraId="07A72598" w14:textId="77777777" w:rsidR="00F839CD" w:rsidRPr="00F839CD" w:rsidRDefault="00F839CD" w:rsidP="00F839CD">
      <w:pPr>
        <w:rPr>
          <w:rFonts w:asciiTheme="minorBidi" w:hAnsiTheme="minorBidi"/>
        </w:rPr>
      </w:pPr>
      <w:r w:rsidRPr="00F839CD">
        <w:rPr>
          <w:rFonts w:asciiTheme="minorBidi" w:hAnsiTheme="minorBidi"/>
        </w:rPr>
        <w:t>Diabetes and high fasting glucose accelerate vascular damage and double stroke risk. Poor glycaemic control further increases susceptibility. (Ren et al., 2022)</w:t>
      </w:r>
    </w:p>
    <w:p w14:paraId="3259E2A1" w14:textId="77777777" w:rsidR="00F839CD" w:rsidRPr="00F839CD" w:rsidRDefault="00F839CD" w:rsidP="00F839CD">
      <w:pPr>
        <w:rPr>
          <w:rFonts w:asciiTheme="minorBidi" w:hAnsiTheme="minorBidi"/>
        </w:rPr>
      </w:pPr>
      <w:r w:rsidRPr="00F839CD">
        <w:rPr>
          <w:rFonts w:asciiTheme="minorBidi" w:hAnsiTheme="minorBidi"/>
        </w:rPr>
        <w:t>Obesity and Physical Inactivity: excess body weight and sedentary lifestyles contribute to hypertension, diabetes and dyslipidaemia, amplifying stroke risk.</w:t>
      </w:r>
    </w:p>
    <w:p w14:paraId="3D580CFC" w14:textId="77777777" w:rsidR="00F839CD" w:rsidRPr="00F839CD" w:rsidRDefault="00F839CD" w:rsidP="00F839CD">
      <w:pPr>
        <w:rPr>
          <w:rFonts w:asciiTheme="minorBidi" w:hAnsiTheme="minorBidi"/>
        </w:rPr>
      </w:pPr>
      <w:r w:rsidRPr="00F839CD">
        <w:rPr>
          <w:rFonts w:asciiTheme="minorBidi" w:hAnsiTheme="minorBidi"/>
        </w:rPr>
        <w:t>Alcohol and drug use, including illicit drugs such as cocaine, significantly increases stroke risk, particularly haemorrhagic stroke.</w:t>
      </w:r>
    </w:p>
    <w:p w14:paraId="75F6F8DC" w14:textId="77777777" w:rsidR="00F839CD" w:rsidRPr="00F839CD" w:rsidRDefault="00F839CD" w:rsidP="00F839CD">
      <w:pPr>
        <w:rPr>
          <w:rFonts w:asciiTheme="minorBidi" w:hAnsiTheme="minorBidi"/>
        </w:rPr>
      </w:pPr>
      <w:r w:rsidRPr="00F839CD">
        <w:rPr>
          <w:rFonts w:asciiTheme="minorBidi" w:hAnsiTheme="minorBidi"/>
        </w:rPr>
        <w:t>Environmental factors, such as air pollution, account for 37% of global stroke burden, highlighting the importance of environmental health policies (Feigin et al., 2025).</w:t>
      </w:r>
    </w:p>
    <w:p w14:paraId="79106933" w14:textId="3782ECBB" w:rsidR="00F839CD" w:rsidRPr="00F839CD" w:rsidRDefault="00EB4F6D" w:rsidP="00F839CD">
      <w:pPr>
        <w:rPr>
          <w:rFonts w:asciiTheme="minorBidi" w:hAnsiTheme="minorBidi"/>
        </w:rPr>
      </w:pPr>
      <w:r>
        <w:rPr>
          <w:rFonts w:asciiTheme="minorBidi" w:hAnsiTheme="minorBidi"/>
        </w:rPr>
        <w:t>Moving</w:t>
      </w:r>
      <w:r w:rsidR="00F839CD" w:rsidRPr="00F839CD">
        <w:rPr>
          <w:rFonts w:asciiTheme="minorBidi" w:hAnsiTheme="minorBidi"/>
        </w:rPr>
        <w:t xml:space="preserve"> </w:t>
      </w:r>
      <w:r w:rsidR="00714771">
        <w:rPr>
          <w:rFonts w:asciiTheme="minorBidi" w:hAnsiTheme="minorBidi"/>
        </w:rPr>
        <w:t>forward</w:t>
      </w:r>
      <w:r w:rsidR="00F839CD" w:rsidRPr="00F839CD">
        <w:rPr>
          <w:rFonts w:asciiTheme="minorBidi" w:hAnsiTheme="minorBidi"/>
        </w:rPr>
        <w:t xml:space="preserve">, there are strategies to </w:t>
      </w:r>
      <w:r w:rsidR="008B6C9D">
        <w:rPr>
          <w:rFonts w:asciiTheme="minorBidi" w:hAnsiTheme="minorBidi"/>
        </w:rPr>
        <w:t>s</w:t>
      </w:r>
      <w:r w:rsidR="00F839CD" w:rsidRPr="00F839CD">
        <w:rPr>
          <w:rFonts w:asciiTheme="minorBidi" w:hAnsiTheme="minorBidi"/>
        </w:rPr>
        <w:t>upport Individuals and communities, including future directions in stroke prevention and care that will increasingly focus on integrating digital health solutions, such as remote monitoring and tele-rehabilitation, to expand access and improve outcomes. Additionally, emerging challenges include addressing healthcare inequalities, adapting prevention strategies to shifting population demographics, and responding to the impacts of climate change and air pollution on stroke risk. Innovations in genomics and personalised medicine are expected to offer new opportunities to identify high-risk individuals and customise interventions more effectively. (Digital Health Interventions for Cardiometabolic Health Outcomes in Rural and Remote Australia: A Systematic Review, 2025)</w:t>
      </w:r>
    </w:p>
    <w:p w14:paraId="05A0B7FA" w14:textId="74420679" w:rsidR="00F839CD" w:rsidRPr="00F839CD" w:rsidRDefault="00F839CD" w:rsidP="00F839CD">
      <w:pPr>
        <w:rPr>
          <w:rFonts w:asciiTheme="minorBidi" w:hAnsiTheme="minorBidi"/>
        </w:rPr>
      </w:pPr>
      <w:r w:rsidRPr="00F839CD">
        <w:rPr>
          <w:rFonts w:asciiTheme="minorBidi" w:hAnsiTheme="minorBidi"/>
        </w:rPr>
        <w:t xml:space="preserve">At the individual level, lifestyle </w:t>
      </w:r>
      <w:r w:rsidR="006A5CBF">
        <w:rPr>
          <w:rFonts w:asciiTheme="minorBidi" w:hAnsiTheme="minorBidi"/>
        </w:rPr>
        <w:t>modifications such as quitting smoking, maintaining a healthy diet, regular exercise, and weight management are</w:t>
      </w:r>
      <w:r w:rsidRPr="00F839CD">
        <w:rPr>
          <w:rFonts w:asciiTheme="minorBidi" w:hAnsiTheme="minorBidi"/>
        </w:rPr>
        <w:t xml:space="preserve"> essential. Effective medical management depends on adherence to antihypertensives, statins, antiplatelets, and anticoagulants. Rehabilitation services </w:t>
      </w:r>
      <w:r w:rsidR="00407721">
        <w:rPr>
          <w:rFonts w:asciiTheme="minorBidi" w:hAnsiTheme="minorBidi"/>
        </w:rPr>
        <w:t xml:space="preserve">like </w:t>
      </w:r>
      <w:r w:rsidRPr="00F839CD">
        <w:rPr>
          <w:rFonts w:asciiTheme="minorBidi" w:hAnsiTheme="minorBidi"/>
        </w:rPr>
        <w:t>physiotherapy, occupational therapy, and speech therapy support recovery and reduce disability. Psychosocial support, including counselling, peer support groups, and mental health services, further supports well-being.</w:t>
      </w:r>
    </w:p>
    <w:p w14:paraId="01BE9B69" w14:textId="77777777" w:rsidR="00F839CD" w:rsidRPr="00F839CD" w:rsidRDefault="00F839CD" w:rsidP="00F839CD">
      <w:pPr>
        <w:rPr>
          <w:rFonts w:asciiTheme="minorBidi" w:hAnsiTheme="minorBidi"/>
        </w:rPr>
      </w:pPr>
    </w:p>
    <w:p w14:paraId="085CB75B" w14:textId="77777777" w:rsidR="00F839CD" w:rsidRPr="00F839CD" w:rsidRDefault="00F839CD" w:rsidP="00F839CD">
      <w:pPr>
        <w:rPr>
          <w:rFonts w:asciiTheme="minorBidi" w:hAnsiTheme="minorBidi"/>
        </w:rPr>
      </w:pPr>
      <w:r w:rsidRPr="00F839CD">
        <w:rPr>
          <w:rFonts w:asciiTheme="minorBidi" w:hAnsiTheme="minorBidi"/>
        </w:rPr>
        <w:t xml:space="preserve">At the community level, public awareness campaigns—such as Act FAST—play a crucial role. Community health checks for hypertension, diabetes, and atrial fibrillation help identify those at risk. Interventions tailored for high-risk ethnic groups and environmental </w:t>
      </w:r>
      <w:r w:rsidRPr="00F839CD">
        <w:rPr>
          <w:rFonts w:asciiTheme="minorBidi" w:hAnsiTheme="minorBidi"/>
        </w:rPr>
        <w:lastRenderedPageBreak/>
        <w:t>improvements, including clean-air initiatives, are also important for reducing stroke incidence and supporting affected populations.</w:t>
      </w:r>
    </w:p>
    <w:p w14:paraId="6A549250" w14:textId="77777777" w:rsidR="00F839CD" w:rsidRPr="00F839CD" w:rsidRDefault="00F839CD" w:rsidP="00F839CD">
      <w:pPr>
        <w:rPr>
          <w:rFonts w:asciiTheme="minorBidi" w:hAnsiTheme="minorBidi"/>
        </w:rPr>
      </w:pPr>
      <w:r w:rsidRPr="00F839CD">
        <w:rPr>
          <w:rFonts w:asciiTheme="minorBidi" w:hAnsiTheme="minorBidi"/>
        </w:rPr>
        <w:t>At the health system and policy levels, strengthening primary care to support early detection and management of risk factors is vital. Investment in stroke units and specialist multidisciplinary care enhances outcomes. National audits such as SSNAP monitor service quality, while integrated long-term care pathways for stroke survivors ensure continuity of support.</w:t>
      </w:r>
    </w:p>
    <w:p w14:paraId="0BA23A58" w14:textId="2B200B29" w:rsidR="00F839CD" w:rsidRPr="00F839CD" w:rsidRDefault="00F839CD" w:rsidP="00F839CD">
      <w:pPr>
        <w:rPr>
          <w:rFonts w:asciiTheme="minorBidi" w:hAnsiTheme="minorBidi"/>
        </w:rPr>
      </w:pPr>
      <w:r w:rsidRPr="00F839CD">
        <w:rPr>
          <w:rFonts w:asciiTheme="minorBidi" w:hAnsiTheme="minorBidi"/>
        </w:rPr>
        <w:t>In summary, stroke remains a leading cause of disability and mortality worldwide, presenting complex challenges for individuals, communities, and health systems. This report has critically examined the measurement, monitoring, and control of stroke</w:t>
      </w:r>
      <w:r w:rsidR="00F700B2">
        <w:rPr>
          <w:rFonts w:asciiTheme="minorBidi" w:hAnsiTheme="minorBidi"/>
        </w:rPr>
        <w:t>; explored both modifiable and non-modifiable determinants; and evaluated a range of strategies at the</w:t>
      </w:r>
      <w:r w:rsidRPr="00F839CD">
        <w:rPr>
          <w:rFonts w:asciiTheme="minorBidi" w:hAnsiTheme="minorBidi"/>
        </w:rPr>
        <w:t xml:space="preserve"> individual, community, and policy levels. The analysis demonstrates that effective stroke reduction requires integrated action: robust surveillance, prevention and health promotion, targeted interventions for high-risk groups, and investment in acute and long-term care.</w:t>
      </w:r>
    </w:p>
    <w:p w14:paraId="57F36DAB" w14:textId="77777777" w:rsidR="00F839CD" w:rsidRPr="00F839CD" w:rsidRDefault="00F839CD" w:rsidP="00F839CD">
      <w:pPr>
        <w:rPr>
          <w:rFonts w:asciiTheme="minorBidi" w:hAnsiTheme="minorBidi"/>
        </w:rPr>
      </w:pPr>
      <w:r w:rsidRPr="00F839CD">
        <w:rPr>
          <w:rFonts w:asciiTheme="minorBidi" w:hAnsiTheme="minorBidi"/>
        </w:rPr>
        <w:t>A key challenge for the future will be addressing persistent health inequalities, adapting to demographic changes, and integrating digital health and personalised medicine. Continued innovation in public health policy and practice, supported by high-quality evidence and community engagement, will be essential to reduce the global burden of stroke. Ongoing evaluation and adaptation of strategies will ensure that interventions remain effective and equitable as new risks and opportunities emerge.</w:t>
      </w:r>
    </w:p>
    <w:p w14:paraId="5DB47418" w14:textId="0A0BEDC5" w:rsidR="00943B0F" w:rsidRPr="00943B0F" w:rsidRDefault="00FF10FD" w:rsidP="00F839CD">
      <w:pPr>
        <w:rPr>
          <w:rFonts w:asciiTheme="minorBidi" w:hAnsiTheme="minorBidi"/>
        </w:rPr>
      </w:pPr>
      <w:r>
        <w:rPr>
          <w:rFonts w:asciiTheme="minorBidi" w:hAnsiTheme="minorBidi"/>
        </w:rPr>
        <w:t xml:space="preserve">All sources cited follow Harvard referencing conventions and are included in the reference list, ensuring that arguments and recommendations are well-supported </w:t>
      </w:r>
      <w:r w:rsidR="00B826C7">
        <w:rPr>
          <w:rFonts w:asciiTheme="minorBidi" w:hAnsiTheme="minorBidi"/>
        </w:rPr>
        <w:t xml:space="preserve">and </w:t>
      </w:r>
      <w:r>
        <w:rPr>
          <w:rFonts w:asciiTheme="minorBidi" w:hAnsiTheme="minorBidi"/>
        </w:rPr>
        <w:t>up-to-date evidence.</w:t>
      </w:r>
    </w:p>
    <w:p w14:paraId="6ED6A22B" w14:textId="77777777" w:rsidR="00943B0F" w:rsidRPr="00943B0F" w:rsidRDefault="00943B0F" w:rsidP="00943B0F">
      <w:pPr>
        <w:rPr>
          <w:rFonts w:asciiTheme="minorBidi" w:hAnsiTheme="minorBidi"/>
        </w:rPr>
      </w:pPr>
    </w:p>
    <w:p w14:paraId="405A6A1C" w14:textId="21F20DE1" w:rsidR="00A94D75" w:rsidRPr="00CD33A8" w:rsidRDefault="00A94D75" w:rsidP="00645D64">
      <w:pPr>
        <w:rPr>
          <w:rFonts w:asciiTheme="minorBidi" w:hAnsiTheme="minorBidi"/>
        </w:rPr>
      </w:pPr>
    </w:p>
    <w:p w14:paraId="13E00080" w14:textId="137FF22A" w:rsidR="00B87E75" w:rsidRPr="00CD33A8" w:rsidRDefault="00B87E75" w:rsidP="00CD33A8">
      <w:pPr>
        <w:spacing w:line="360" w:lineRule="auto"/>
        <w:rPr>
          <w:rFonts w:asciiTheme="minorBidi" w:hAnsiTheme="minorBidi"/>
        </w:rPr>
      </w:pPr>
    </w:p>
    <w:p w14:paraId="7AE771D5" w14:textId="1C06E45A" w:rsidR="00B87E75" w:rsidRPr="00CD33A8" w:rsidRDefault="00B87E75" w:rsidP="00CD33A8">
      <w:pPr>
        <w:spacing w:line="360" w:lineRule="auto"/>
        <w:rPr>
          <w:rFonts w:asciiTheme="minorBidi" w:hAnsiTheme="minorBidi"/>
        </w:rPr>
      </w:pPr>
    </w:p>
    <w:p w14:paraId="4F7320CB" w14:textId="000D21B8" w:rsidR="00B87E75" w:rsidRPr="00CD33A8" w:rsidRDefault="00B87E75" w:rsidP="00CD33A8">
      <w:pPr>
        <w:spacing w:line="360" w:lineRule="auto"/>
        <w:rPr>
          <w:rFonts w:asciiTheme="minorBidi" w:hAnsiTheme="minorBidi"/>
        </w:rPr>
      </w:pPr>
      <w:r w:rsidRPr="00CD33A8">
        <w:rPr>
          <w:rFonts w:asciiTheme="minorBidi" w:hAnsiTheme="minorBidi"/>
        </w:rPr>
        <w:br w:type="page"/>
      </w:r>
    </w:p>
    <w:p w14:paraId="6812580D" w14:textId="58A17DB3" w:rsidR="0090040D" w:rsidRPr="00842957" w:rsidRDefault="00F353CC" w:rsidP="00CD33A8">
      <w:pPr>
        <w:tabs>
          <w:tab w:val="left" w:pos="6540"/>
        </w:tabs>
        <w:spacing w:line="360" w:lineRule="auto"/>
        <w:rPr>
          <w:rFonts w:asciiTheme="minorBidi" w:hAnsiTheme="minorBidi"/>
          <w:b/>
          <w:bCs/>
          <w:sz w:val="28"/>
          <w:szCs w:val="28"/>
        </w:rPr>
      </w:pPr>
      <w:r w:rsidRPr="00842957">
        <w:rPr>
          <w:rFonts w:asciiTheme="minorBidi" w:hAnsiTheme="minorBidi"/>
          <w:b/>
          <w:bCs/>
          <w:sz w:val="28"/>
          <w:szCs w:val="28"/>
        </w:rPr>
        <w:lastRenderedPageBreak/>
        <w:t xml:space="preserve">References </w:t>
      </w:r>
    </w:p>
    <w:p w14:paraId="36ED4AAF" w14:textId="1378395A" w:rsidR="00D8153C" w:rsidRPr="006D04F1" w:rsidRDefault="00D8153C" w:rsidP="00D8153C">
      <w:pPr>
        <w:tabs>
          <w:tab w:val="left" w:pos="6540"/>
        </w:tabs>
        <w:spacing w:line="360" w:lineRule="auto"/>
        <w:rPr>
          <w:rFonts w:asciiTheme="minorBidi" w:hAnsiTheme="minorBidi"/>
          <w:color w:val="4EB3CF" w:themeColor="accent5"/>
        </w:rPr>
      </w:pPr>
      <w:r w:rsidRPr="00D8153C">
        <w:rPr>
          <w:rFonts w:asciiTheme="minorBidi" w:hAnsiTheme="minorBidi"/>
        </w:rPr>
        <w:t xml:space="preserve">World (2025). </w:t>
      </w:r>
      <w:r w:rsidRPr="00D8153C">
        <w:rPr>
          <w:rFonts w:asciiTheme="minorBidi" w:hAnsiTheme="minorBidi"/>
          <w:i/>
          <w:iCs/>
        </w:rPr>
        <w:t>Stroke</w:t>
      </w:r>
      <w:r w:rsidRPr="00D8153C">
        <w:rPr>
          <w:rFonts w:asciiTheme="minorBidi" w:hAnsiTheme="minorBidi"/>
        </w:rPr>
        <w:t>. [online] Who.int. Available at</w:t>
      </w:r>
      <w:r w:rsidRPr="00D8153C">
        <w:rPr>
          <w:rFonts w:asciiTheme="minorBidi" w:hAnsiTheme="minorBidi"/>
          <w:color w:val="0070C0"/>
        </w:rPr>
        <w:t xml:space="preserve">: </w:t>
      </w:r>
      <w:r w:rsidR="005A7215" w:rsidRPr="005A7215">
        <w:rPr>
          <w:rFonts w:asciiTheme="minorBidi" w:hAnsiTheme="minorBidi"/>
          <w:color w:val="0070C0"/>
        </w:rPr>
        <w:t>https://www.who.int/news-room/fact-sheets/detail/stroke</w:t>
      </w:r>
      <w:r w:rsidRPr="00D8153C">
        <w:rPr>
          <w:rFonts w:asciiTheme="minorBidi" w:hAnsiTheme="minorBidi"/>
          <w:color w:val="0070C0"/>
        </w:rPr>
        <w:t>.</w:t>
      </w:r>
    </w:p>
    <w:p w14:paraId="03267AA0" w14:textId="1A702B3D" w:rsidR="006D215D" w:rsidRDefault="006D215D" w:rsidP="006D215D">
      <w:pPr>
        <w:tabs>
          <w:tab w:val="left" w:pos="6540"/>
        </w:tabs>
        <w:spacing w:line="360" w:lineRule="auto"/>
        <w:rPr>
          <w:rFonts w:asciiTheme="minorBidi" w:hAnsiTheme="minorBidi"/>
        </w:rPr>
      </w:pPr>
      <w:r w:rsidRPr="006D215D">
        <w:rPr>
          <w:rFonts w:asciiTheme="minorBidi" w:hAnsiTheme="minorBidi"/>
        </w:rPr>
        <w:t xml:space="preserve">Feigin (2024). World Stroke </w:t>
      </w:r>
      <w:r>
        <w:rPr>
          <w:rFonts w:asciiTheme="minorBidi" w:hAnsiTheme="minorBidi"/>
        </w:rPr>
        <w:t>Organisation</w:t>
      </w:r>
      <w:r w:rsidRPr="006D215D">
        <w:rPr>
          <w:rFonts w:asciiTheme="minorBidi" w:hAnsiTheme="minorBidi"/>
        </w:rPr>
        <w:t xml:space="preserve"> (WSO): Global Stroke Fact Sheet 2025. </w:t>
      </w:r>
      <w:r w:rsidRPr="006D215D">
        <w:rPr>
          <w:rFonts w:asciiTheme="minorBidi" w:hAnsiTheme="minorBidi"/>
          <w:i/>
          <w:iCs/>
        </w:rPr>
        <w:t>International Journal of Stroke</w:t>
      </w:r>
      <w:r w:rsidRPr="006D215D">
        <w:rPr>
          <w:rFonts w:asciiTheme="minorBidi" w:hAnsiTheme="minorBidi"/>
        </w:rPr>
        <w:t xml:space="preserve">, 20(2). </w:t>
      </w:r>
      <w:r w:rsidR="008F1BF9" w:rsidRPr="006D215D">
        <w:rPr>
          <w:rFonts w:asciiTheme="minorBidi" w:hAnsiTheme="minorBidi"/>
        </w:rPr>
        <w:t>Doi</w:t>
      </w:r>
      <w:r w:rsidR="008F1BF9" w:rsidRPr="00772041">
        <w:rPr>
          <w:rFonts w:asciiTheme="minorBidi" w:hAnsiTheme="minorBidi"/>
          <w:color w:val="0070C0"/>
        </w:rPr>
        <w:t xml:space="preserve">: </w:t>
      </w:r>
      <w:hyperlink r:id="rId8" w:history="1">
        <w:r w:rsidR="00AC5011" w:rsidRPr="00772041">
          <w:rPr>
            <w:rStyle w:val="Hyperlink"/>
            <w:rFonts w:asciiTheme="minorBidi" w:hAnsiTheme="minorBidi"/>
            <w:color w:val="0070C0"/>
          </w:rPr>
          <w:t>https://doi.org/10.1177/17474930241308142</w:t>
        </w:r>
      </w:hyperlink>
      <w:r w:rsidRPr="006D215D">
        <w:rPr>
          <w:rFonts w:asciiTheme="minorBidi" w:hAnsiTheme="minorBidi"/>
          <w:color w:val="0070C0"/>
        </w:rPr>
        <w:t>.</w:t>
      </w:r>
    </w:p>
    <w:p w14:paraId="2F70E47B" w14:textId="7DB75F71" w:rsidR="00196238" w:rsidRDefault="00196238" w:rsidP="00196238">
      <w:pPr>
        <w:rPr>
          <w:rFonts w:asciiTheme="minorBidi" w:hAnsiTheme="minorBidi"/>
        </w:rPr>
      </w:pPr>
      <w:r w:rsidRPr="00196238">
        <w:rPr>
          <w:rFonts w:asciiTheme="minorBidi" w:hAnsiTheme="minorBidi"/>
        </w:rPr>
        <w:t xml:space="preserve">NHS (2024). </w:t>
      </w:r>
      <w:r w:rsidRPr="00196238">
        <w:rPr>
          <w:rFonts w:asciiTheme="minorBidi" w:hAnsiTheme="minorBidi"/>
          <w:i/>
          <w:iCs/>
        </w:rPr>
        <w:t>NHS England» NHS launches major new stroke campaign as thousands delay calling 999 by nearly 90 minutes</w:t>
      </w:r>
      <w:r w:rsidRPr="00196238">
        <w:rPr>
          <w:rFonts w:asciiTheme="minorBidi" w:hAnsiTheme="minorBidi"/>
        </w:rPr>
        <w:t xml:space="preserve">. [online] England.nhs.uk. Available at: </w:t>
      </w:r>
      <w:hyperlink r:id="rId9" w:history="1">
        <w:r w:rsidR="003C05AA" w:rsidRPr="00196238">
          <w:rPr>
            <w:rStyle w:val="Hyperlink"/>
            <w:rFonts w:asciiTheme="minorBidi" w:hAnsiTheme="minorBidi"/>
            <w:color w:val="0070C0"/>
          </w:rPr>
          <w:t>https://www.england.nhs.uk/2024/11/nhs-launches-major-new-stroke-campaign-as-thousands-delay-calling-999-by-nearly-90-minutes/</w:t>
        </w:r>
      </w:hyperlink>
      <w:r w:rsidRPr="00196238">
        <w:rPr>
          <w:rFonts w:asciiTheme="minorBidi" w:hAnsiTheme="minorBidi"/>
          <w:color w:val="0070C0"/>
        </w:rPr>
        <w:t>.</w:t>
      </w:r>
    </w:p>
    <w:p w14:paraId="74C31BD7" w14:textId="0F5F9795" w:rsidR="003C063B" w:rsidRDefault="003C063B" w:rsidP="003C063B">
      <w:pPr>
        <w:rPr>
          <w:rFonts w:asciiTheme="minorBidi" w:hAnsiTheme="minorBidi"/>
        </w:rPr>
      </w:pPr>
      <w:proofErr w:type="spellStart"/>
      <w:r w:rsidRPr="003C063B">
        <w:rPr>
          <w:rFonts w:asciiTheme="minorBidi" w:hAnsiTheme="minorBidi"/>
        </w:rPr>
        <w:t>Leshargie</w:t>
      </w:r>
      <w:proofErr w:type="spellEnd"/>
      <w:r w:rsidRPr="003C063B">
        <w:rPr>
          <w:rFonts w:asciiTheme="minorBidi" w:hAnsiTheme="minorBidi"/>
        </w:rPr>
        <w:t xml:space="preserve">, C.T., Bore, M.G., Dalton, H., Thapa, S., Berhe, F.T., Kassa, Z.Y., </w:t>
      </w:r>
      <w:proofErr w:type="spellStart"/>
      <w:r w:rsidRPr="003C063B">
        <w:rPr>
          <w:rFonts w:asciiTheme="minorBidi" w:hAnsiTheme="minorBidi"/>
        </w:rPr>
        <w:t>Nezenega</w:t>
      </w:r>
      <w:proofErr w:type="spellEnd"/>
      <w:r w:rsidRPr="003C063B">
        <w:rPr>
          <w:rFonts w:asciiTheme="minorBidi" w:hAnsiTheme="minorBidi"/>
        </w:rPr>
        <w:t xml:space="preserve">, Z.S., </w:t>
      </w:r>
      <w:proofErr w:type="spellStart"/>
      <w:r w:rsidRPr="003C063B">
        <w:rPr>
          <w:rFonts w:asciiTheme="minorBidi" w:hAnsiTheme="minorBidi"/>
        </w:rPr>
        <w:t>Aychiluhm</w:t>
      </w:r>
      <w:proofErr w:type="spellEnd"/>
      <w:r w:rsidRPr="003C063B">
        <w:rPr>
          <w:rFonts w:asciiTheme="minorBidi" w:hAnsiTheme="minorBidi"/>
        </w:rPr>
        <w:t xml:space="preserve">, S.B., </w:t>
      </w:r>
      <w:proofErr w:type="spellStart"/>
      <w:r w:rsidRPr="003C063B">
        <w:rPr>
          <w:rFonts w:asciiTheme="minorBidi" w:hAnsiTheme="minorBidi"/>
        </w:rPr>
        <w:t>Astawesegn</w:t>
      </w:r>
      <w:proofErr w:type="spellEnd"/>
      <w:r w:rsidRPr="003C063B">
        <w:rPr>
          <w:rFonts w:asciiTheme="minorBidi" w:hAnsiTheme="minorBidi"/>
        </w:rPr>
        <w:t xml:space="preserve">, F.H., Demissie, B.W., </w:t>
      </w:r>
      <w:proofErr w:type="spellStart"/>
      <w:r w:rsidRPr="003C063B">
        <w:rPr>
          <w:rFonts w:asciiTheme="minorBidi" w:hAnsiTheme="minorBidi"/>
        </w:rPr>
        <w:t>Mengist</w:t>
      </w:r>
      <w:proofErr w:type="spellEnd"/>
      <w:r w:rsidRPr="003C063B">
        <w:rPr>
          <w:rFonts w:asciiTheme="minorBidi" w:hAnsiTheme="minorBidi"/>
        </w:rPr>
        <w:t xml:space="preserve">, T.Y. </w:t>
      </w:r>
      <w:r>
        <w:rPr>
          <w:rFonts w:asciiTheme="minorBidi" w:hAnsiTheme="minorBidi"/>
        </w:rPr>
        <w:t>&amp;</w:t>
      </w:r>
      <w:r w:rsidRPr="003C063B">
        <w:rPr>
          <w:rFonts w:asciiTheme="minorBidi" w:hAnsiTheme="minorBidi"/>
        </w:rPr>
        <w:t xml:space="preserve"> Ahmed, K.Y. (2025). Digital Health Interventions for Cardiometabolic Health Outcomes in Rural and Remote Australia: A Systematic Review. </w:t>
      </w:r>
      <w:r w:rsidRPr="003C063B">
        <w:rPr>
          <w:rFonts w:asciiTheme="minorBidi" w:hAnsiTheme="minorBidi"/>
          <w:i/>
          <w:iCs/>
        </w:rPr>
        <w:t>Australian Journal of Rural Health</w:t>
      </w:r>
      <w:r w:rsidRPr="003C063B">
        <w:rPr>
          <w:rFonts w:asciiTheme="minorBidi" w:hAnsiTheme="minorBidi"/>
        </w:rPr>
        <w:t xml:space="preserve">, 33(6). </w:t>
      </w:r>
      <w:r w:rsidR="00A22249" w:rsidRPr="003C063B">
        <w:rPr>
          <w:rFonts w:asciiTheme="minorBidi" w:hAnsiTheme="minorBidi"/>
        </w:rPr>
        <w:t xml:space="preserve">Doi: </w:t>
      </w:r>
      <w:hyperlink r:id="rId10" w:history="1">
        <w:r w:rsidR="00A22249" w:rsidRPr="00772041">
          <w:rPr>
            <w:rStyle w:val="Hyperlink"/>
            <w:rFonts w:asciiTheme="minorBidi" w:hAnsiTheme="minorBidi"/>
            <w:color w:val="0070C0"/>
          </w:rPr>
          <w:t>https://doi.org/10.1111/ajr.70130</w:t>
        </w:r>
      </w:hyperlink>
      <w:r w:rsidRPr="003C063B">
        <w:rPr>
          <w:rFonts w:asciiTheme="minorBidi" w:hAnsiTheme="minorBidi"/>
          <w:color w:val="0070C0"/>
        </w:rPr>
        <w:t>.</w:t>
      </w:r>
    </w:p>
    <w:p w14:paraId="14E877DC" w14:textId="35FF93FC" w:rsidR="009F19AC" w:rsidRDefault="009F19AC" w:rsidP="009F19AC">
      <w:pPr>
        <w:rPr>
          <w:rFonts w:asciiTheme="minorBidi" w:hAnsiTheme="minorBidi"/>
        </w:rPr>
      </w:pPr>
      <w:r w:rsidRPr="009F19AC">
        <w:rPr>
          <w:rFonts w:asciiTheme="minorBidi" w:hAnsiTheme="minorBidi"/>
        </w:rPr>
        <w:t xml:space="preserve">Qian, N., Lu, C., Wei, T., Yang, W., Wang, H., Chen, H., Li, J., Zhu, S., Wang, W. </w:t>
      </w:r>
      <w:r w:rsidR="003C6BCE">
        <w:rPr>
          <w:rFonts w:asciiTheme="minorBidi" w:hAnsiTheme="minorBidi"/>
        </w:rPr>
        <w:t>&amp;</w:t>
      </w:r>
      <w:r w:rsidRPr="009F19AC">
        <w:rPr>
          <w:rFonts w:asciiTheme="minorBidi" w:hAnsiTheme="minorBidi"/>
        </w:rPr>
        <w:t xml:space="preserve"> Shao, N. (2025). Epidemiological Trends and Forecasts in Stroke at </w:t>
      </w:r>
      <w:r w:rsidR="003C6BCE">
        <w:rPr>
          <w:rFonts w:asciiTheme="minorBidi" w:hAnsiTheme="minorBidi"/>
        </w:rPr>
        <w:t>Global</w:t>
      </w:r>
      <w:r w:rsidRPr="009F19AC">
        <w:rPr>
          <w:rFonts w:asciiTheme="minorBidi" w:hAnsiTheme="minorBidi"/>
        </w:rPr>
        <w:t xml:space="preserve">, Regional and National Levels. </w:t>
      </w:r>
      <w:r w:rsidRPr="009F19AC">
        <w:rPr>
          <w:rFonts w:asciiTheme="minorBidi" w:hAnsiTheme="minorBidi"/>
          <w:i/>
          <w:iCs/>
        </w:rPr>
        <w:t>Journal of Stroke and Cerebrovascular Diseases</w:t>
      </w:r>
      <w:r w:rsidRPr="009F19AC">
        <w:rPr>
          <w:rFonts w:asciiTheme="minorBidi" w:hAnsiTheme="minorBidi"/>
        </w:rPr>
        <w:t xml:space="preserve">, [online] 34(8), p.108347. </w:t>
      </w:r>
      <w:r w:rsidR="003C6BCE" w:rsidRPr="009F19AC">
        <w:rPr>
          <w:rFonts w:asciiTheme="minorBidi" w:hAnsiTheme="minorBidi"/>
        </w:rPr>
        <w:t xml:space="preserve">Doi: </w:t>
      </w:r>
      <w:hyperlink r:id="rId11" w:history="1">
        <w:r w:rsidR="003C6BCE" w:rsidRPr="00772041">
          <w:rPr>
            <w:rStyle w:val="Hyperlink"/>
            <w:rFonts w:asciiTheme="minorBidi" w:hAnsiTheme="minorBidi"/>
            <w:color w:val="0070C0"/>
          </w:rPr>
          <w:t>https://doi.org/10.1016/j.jstrokecerebrovasdis.2025.108347</w:t>
        </w:r>
      </w:hyperlink>
      <w:r w:rsidRPr="009F19AC">
        <w:rPr>
          <w:rFonts w:asciiTheme="minorBidi" w:hAnsiTheme="minorBidi"/>
          <w:color w:val="0070C0"/>
        </w:rPr>
        <w:t>.</w:t>
      </w:r>
    </w:p>
    <w:p w14:paraId="5594157E" w14:textId="3B1F380B" w:rsidR="00F95041" w:rsidRDefault="00F95041" w:rsidP="00F95041">
      <w:pPr>
        <w:rPr>
          <w:rFonts w:asciiTheme="minorBidi" w:hAnsiTheme="minorBidi"/>
        </w:rPr>
      </w:pPr>
      <w:proofErr w:type="spellStart"/>
      <w:r w:rsidRPr="00F95041">
        <w:rPr>
          <w:rFonts w:asciiTheme="minorBidi" w:hAnsiTheme="minorBidi"/>
        </w:rPr>
        <w:t>Wannamethee</w:t>
      </w:r>
      <w:proofErr w:type="spellEnd"/>
      <w:r w:rsidRPr="00F95041">
        <w:rPr>
          <w:rFonts w:asciiTheme="minorBidi" w:hAnsiTheme="minorBidi"/>
        </w:rPr>
        <w:t xml:space="preserve">, S.G., Shaper, A.G., Whincup, P.H. </w:t>
      </w:r>
      <w:r>
        <w:rPr>
          <w:rFonts w:asciiTheme="minorBidi" w:hAnsiTheme="minorBidi"/>
        </w:rPr>
        <w:t>&amp;</w:t>
      </w:r>
      <w:r w:rsidRPr="00F95041">
        <w:rPr>
          <w:rFonts w:asciiTheme="minorBidi" w:hAnsiTheme="minorBidi"/>
        </w:rPr>
        <w:t xml:space="preserve"> Walker, M. (1995). Smoking Cessation and the Risk of Stroke in </w:t>
      </w:r>
      <w:r>
        <w:rPr>
          <w:rFonts w:asciiTheme="minorBidi" w:hAnsiTheme="minorBidi"/>
        </w:rPr>
        <w:t>Middle-Aged</w:t>
      </w:r>
      <w:r w:rsidRPr="00F95041">
        <w:rPr>
          <w:rFonts w:asciiTheme="minorBidi" w:hAnsiTheme="minorBidi"/>
        </w:rPr>
        <w:t xml:space="preserve"> Men. </w:t>
      </w:r>
      <w:r w:rsidRPr="00F95041">
        <w:rPr>
          <w:rFonts w:asciiTheme="minorBidi" w:hAnsiTheme="minorBidi"/>
          <w:i/>
          <w:iCs/>
        </w:rPr>
        <w:t>JAMA</w:t>
      </w:r>
      <w:r w:rsidRPr="00F95041">
        <w:rPr>
          <w:rFonts w:asciiTheme="minorBidi" w:hAnsiTheme="minorBidi"/>
        </w:rPr>
        <w:t xml:space="preserve">, [online] 274(2), pp.155–160. Available at: </w:t>
      </w:r>
      <w:hyperlink r:id="rId12" w:history="1">
        <w:r w:rsidRPr="00F95041">
          <w:rPr>
            <w:rStyle w:val="Hyperlink"/>
            <w:rFonts w:asciiTheme="minorBidi" w:hAnsiTheme="minorBidi"/>
            <w:color w:val="0070C0"/>
          </w:rPr>
          <w:t>https://pubmed.ncbi.nlm.nih.gov/7596004/</w:t>
        </w:r>
      </w:hyperlink>
      <w:r w:rsidRPr="00F95041">
        <w:rPr>
          <w:rFonts w:asciiTheme="minorBidi" w:hAnsiTheme="minorBidi"/>
          <w:color w:val="0070C0"/>
        </w:rPr>
        <w:t>.</w:t>
      </w:r>
    </w:p>
    <w:p w14:paraId="4F9B1C45" w14:textId="65D049FB" w:rsidR="00793B1F" w:rsidRDefault="00793B1F" w:rsidP="00793B1F">
      <w:pPr>
        <w:rPr>
          <w:rFonts w:asciiTheme="minorBidi" w:hAnsiTheme="minorBidi"/>
        </w:rPr>
      </w:pPr>
      <w:r w:rsidRPr="00793B1F">
        <w:rPr>
          <w:rFonts w:asciiTheme="minorBidi" w:hAnsiTheme="minorBidi"/>
        </w:rPr>
        <w:t xml:space="preserve">www.strokeaudit.org. (n.d.). </w:t>
      </w:r>
      <w:r w:rsidRPr="00793B1F">
        <w:rPr>
          <w:rFonts w:asciiTheme="minorBidi" w:hAnsiTheme="minorBidi"/>
          <w:i/>
          <w:iCs/>
        </w:rPr>
        <w:t>SSNAP - Results and reports</w:t>
      </w:r>
      <w:r w:rsidRPr="00793B1F">
        <w:rPr>
          <w:rFonts w:asciiTheme="minorBidi" w:hAnsiTheme="minorBidi"/>
        </w:rPr>
        <w:t xml:space="preserve">. [online] Available at: </w:t>
      </w:r>
      <w:hyperlink r:id="rId13" w:history="1">
        <w:r w:rsidR="004F5D55" w:rsidRPr="00793B1F">
          <w:rPr>
            <w:rStyle w:val="Hyperlink"/>
            <w:rFonts w:asciiTheme="minorBidi" w:hAnsiTheme="minorBidi"/>
            <w:color w:val="0070C0"/>
          </w:rPr>
          <w:t>https://www.strokeaudit.org/Audits/Clinical-audit-information/Results-and-reports.aspx</w:t>
        </w:r>
      </w:hyperlink>
      <w:r w:rsidRPr="00793B1F">
        <w:rPr>
          <w:rFonts w:asciiTheme="minorBidi" w:hAnsiTheme="minorBidi"/>
          <w:color w:val="0070C0"/>
        </w:rPr>
        <w:t>.</w:t>
      </w:r>
    </w:p>
    <w:p w14:paraId="6BF81D2A" w14:textId="77777777" w:rsidR="004F5D55" w:rsidRPr="00793B1F" w:rsidRDefault="004F5D55" w:rsidP="00793B1F">
      <w:pPr>
        <w:rPr>
          <w:rFonts w:asciiTheme="minorBidi" w:hAnsiTheme="minorBidi"/>
        </w:rPr>
      </w:pPr>
    </w:p>
    <w:p w14:paraId="19A46A89" w14:textId="17D56F1B" w:rsidR="006708D4" w:rsidRDefault="006708D4" w:rsidP="00846F42">
      <w:pPr>
        <w:rPr>
          <w:rFonts w:asciiTheme="minorBidi" w:hAnsiTheme="minorBidi"/>
        </w:rPr>
      </w:pPr>
    </w:p>
    <w:p w14:paraId="4287CCE4" w14:textId="77777777" w:rsidR="00846F42" w:rsidRPr="006708D4" w:rsidRDefault="00846F42" w:rsidP="006708D4">
      <w:pPr>
        <w:rPr>
          <w:rFonts w:asciiTheme="minorBidi" w:hAnsiTheme="minorBidi"/>
        </w:rPr>
      </w:pPr>
    </w:p>
    <w:p w14:paraId="6ED685B8" w14:textId="48BC73A5" w:rsidR="006F59C8" w:rsidRPr="006F59C8" w:rsidRDefault="006F59C8" w:rsidP="006F59C8">
      <w:pPr>
        <w:rPr>
          <w:rFonts w:asciiTheme="minorBidi" w:hAnsiTheme="minorBidi"/>
        </w:rPr>
      </w:pPr>
    </w:p>
    <w:p w14:paraId="16DA876F" w14:textId="77777777" w:rsidR="00A02F0B" w:rsidRDefault="00A02F0B" w:rsidP="009F19AC">
      <w:pPr>
        <w:rPr>
          <w:rFonts w:asciiTheme="minorBidi" w:hAnsiTheme="minorBidi"/>
        </w:rPr>
      </w:pPr>
    </w:p>
    <w:p w14:paraId="5E4F2613" w14:textId="77777777" w:rsidR="003C6BCE" w:rsidRDefault="003C6BCE" w:rsidP="009F19AC">
      <w:pPr>
        <w:rPr>
          <w:rFonts w:asciiTheme="minorBidi" w:hAnsiTheme="minorBidi"/>
        </w:rPr>
      </w:pPr>
    </w:p>
    <w:p w14:paraId="4BE59591" w14:textId="77777777" w:rsidR="003C6BCE" w:rsidRPr="009F19AC" w:rsidRDefault="003C6BCE" w:rsidP="009F19AC">
      <w:pPr>
        <w:rPr>
          <w:rFonts w:asciiTheme="minorBidi" w:hAnsiTheme="minorBidi"/>
        </w:rPr>
      </w:pPr>
    </w:p>
    <w:p w14:paraId="32F02B85" w14:textId="77777777" w:rsidR="009F19AC" w:rsidRDefault="009F19AC" w:rsidP="003C063B">
      <w:pPr>
        <w:rPr>
          <w:rFonts w:asciiTheme="minorBidi" w:hAnsiTheme="minorBidi"/>
        </w:rPr>
      </w:pPr>
    </w:p>
    <w:p w14:paraId="1CBE96EC" w14:textId="77777777" w:rsidR="00A22249" w:rsidRDefault="00A22249" w:rsidP="003C063B">
      <w:pPr>
        <w:rPr>
          <w:rFonts w:asciiTheme="minorBidi" w:hAnsiTheme="minorBidi"/>
        </w:rPr>
      </w:pPr>
    </w:p>
    <w:p w14:paraId="6B3668CD" w14:textId="77777777" w:rsidR="00A22249" w:rsidRDefault="00A22249" w:rsidP="003C063B">
      <w:pPr>
        <w:rPr>
          <w:rFonts w:asciiTheme="minorBidi" w:hAnsiTheme="minorBidi"/>
        </w:rPr>
      </w:pPr>
    </w:p>
    <w:p w14:paraId="2AAEBB80" w14:textId="77777777" w:rsidR="003C063B" w:rsidRPr="003C063B" w:rsidRDefault="003C063B" w:rsidP="003C063B">
      <w:pPr>
        <w:rPr>
          <w:rFonts w:asciiTheme="minorBidi" w:hAnsiTheme="minorBidi"/>
        </w:rPr>
      </w:pPr>
    </w:p>
    <w:p w14:paraId="1F2568A0" w14:textId="77777777" w:rsidR="00AE452A" w:rsidRDefault="00AE452A" w:rsidP="00196238">
      <w:pPr>
        <w:rPr>
          <w:rFonts w:asciiTheme="minorBidi" w:hAnsiTheme="minorBidi"/>
        </w:rPr>
      </w:pPr>
    </w:p>
    <w:p w14:paraId="102AA79B" w14:textId="77777777" w:rsidR="003C05AA" w:rsidRPr="00196238" w:rsidRDefault="003C05AA" w:rsidP="00196238">
      <w:pPr>
        <w:rPr>
          <w:rFonts w:asciiTheme="minorBidi" w:hAnsiTheme="minorBidi"/>
        </w:rPr>
      </w:pPr>
    </w:p>
    <w:p w14:paraId="2DAF7A4C" w14:textId="031A7DC4" w:rsidR="003F0185" w:rsidRPr="00F839CD" w:rsidRDefault="003F0185" w:rsidP="003F0185">
      <w:pPr>
        <w:rPr>
          <w:rFonts w:asciiTheme="minorBidi" w:hAnsiTheme="minorBidi"/>
        </w:rPr>
      </w:pPr>
    </w:p>
    <w:p w14:paraId="34E7FE2B" w14:textId="77777777" w:rsidR="00714771" w:rsidRDefault="00714771" w:rsidP="006D215D">
      <w:pPr>
        <w:tabs>
          <w:tab w:val="left" w:pos="6540"/>
        </w:tabs>
        <w:spacing w:line="360" w:lineRule="auto"/>
        <w:rPr>
          <w:rFonts w:asciiTheme="minorBidi" w:hAnsiTheme="minorBidi"/>
        </w:rPr>
      </w:pPr>
    </w:p>
    <w:p w14:paraId="5EF532F2" w14:textId="77777777" w:rsidR="00AC5011" w:rsidRDefault="00AC5011" w:rsidP="006D215D">
      <w:pPr>
        <w:tabs>
          <w:tab w:val="left" w:pos="6540"/>
        </w:tabs>
        <w:spacing w:line="360" w:lineRule="auto"/>
        <w:rPr>
          <w:rFonts w:asciiTheme="minorBidi" w:hAnsiTheme="minorBidi"/>
        </w:rPr>
      </w:pPr>
    </w:p>
    <w:p w14:paraId="64D16DDE" w14:textId="77777777" w:rsidR="006D215D" w:rsidRDefault="006D215D" w:rsidP="006D215D">
      <w:pPr>
        <w:tabs>
          <w:tab w:val="left" w:pos="6540"/>
        </w:tabs>
        <w:spacing w:line="360" w:lineRule="auto"/>
        <w:rPr>
          <w:rFonts w:asciiTheme="minorBidi" w:hAnsiTheme="minorBidi"/>
        </w:rPr>
      </w:pPr>
    </w:p>
    <w:p w14:paraId="00FCCCFF" w14:textId="77777777" w:rsidR="006D215D" w:rsidRPr="006D215D" w:rsidRDefault="006D215D" w:rsidP="006D215D">
      <w:pPr>
        <w:tabs>
          <w:tab w:val="left" w:pos="6540"/>
        </w:tabs>
        <w:spacing w:line="360" w:lineRule="auto"/>
        <w:rPr>
          <w:rFonts w:asciiTheme="minorBidi" w:hAnsiTheme="minorBidi"/>
        </w:rPr>
      </w:pPr>
    </w:p>
    <w:p w14:paraId="19DEB0DC" w14:textId="77777777" w:rsidR="000E24F2" w:rsidRDefault="000E24F2" w:rsidP="00D8153C">
      <w:pPr>
        <w:tabs>
          <w:tab w:val="left" w:pos="6540"/>
        </w:tabs>
        <w:spacing w:line="360" w:lineRule="auto"/>
        <w:rPr>
          <w:rFonts w:asciiTheme="minorBidi" w:hAnsiTheme="minorBidi"/>
        </w:rPr>
      </w:pPr>
    </w:p>
    <w:p w14:paraId="47EBBCBD" w14:textId="77777777" w:rsidR="00876842" w:rsidRDefault="00876842" w:rsidP="00D8153C">
      <w:pPr>
        <w:tabs>
          <w:tab w:val="left" w:pos="6540"/>
        </w:tabs>
        <w:spacing w:line="360" w:lineRule="auto"/>
        <w:rPr>
          <w:rFonts w:asciiTheme="minorBidi" w:hAnsiTheme="minorBidi"/>
        </w:rPr>
      </w:pPr>
    </w:p>
    <w:p w14:paraId="68128E05" w14:textId="77777777" w:rsidR="00D8153C" w:rsidRPr="00D8153C" w:rsidRDefault="00D8153C" w:rsidP="00D8153C">
      <w:pPr>
        <w:tabs>
          <w:tab w:val="left" w:pos="6540"/>
        </w:tabs>
        <w:spacing w:line="360" w:lineRule="auto"/>
        <w:rPr>
          <w:rFonts w:asciiTheme="minorBidi" w:hAnsiTheme="minorBidi"/>
        </w:rPr>
      </w:pPr>
    </w:p>
    <w:p w14:paraId="0112B4AC" w14:textId="77777777" w:rsidR="00842957" w:rsidRPr="00CD33A8" w:rsidRDefault="00842957" w:rsidP="00CD33A8">
      <w:pPr>
        <w:tabs>
          <w:tab w:val="left" w:pos="6540"/>
        </w:tabs>
        <w:spacing w:line="360" w:lineRule="auto"/>
        <w:rPr>
          <w:rFonts w:asciiTheme="minorBidi" w:hAnsiTheme="minorBidi"/>
        </w:rPr>
      </w:pPr>
    </w:p>
    <w:p w14:paraId="1A0D0BAD" w14:textId="77777777" w:rsidR="00E13A01" w:rsidRPr="00E13A01" w:rsidRDefault="00E13A01" w:rsidP="00E13A01">
      <w:pPr>
        <w:tabs>
          <w:tab w:val="left" w:pos="6540"/>
        </w:tabs>
        <w:spacing w:line="360" w:lineRule="auto"/>
        <w:rPr>
          <w:rFonts w:asciiTheme="minorBidi" w:hAnsiTheme="minorBidi"/>
          <w:color w:val="000000" w:themeColor="text1"/>
        </w:rPr>
      </w:pPr>
      <w:r w:rsidRPr="00E13A01">
        <w:rPr>
          <w:rFonts w:asciiTheme="minorBidi" w:hAnsiTheme="minorBidi"/>
          <w:color w:val="000000" w:themeColor="text1"/>
        </w:rPr>
        <w:t xml:space="preserve">World (2025). </w:t>
      </w:r>
      <w:r w:rsidRPr="00E13A01">
        <w:rPr>
          <w:rFonts w:asciiTheme="minorBidi" w:hAnsiTheme="minorBidi"/>
          <w:i/>
          <w:iCs/>
          <w:color w:val="000000" w:themeColor="text1"/>
        </w:rPr>
        <w:t>Stroke</w:t>
      </w:r>
      <w:r w:rsidRPr="00E13A01">
        <w:rPr>
          <w:rFonts w:asciiTheme="minorBidi" w:hAnsiTheme="minorBidi"/>
          <w:color w:val="000000" w:themeColor="text1"/>
        </w:rPr>
        <w:t>. [online] Who.int. Available at: https://www.who.int/news-room/fact-sheets/detail/stroke.</w:t>
      </w:r>
    </w:p>
    <w:p w14:paraId="63BFA01B" w14:textId="7935DD66" w:rsidR="00F36243" w:rsidRPr="00F12F79" w:rsidRDefault="000D5D36" w:rsidP="00842957">
      <w:pPr>
        <w:tabs>
          <w:tab w:val="left" w:pos="6540"/>
        </w:tabs>
        <w:spacing w:line="360" w:lineRule="auto"/>
        <w:rPr>
          <w:rFonts w:asciiTheme="minorBidi" w:hAnsiTheme="minorBidi"/>
          <w:color w:val="000000" w:themeColor="text1"/>
        </w:rPr>
      </w:pPr>
      <w:r w:rsidRPr="000D5D36">
        <w:rPr>
          <w:rFonts w:asciiTheme="minorBidi" w:hAnsiTheme="minorBidi"/>
          <w:color w:val="000000" w:themeColor="text1"/>
        </w:rPr>
        <w:t xml:space="preserve">World (2025). </w:t>
      </w:r>
      <w:r w:rsidRPr="000D5D36">
        <w:rPr>
          <w:rFonts w:asciiTheme="minorBidi" w:hAnsiTheme="minorBidi"/>
          <w:i/>
          <w:iCs/>
          <w:color w:val="000000" w:themeColor="text1"/>
        </w:rPr>
        <w:t>Stroke</w:t>
      </w:r>
      <w:r w:rsidRPr="000D5D36">
        <w:rPr>
          <w:rFonts w:asciiTheme="minorBidi" w:hAnsiTheme="minorBidi"/>
          <w:color w:val="000000" w:themeColor="text1"/>
        </w:rPr>
        <w:t>. [online] Who.int. Available at: https://www.who.int/news-r</w:t>
      </w:r>
    </w:p>
    <w:p w14:paraId="14E17A9F" w14:textId="77777777" w:rsidR="00842957" w:rsidRPr="00842957" w:rsidRDefault="00842957" w:rsidP="00842957">
      <w:pPr>
        <w:tabs>
          <w:tab w:val="left" w:pos="6540"/>
        </w:tabs>
        <w:spacing w:line="360" w:lineRule="auto"/>
        <w:rPr>
          <w:rFonts w:asciiTheme="minorBidi" w:hAnsiTheme="minorBidi"/>
          <w:color w:val="0070C0"/>
        </w:rPr>
      </w:pPr>
    </w:p>
    <w:p w14:paraId="4FEEB562" w14:textId="77777777" w:rsidR="00842957" w:rsidRPr="00842957" w:rsidRDefault="00842957" w:rsidP="00842957">
      <w:pPr>
        <w:tabs>
          <w:tab w:val="left" w:pos="6540"/>
        </w:tabs>
        <w:spacing w:line="360" w:lineRule="auto"/>
        <w:rPr>
          <w:rFonts w:asciiTheme="minorBidi" w:hAnsiTheme="minorBidi"/>
          <w:color w:val="0070C0"/>
        </w:rPr>
      </w:pPr>
    </w:p>
    <w:p w14:paraId="0AAAFFA2" w14:textId="77777777" w:rsidR="00842957" w:rsidRPr="00842957" w:rsidRDefault="00842957" w:rsidP="00842957">
      <w:pPr>
        <w:tabs>
          <w:tab w:val="left" w:pos="6540"/>
        </w:tabs>
        <w:spacing w:line="360" w:lineRule="auto"/>
        <w:rPr>
          <w:rFonts w:asciiTheme="minorBidi" w:hAnsiTheme="minorBidi"/>
          <w:color w:val="0070C0"/>
        </w:rPr>
      </w:pPr>
      <w:r w:rsidRPr="00842957">
        <w:rPr>
          <w:rFonts w:asciiTheme="minorBidi" w:hAnsiTheme="minorBidi"/>
          <w:color w:val="0070C0"/>
        </w:rPr>
        <w:t>‌</w:t>
      </w:r>
    </w:p>
    <w:p w14:paraId="444BAD02" w14:textId="77777777" w:rsidR="00814A9E" w:rsidRPr="00CD33A8" w:rsidRDefault="00814A9E" w:rsidP="00CD33A8">
      <w:pPr>
        <w:tabs>
          <w:tab w:val="left" w:pos="6540"/>
        </w:tabs>
        <w:spacing w:line="360" w:lineRule="auto"/>
        <w:rPr>
          <w:rFonts w:asciiTheme="minorBidi" w:hAnsiTheme="minorBidi"/>
        </w:rPr>
      </w:pPr>
    </w:p>
    <w:p w14:paraId="71022E41" w14:textId="77777777" w:rsidR="00814A9E" w:rsidRPr="00CD33A8" w:rsidRDefault="00814A9E" w:rsidP="00CD33A8">
      <w:pPr>
        <w:tabs>
          <w:tab w:val="left" w:pos="6540"/>
        </w:tabs>
        <w:spacing w:line="360" w:lineRule="auto"/>
        <w:rPr>
          <w:rFonts w:asciiTheme="minorBidi" w:hAnsiTheme="minorBidi"/>
        </w:rPr>
      </w:pPr>
    </w:p>
    <w:p w14:paraId="3EA3C7DD" w14:textId="2C373198" w:rsidR="00F66E1B" w:rsidRPr="00CD33A8" w:rsidRDefault="00F66E1B" w:rsidP="00CD33A8">
      <w:pPr>
        <w:tabs>
          <w:tab w:val="left" w:pos="6540"/>
        </w:tabs>
        <w:spacing w:line="360" w:lineRule="auto"/>
        <w:rPr>
          <w:rFonts w:asciiTheme="minorBidi" w:hAnsiTheme="minorBidi"/>
        </w:rPr>
      </w:pPr>
    </w:p>
    <w:p w14:paraId="5C76528F" w14:textId="77777777" w:rsidR="00F66E1B" w:rsidRPr="00CD33A8" w:rsidRDefault="00F66E1B" w:rsidP="00CD33A8">
      <w:pPr>
        <w:tabs>
          <w:tab w:val="left" w:pos="6540"/>
        </w:tabs>
        <w:spacing w:line="360" w:lineRule="auto"/>
        <w:rPr>
          <w:rFonts w:asciiTheme="minorBidi" w:hAnsiTheme="minorBidi"/>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1425F4AC" w14:textId="6695D929" w:rsidR="001D7C03" w:rsidRPr="00CD33A8" w:rsidRDefault="001D7C03" w:rsidP="00CD33A8">
      <w:pPr>
        <w:tabs>
          <w:tab w:val="left" w:pos="6540"/>
        </w:tabs>
        <w:spacing w:line="360" w:lineRule="auto"/>
        <w:rPr>
          <w:rFonts w:asciiTheme="minorBidi" w:hAnsiTheme="minorBidi"/>
        </w:rPr>
      </w:pPr>
    </w:p>
    <w:sectPr w:rsidR="001D7C03" w:rsidRPr="00CD33A8" w:rsidSect="00E620E7">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2172D" w14:textId="77777777" w:rsidR="007A7ED2" w:rsidRDefault="007A7ED2" w:rsidP="003E4ECF">
      <w:pPr>
        <w:spacing w:after="0" w:line="240" w:lineRule="auto"/>
      </w:pPr>
      <w:r>
        <w:separator/>
      </w:r>
    </w:p>
  </w:endnote>
  <w:endnote w:type="continuationSeparator" w:id="0">
    <w:p w14:paraId="0D22CFCE" w14:textId="77777777" w:rsidR="007A7ED2" w:rsidRDefault="007A7ED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rPr>
    </w:sdtEndPr>
    <w:sdtContent>
      <w:p w14:paraId="22F0D82E" w14:textId="45C034A5" w:rsidR="003E4ECF" w:rsidRPr="00E620E7" w:rsidRDefault="003E4ECF">
        <w:pPr>
          <w:pStyle w:val="Footer"/>
          <w:jc w:val="center"/>
          <w:rPr>
            <w:rFonts w:asciiTheme="minorBidi" w:hAnsiTheme="minorBidi"/>
          </w:rPr>
        </w:pPr>
        <w:r w:rsidRPr="00E620E7">
          <w:rPr>
            <w:rFonts w:asciiTheme="minorBidi" w:hAnsiTheme="minorBidi"/>
          </w:rPr>
          <w:fldChar w:fldCharType="begin"/>
        </w:r>
        <w:r w:rsidRPr="00E620E7">
          <w:rPr>
            <w:rFonts w:asciiTheme="minorBidi" w:hAnsiTheme="minorBidi"/>
          </w:rPr>
          <w:instrText xml:space="preserve"> PAGE   \* MERGEFORMAT </w:instrText>
        </w:r>
        <w:r w:rsidRPr="00E620E7">
          <w:rPr>
            <w:rFonts w:asciiTheme="minorBidi" w:hAnsiTheme="minorBidi"/>
          </w:rPr>
          <w:fldChar w:fldCharType="separate"/>
        </w:r>
        <w:r w:rsidRPr="00E620E7">
          <w:rPr>
            <w:rFonts w:asciiTheme="minorBidi" w:hAnsiTheme="minorBidi"/>
            <w:noProof/>
          </w:rPr>
          <w:t>2</w:t>
        </w:r>
        <w:r w:rsidRPr="00E620E7">
          <w:rPr>
            <w:rFonts w:asciiTheme="minorBidi" w:hAnsiTheme="minorBidi"/>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76336" w14:textId="77777777" w:rsidR="007A7ED2" w:rsidRDefault="007A7ED2" w:rsidP="003E4ECF">
      <w:pPr>
        <w:spacing w:after="0" w:line="240" w:lineRule="auto"/>
      </w:pPr>
      <w:r>
        <w:separator/>
      </w:r>
    </w:p>
  </w:footnote>
  <w:footnote w:type="continuationSeparator" w:id="0">
    <w:p w14:paraId="4F41B0A9" w14:textId="77777777" w:rsidR="007A7ED2" w:rsidRDefault="007A7ED2"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6EA8"/>
    <w:rsid w:val="0004014E"/>
    <w:rsid w:val="000408BC"/>
    <w:rsid w:val="000475DA"/>
    <w:rsid w:val="000572BF"/>
    <w:rsid w:val="00074402"/>
    <w:rsid w:val="000A1C7D"/>
    <w:rsid w:val="000C08B9"/>
    <w:rsid w:val="000C0A84"/>
    <w:rsid w:val="000C22DC"/>
    <w:rsid w:val="000D5D36"/>
    <w:rsid w:val="000D6908"/>
    <w:rsid w:val="000E24F2"/>
    <w:rsid w:val="00160FCF"/>
    <w:rsid w:val="00196238"/>
    <w:rsid w:val="001B26CB"/>
    <w:rsid w:val="001D7C03"/>
    <w:rsid w:val="001F5688"/>
    <w:rsid w:val="00202989"/>
    <w:rsid w:val="00216C85"/>
    <w:rsid w:val="00231611"/>
    <w:rsid w:val="0026393A"/>
    <w:rsid w:val="00273EDD"/>
    <w:rsid w:val="00280325"/>
    <w:rsid w:val="00290DE5"/>
    <w:rsid w:val="00293FB2"/>
    <w:rsid w:val="002A28BC"/>
    <w:rsid w:val="002A5116"/>
    <w:rsid w:val="002C3965"/>
    <w:rsid w:val="002F733D"/>
    <w:rsid w:val="00321C4C"/>
    <w:rsid w:val="00326909"/>
    <w:rsid w:val="00335836"/>
    <w:rsid w:val="00360DE2"/>
    <w:rsid w:val="003725DB"/>
    <w:rsid w:val="00380206"/>
    <w:rsid w:val="00383270"/>
    <w:rsid w:val="00387D76"/>
    <w:rsid w:val="00392BBC"/>
    <w:rsid w:val="003C05AA"/>
    <w:rsid w:val="003C063B"/>
    <w:rsid w:val="003C6BCE"/>
    <w:rsid w:val="003D1DFA"/>
    <w:rsid w:val="003D44E8"/>
    <w:rsid w:val="003E4ECF"/>
    <w:rsid w:val="003F0185"/>
    <w:rsid w:val="003F06F7"/>
    <w:rsid w:val="00407721"/>
    <w:rsid w:val="00425B8F"/>
    <w:rsid w:val="0042726E"/>
    <w:rsid w:val="00443CEB"/>
    <w:rsid w:val="004A60FA"/>
    <w:rsid w:val="004A736E"/>
    <w:rsid w:val="004C539A"/>
    <w:rsid w:val="004E19BD"/>
    <w:rsid w:val="004E4401"/>
    <w:rsid w:val="004F3B52"/>
    <w:rsid w:val="004F5D55"/>
    <w:rsid w:val="00523718"/>
    <w:rsid w:val="005907AF"/>
    <w:rsid w:val="005A7215"/>
    <w:rsid w:val="005E7250"/>
    <w:rsid w:val="005F567E"/>
    <w:rsid w:val="00625093"/>
    <w:rsid w:val="00645D64"/>
    <w:rsid w:val="00662F8B"/>
    <w:rsid w:val="006708D4"/>
    <w:rsid w:val="006732C1"/>
    <w:rsid w:val="006925AA"/>
    <w:rsid w:val="006A5CBF"/>
    <w:rsid w:val="006C2DBE"/>
    <w:rsid w:val="006D04F1"/>
    <w:rsid w:val="006D215D"/>
    <w:rsid w:val="006D3860"/>
    <w:rsid w:val="006F59C8"/>
    <w:rsid w:val="00714771"/>
    <w:rsid w:val="00725177"/>
    <w:rsid w:val="00737245"/>
    <w:rsid w:val="007378D8"/>
    <w:rsid w:val="0075200B"/>
    <w:rsid w:val="00766A4B"/>
    <w:rsid w:val="00770262"/>
    <w:rsid w:val="00772041"/>
    <w:rsid w:val="0077697D"/>
    <w:rsid w:val="00792561"/>
    <w:rsid w:val="00793B1F"/>
    <w:rsid w:val="007A1B8D"/>
    <w:rsid w:val="007A7ED2"/>
    <w:rsid w:val="007B3BE3"/>
    <w:rsid w:val="007B4537"/>
    <w:rsid w:val="007D53D0"/>
    <w:rsid w:val="007F183F"/>
    <w:rsid w:val="007F6158"/>
    <w:rsid w:val="0080049D"/>
    <w:rsid w:val="00814A9E"/>
    <w:rsid w:val="00841CF5"/>
    <w:rsid w:val="00842957"/>
    <w:rsid w:val="00846F42"/>
    <w:rsid w:val="00876842"/>
    <w:rsid w:val="008A161A"/>
    <w:rsid w:val="008B6C9D"/>
    <w:rsid w:val="008E3943"/>
    <w:rsid w:val="008F1BF9"/>
    <w:rsid w:val="008F5391"/>
    <w:rsid w:val="0090040D"/>
    <w:rsid w:val="00905F58"/>
    <w:rsid w:val="00941A3C"/>
    <w:rsid w:val="00943B0F"/>
    <w:rsid w:val="0095055E"/>
    <w:rsid w:val="009721F3"/>
    <w:rsid w:val="00981F66"/>
    <w:rsid w:val="00985646"/>
    <w:rsid w:val="00990AE3"/>
    <w:rsid w:val="009C22BA"/>
    <w:rsid w:val="009D052C"/>
    <w:rsid w:val="009D1D1E"/>
    <w:rsid w:val="009F19AC"/>
    <w:rsid w:val="00A02F0B"/>
    <w:rsid w:val="00A035FD"/>
    <w:rsid w:val="00A22249"/>
    <w:rsid w:val="00A53254"/>
    <w:rsid w:val="00A855CB"/>
    <w:rsid w:val="00A94D75"/>
    <w:rsid w:val="00AA416C"/>
    <w:rsid w:val="00AC5011"/>
    <w:rsid w:val="00AC59F2"/>
    <w:rsid w:val="00AD23A0"/>
    <w:rsid w:val="00AE452A"/>
    <w:rsid w:val="00AE7690"/>
    <w:rsid w:val="00B66F51"/>
    <w:rsid w:val="00B766F6"/>
    <w:rsid w:val="00B826C7"/>
    <w:rsid w:val="00B8690F"/>
    <w:rsid w:val="00B87B27"/>
    <w:rsid w:val="00B87E75"/>
    <w:rsid w:val="00BA46D5"/>
    <w:rsid w:val="00BB37E7"/>
    <w:rsid w:val="00BB6C5C"/>
    <w:rsid w:val="00BD57C1"/>
    <w:rsid w:val="00BD58D5"/>
    <w:rsid w:val="00BF0082"/>
    <w:rsid w:val="00C420E8"/>
    <w:rsid w:val="00C744C4"/>
    <w:rsid w:val="00C771C4"/>
    <w:rsid w:val="00C8048F"/>
    <w:rsid w:val="00C9361B"/>
    <w:rsid w:val="00CD33A8"/>
    <w:rsid w:val="00D27072"/>
    <w:rsid w:val="00D36C4A"/>
    <w:rsid w:val="00D50B57"/>
    <w:rsid w:val="00D569EA"/>
    <w:rsid w:val="00D8153C"/>
    <w:rsid w:val="00D82D82"/>
    <w:rsid w:val="00D908AD"/>
    <w:rsid w:val="00DF1E4A"/>
    <w:rsid w:val="00E000D1"/>
    <w:rsid w:val="00E059A2"/>
    <w:rsid w:val="00E13A01"/>
    <w:rsid w:val="00E451E1"/>
    <w:rsid w:val="00E569FD"/>
    <w:rsid w:val="00E620E7"/>
    <w:rsid w:val="00E833B3"/>
    <w:rsid w:val="00EB4F6D"/>
    <w:rsid w:val="00EC6206"/>
    <w:rsid w:val="00EE50A9"/>
    <w:rsid w:val="00F12F79"/>
    <w:rsid w:val="00F353CC"/>
    <w:rsid w:val="00F36243"/>
    <w:rsid w:val="00F43731"/>
    <w:rsid w:val="00F66E1B"/>
    <w:rsid w:val="00F700B2"/>
    <w:rsid w:val="00F839CD"/>
    <w:rsid w:val="00F902EF"/>
    <w:rsid w:val="00F91D22"/>
    <w:rsid w:val="00F9423E"/>
    <w:rsid w:val="00F95041"/>
    <w:rsid w:val="00FA0F38"/>
    <w:rsid w:val="00FA5B03"/>
    <w:rsid w:val="00FB18D2"/>
    <w:rsid w:val="00FC20BE"/>
    <w:rsid w:val="00FF10FD"/>
    <w:rsid w:val="00FF30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561"/>
  </w:style>
  <w:style w:type="paragraph" w:styleId="Heading1">
    <w:name w:val="heading 1"/>
    <w:basedOn w:val="Normal"/>
    <w:next w:val="Normal"/>
    <w:link w:val="Heading1Char"/>
    <w:uiPriority w:val="9"/>
    <w:qFormat/>
    <w:rsid w:val="00792561"/>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792561"/>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792561"/>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792561"/>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792561"/>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792561"/>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792561"/>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792561"/>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792561"/>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561"/>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792561"/>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792561"/>
    <w:rPr>
      <w:rFonts w:asciiTheme="majorHAnsi" w:eastAsiaTheme="majorEastAsia" w:hAnsiTheme="majorHAnsi" w:cstheme="majorBidi"/>
      <w:smallCaps/>
      <w:sz w:val="28"/>
      <w:szCs w:val="28"/>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customStyle="1" w:styleId="Heading4Char">
    <w:name w:val="Heading 4 Char"/>
    <w:basedOn w:val="DefaultParagraphFont"/>
    <w:link w:val="Heading4"/>
    <w:uiPriority w:val="9"/>
    <w:semiHidden/>
    <w:rsid w:val="00792561"/>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792561"/>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792561"/>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792561"/>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792561"/>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792561"/>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792561"/>
    <w:pPr>
      <w:spacing w:line="240" w:lineRule="auto"/>
    </w:pPr>
    <w:rPr>
      <w:b/>
      <w:bCs/>
      <w:smallCaps/>
      <w:color w:val="595959" w:themeColor="text1" w:themeTint="A6"/>
    </w:rPr>
  </w:style>
  <w:style w:type="paragraph" w:styleId="Title">
    <w:name w:val="Title"/>
    <w:basedOn w:val="Normal"/>
    <w:next w:val="Normal"/>
    <w:link w:val="TitleChar"/>
    <w:uiPriority w:val="10"/>
    <w:qFormat/>
    <w:rsid w:val="00792561"/>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792561"/>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792561"/>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792561"/>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792561"/>
    <w:rPr>
      <w:b/>
      <w:bCs/>
    </w:rPr>
  </w:style>
  <w:style w:type="character" w:styleId="Emphasis">
    <w:name w:val="Emphasis"/>
    <w:basedOn w:val="DefaultParagraphFont"/>
    <w:uiPriority w:val="20"/>
    <w:qFormat/>
    <w:rsid w:val="00792561"/>
    <w:rPr>
      <w:i/>
      <w:iCs/>
    </w:rPr>
  </w:style>
  <w:style w:type="paragraph" w:styleId="NoSpacing">
    <w:name w:val="No Spacing"/>
    <w:uiPriority w:val="1"/>
    <w:qFormat/>
    <w:rsid w:val="00792561"/>
    <w:pPr>
      <w:spacing w:after="0" w:line="240" w:lineRule="auto"/>
    </w:pPr>
  </w:style>
  <w:style w:type="paragraph" w:styleId="Quote">
    <w:name w:val="Quote"/>
    <w:basedOn w:val="Normal"/>
    <w:next w:val="Normal"/>
    <w:link w:val="QuoteChar"/>
    <w:uiPriority w:val="29"/>
    <w:qFormat/>
    <w:rsid w:val="00792561"/>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792561"/>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792561"/>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792561"/>
    <w:rPr>
      <w:color w:val="404040" w:themeColor="text1" w:themeTint="BF"/>
      <w:sz w:val="32"/>
      <w:szCs w:val="32"/>
    </w:rPr>
  </w:style>
  <w:style w:type="character" w:styleId="SubtleEmphasis">
    <w:name w:val="Subtle Emphasis"/>
    <w:basedOn w:val="DefaultParagraphFont"/>
    <w:uiPriority w:val="19"/>
    <w:qFormat/>
    <w:rsid w:val="00792561"/>
    <w:rPr>
      <w:i/>
      <w:iCs/>
      <w:color w:val="595959" w:themeColor="text1" w:themeTint="A6"/>
    </w:rPr>
  </w:style>
  <w:style w:type="character" w:styleId="IntenseEmphasis">
    <w:name w:val="Intense Emphasis"/>
    <w:basedOn w:val="DefaultParagraphFont"/>
    <w:uiPriority w:val="21"/>
    <w:qFormat/>
    <w:rsid w:val="00792561"/>
    <w:rPr>
      <w:b/>
      <w:bCs/>
      <w:i/>
      <w:iCs/>
    </w:rPr>
  </w:style>
  <w:style w:type="character" w:styleId="SubtleReference">
    <w:name w:val="Subtle Reference"/>
    <w:basedOn w:val="DefaultParagraphFont"/>
    <w:uiPriority w:val="31"/>
    <w:qFormat/>
    <w:rsid w:val="0079256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92561"/>
    <w:rPr>
      <w:b/>
      <w:bCs/>
      <w:caps w:val="0"/>
      <w:smallCaps/>
      <w:color w:val="auto"/>
      <w:spacing w:val="3"/>
      <w:u w:val="single"/>
    </w:rPr>
  </w:style>
  <w:style w:type="character" w:styleId="BookTitle">
    <w:name w:val="Book Title"/>
    <w:basedOn w:val="DefaultParagraphFont"/>
    <w:uiPriority w:val="33"/>
    <w:qFormat/>
    <w:rsid w:val="00792561"/>
    <w:rPr>
      <w:b/>
      <w:bCs/>
      <w:smallCaps/>
      <w:spacing w:val="7"/>
    </w:rPr>
  </w:style>
  <w:style w:type="paragraph" w:styleId="TOCHeading">
    <w:name w:val="TOC Heading"/>
    <w:basedOn w:val="Heading1"/>
    <w:next w:val="Normal"/>
    <w:uiPriority w:val="39"/>
    <w:semiHidden/>
    <w:unhideWhenUsed/>
    <w:qFormat/>
    <w:rsid w:val="00792561"/>
    <w:pPr>
      <w:outlineLvl w:val="9"/>
    </w:pPr>
  </w:style>
  <w:style w:type="character" w:styleId="Hyperlink">
    <w:name w:val="Hyperlink"/>
    <w:basedOn w:val="DefaultParagraphFont"/>
    <w:uiPriority w:val="99"/>
    <w:unhideWhenUsed/>
    <w:rsid w:val="00842957"/>
    <w:rPr>
      <w:color w:val="EE7B08" w:themeColor="hyperlink"/>
      <w:u w:val="single"/>
    </w:rPr>
  </w:style>
  <w:style w:type="character" w:styleId="UnresolvedMention">
    <w:name w:val="Unresolved Mention"/>
    <w:basedOn w:val="DefaultParagraphFont"/>
    <w:uiPriority w:val="99"/>
    <w:semiHidden/>
    <w:unhideWhenUsed/>
    <w:rsid w:val="00842957"/>
    <w:rPr>
      <w:color w:val="605E5C"/>
      <w:shd w:val="clear" w:color="auto" w:fill="E1DFDD"/>
    </w:rPr>
  </w:style>
  <w:style w:type="character" w:styleId="FollowedHyperlink">
    <w:name w:val="FollowedHyperlink"/>
    <w:basedOn w:val="DefaultParagraphFont"/>
    <w:uiPriority w:val="99"/>
    <w:semiHidden/>
    <w:unhideWhenUsed/>
    <w:rsid w:val="00876842"/>
    <w:rPr>
      <w:color w:val="977B2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474930241308142" TargetMode="External"/><Relationship Id="rId13" Type="http://schemas.openxmlformats.org/officeDocument/2006/relationships/hyperlink" Target="https://www.strokeaudit.org/Audits/Clinical-audit-information/Results-and-reports.aspx"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pubmed.ncbi.nlm.nih.gov/7596004/"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jstrokecerebrovasdis.2025.108347"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111/ajr.70130" TargetMode="External"/><Relationship Id="rId4" Type="http://schemas.openxmlformats.org/officeDocument/2006/relationships/footnotes" Target="footnotes.xml"/><Relationship Id="rId9" Type="http://schemas.openxmlformats.org/officeDocument/2006/relationships/hyperlink" Target="https://www.england.nhs.uk/2024/11/nhs-launches-major-new-stroke-campaign-as-thousands-delay-calling-999-by-nearly-90-minut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2250</Words>
  <Characters>12828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Alket Lata</cp:lastModifiedBy>
  <cp:revision>2</cp:revision>
  <dcterms:created xsi:type="dcterms:W3CDTF">2026-03-31T22:58:00Z</dcterms:created>
  <dcterms:modified xsi:type="dcterms:W3CDTF">2026-03-31T22:58:00Z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d3db2730-d092-46eb-8805-d5a72bb0d873</vt:lpwstr>
  </property>
</Properties>
</file>