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596481" w14:textId="77777777" w:rsidR="00A932EF" w:rsidRDefault="00A932EF" w:rsidP="00A932EF"/>
    <w:p w14:paraId="6C4C1BCC" w14:textId="77777777" w:rsidR="00A932EF" w:rsidRDefault="00A932EF" w:rsidP="00A932EF"/>
    <w:p w14:paraId="53E037BA" w14:textId="3CC66ED1" w:rsidR="00A932EF" w:rsidRDefault="00A932EF" w:rsidP="00A932EF">
      <w:r w:rsidRPr="00A932EF">
        <w:rPr>
          <w:rFonts w:ascii="Calibri" w:eastAsia="Calibri" w:hAnsi="Calibri" w:cs="Times New Roman"/>
          <w:noProof/>
          <w:kern w:val="0"/>
          <w:sz w:val="22"/>
          <w:szCs w:val="22"/>
          <w14:ligatures w14:val="none"/>
        </w:rPr>
        <w:drawing>
          <wp:inline distT="0" distB="0" distL="0" distR="0" wp14:anchorId="51FAA28B" wp14:editId="70172D9F">
            <wp:extent cx="4085492" cy="1818640"/>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37498" cy="1841790"/>
                    </a:xfrm>
                    <a:prstGeom prst="rect">
                      <a:avLst/>
                    </a:prstGeom>
                  </pic:spPr>
                </pic:pic>
              </a:graphicData>
            </a:graphic>
          </wp:inline>
        </w:drawing>
      </w:r>
    </w:p>
    <w:p w14:paraId="431F3F47" w14:textId="77777777" w:rsidR="00A932EF" w:rsidRDefault="00A932EF" w:rsidP="00A932EF"/>
    <w:p w14:paraId="53353B61" w14:textId="77777777" w:rsidR="00A932EF" w:rsidRDefault="00A932EF" w:rsidP="00A932EF"/>
    <w:p w14:paraId="4EC10182" w14:textId="77777777" w:rsidR="00564D6D" w:rsidRDefault="00564D6D" w:rsidP="00A932EF"/>
    <w:p w14:paraId="31CA33D9" w14:textId="658227D7" w:rsidR="00A932EF" w:rsidRDefault="00440661" w:rsidP="00564D6D">
      <w:pPr>
        <w:ind w:left="1440" w:firstLine="720"/>
        <w:rPr>
          <w:b/>
          <w:bCs/>
          <w:sz w:val="36"/>
          <w:szCs w:val="36"/>
        </w:rPr>
      </w:pPr>
      <w:r>
        <w:rPr>
          <w:b/>
          <w:bCs/>
          <w:sz w:val="36"/>
          <w:szCs w:val="36"/>
        </w:rPr>
        <w:t>Managing people</w:t>
      </w:r>
    </w:p>
    <w:p w14:paraId="57050046" w14:textId="63F99DFF" w:rsidR="00564D6D" w:rsidRDefault="00564D6D" w:rsidP="00564D6D">
      <w:pPr>
        <w:ind w:left="1440" w:firstLine="720"/>
        <w:rPr>
          <w:b/>
          <w:bCs/>
          <w:sz w:val="36"/>
          <w:szCs w:val="36"/>
        </w:rPr>
      </w:pPr>
      <w:r>
        <w:rPr>
          <w:b/>
          <w:bCs/>
          <w:sz w:val="36"/>
          <w:szCs w:val="36"/>
        </w:rPr>
        <w:t>Coursework: Essay</w:t>
      </w:r>
    </w:p>
    <w:p w14:paraId="7F13DE72" w14:textId="77777777" w:rsidR="00A932EF" w:rsidRPr="00A932EF" w:rsidRDefault="00A932EF" w:rsidP="00564D6D">
      <w:pPr>
        <w:rPr>
          <w:sz w:val="36"/>
          <w:szCs w:val="36"/>
        </w:rPr>
      </w:pPr>
    </w:p>
    <w:p w14:paraId="7E36DF02" w14:textId="77777777" w:rsidR="00A932EF" w:rsidRDefault="00A932EF" w:rsidP="00A932EF"/>
    <w:p w14:paraId="164A2D03" w14:textId="77777777" w:rsidR="00A932EF" w:rsidRDefault="00A932EF" w:rsidP="00A932EF"/>
    <w:p w14:paraId="3C67C84B" w14:textId="77777777" w:rsidR="00A932EF" w:rsidRDefault="00A932EF" w:rsidP="00A932EF"/>
    <w:p w14:paraId="655E4B46" w14:textId="77777777" w:rsidR="00A932EF" w:rsidRDefault="00A932EF" w:rsidP="00A932EF"/>
    <w:p w14:paraId="708E0924" w14:textId="595F6B17" w:rsidR="00A932EF" w:rsidRDefault="00A932EF" w:rsidP="00A932EF">
      <w:r w:rsidRPr="00564D6D">
        <w:rPr>
          <w:b/>
          <w:bCs/>
          <w:sz w:val="28"/>
          <w:szCs w:val="28"/>
        </w:rPr>
        <w:t xml:space="preserve">Name: </w:t>
      </w:r>
      <w:r>
        <w:t>Kra</w:t>
      </w:r>
      <w:r w:rsidRPr="00A932EF">
        <w:t>simira Chausheva</w:t>
      </w:r>
    </w:p>
    <w:p w14:paraId="57E00E87" w14:textId="6005FB87" w:rsidR="00A932EF" w:rsidRDefault="00A932EF" w:rsidP="00A932EF">
      <w:r w:rsidRPr="00564D6D">
        <w:rPr>
          <w:b/>
          <w:bCs/>
          <w:sz w:val="28"/>
          <w:szCs w:val="28"/>
        </w:rPr>
        <w:t>Student ID:</w:t>
      </w:r>
      <w:r w:rsidRPr="00A932EF">
        <w:t xml:space="preserve"> 2231627 </w:t>
      </w:r>
    </w:p>
    <w:p w14:paraId="762004C2" w14:textId="42B26D6F" w:rsidR="00A932EF" w:rsidRDefault="00A932EF" w:rsidP="00A932EF">
      <w:r w:rsidRPr="00564D6D">
        <w:rPr>
          <w:b/>
          <w:bCs/>
          <w:sz w:val="28"/>
          <w:szCs w:val="28"/>
        </w:rPr>
        <w:t xml:space="preserve">Module </w:t>
      </w:r>
      <w:r w:rsidR="00440661">
        <w:rPr>
          <w:b/>
          <w:bCs/>
          <w:sz w:val="28"/>
          <w:szCs w:val="28"/>
        </w:rPr>
        <w:t>code</w:t>
      </w:r>
      <w:r w:rsidRPr="00564D6D">
        <w:rPr>
          <w:b/>
          <w:bCs/>
          <w:sz w:val="28"/>
          <w:szCs w:val="28"/>
        </w:rPr>
        <w:t>:</w:t>
      </w:r>
      <w:r>
        <w:t xml:space="preserve"> LCBB5004</w:t>
      </w:r>
    </w:p>
    <w:p w14:paraId="7A21650C" w14:textId="2DD17772" w:rsidR="00A932EF" w:rsidRDefault="00A932EF" w:rsidP="00A932EF">
      <w:r w:rsidRPr="00564D6D">
        <w:rPr>
          <w:b/>
          <w:bCs/>
          <w:sz w:val="28"/>
          <w:szCs w:val="28"/>
        </w:rPr>
        <w:t>Lecturer:</w:t>
      </w:r>
      <w:r w:rsidRPr="00A932EF">
        <w:t xml:space="preserve"> Dr Anupam Mazumdar</w:t>
      </w:r>
    </w:p>
    <w:p w14:paraId="58C7679D" w14:textId="76EEFC07" w:rsidR="00A932EF" w:rsidRDefault="00564D6D" w:rsidP="00A932EF">
      <w:r>
        <w:rPr>
          <w:b/>
          <w:bCs/>
          <w:sz w:val="28"/>
          <w:szCs w:val="28"/>
        </w:rPr>
        <w:t>Program</w:t>
      </w:r>
      <w:r w:rsidR="00A932EF" w:rsidRPr="00564D6D">
        <w:rPr>
          <w:b/>
          <w:bCs/>
          <w:sz w:val="28"/>
          <w:szCs w:val="28"/>
        </w:rPr>
        <w:t>:</w:t>
      </w:r>
      <w:r w:rsidR="00A932EF" w:rsidRPr="00A932EF">
        <w:t xml:space="preserve"> BA Business Management</w:t>
      </w:r>
    </w:p>
    <w:p w14:paraId="59379A84" w14:textId="77777777" w:rsidR="006008B6" w:rsidRDefault="006008B6" w:rsidP="00A932EF"/>
    <w:p w14:paraId="501723F5" w14:textId="77777777" w:rsidR="006008B6" w:rsidRDefault="006008B6" w:rsidP="00A932EF"/>
    <w:p w14:paraId="12DE518B" w14:textId="77777777" w:rsidR="006008B6" w:rsidRDefault="006008B6" w:rsidP="00A932EF"/>
    <w:p w14:paraId="78A06814" w14:textId="1AD2B65D" w:rsidR="006008B6" w:rsidRDefault="00661B2F" w:rsidP="006008B6">
      <w:pPr>
        <w:jc w:val="center"/>
        <w:rPr>
          <w:b/>
          <w:bCs/>
          <w:sz w:val="32"/>
          <w:szCs w:val="32"/>
        </w:rPr>
      </w:pPr>
      <w:r>
        <w:rPr>
          <w:b/>
          <w:bCs/>
          <w:sz w:val="32"/>
          <w:szCs w:val="32"/>
        </w:rPr>
        <w:lastRenderedPageBreak/>
        <w:t>Table of content</w:t>
      </w:r>
    </w:p>
    <w:p w14:paraId="70D9D3A0" w14:textId="77777777" w:rsidR="006008B6" w:rsidRDefault="006008B6" w:rsidP="006008B6">
      <w:pPr>
        <w:jc w:val="center"/>
        <w:rPr>
          <w:b/>
          <w:bCs/>
          <w:sz w:val="32"/>
          <w:szCs w:val="32"/>
        </w:rPr>
      </w:pPr>
    </w:p>
    <w:p w14:paraId="1BC96586" w14:textId="77777777" w:rsidR="00051322" w:rsidRPr="006008B6" w:rsidRDefault="00051322" w:rsidP="006008B6">
      <w:pPr>
        <w:jc w:val="center"/>
        <w:rPr>
          <w:b/>
          <w:bCs/>
          <w:sz w:val="32"/>
          <w:szCs w:val="32"/>
        </w:rPr>
      </w:pPr>
    </w:p>
    <w:p w14:paraId="3CC5C213" w14:textId="4EE0E4DC" w:rsidR="006008B6" w:rsidRPr="006008B6" w:rsidRDefault="006008B6" w:rsidP="006008B6">
      <w:pPr>
        <w:rPr>
          <w:rFonts w:ascii="Times New Roman" w:hAnsi="Times New Roman" w:cs="Times New Roman"/>
        </w:rPr>
      </w:pPr>
      <w:r w:rsidRPr="006008B6">
        <w:rPr>
          <w:rFonts w:ascii="Times New Roman" w:hAnsi="Times New Roman" w:cs="Times New Roman"/>
        </w:rPr>
        <w:t>1.</w:t>
      </w:r>
      <w:r>
        <w:rPr>
          <w:rFonts w:ascii="Times New Roman" w:hAnsi="Times New Roman" w:cs="Times New Roman"/>
        </w:rPr>
        <w:t xml:space="preserve"> </w:t>
      </w:r>
      <w:r w:rsidR="00661B2F">
        <w:rPr>
          <w:rFonts w:ascii="Times New Roman" w:hAnsi="Times New Roman" w:cs="Times New Roman"/>
        </w:rPr>
        <w:t>Introduction……………………………………………………………………………...</w:t>
      </w:r>
      <w:r w:rsidRPr="006008B6">
        <w:rPr>
          <w:rFonts w:ascii="Times New Roman" w:hAnsi="Times New Roman" w:cs="Times New Roman"/>
        </w:rPr>
        <w:t xml:space="preserve"> 3</w:t>
      </w:r>
    </w:p>
    <w:p w14:paraId="09B321A8" w14:textId="467C00B3" w:rsidR="006008B6" w:rsidRPr="006008B6" w:rsidRDefault="006008B6" w:rsidP="006008B6">
      <w:pPr>
        <w:rPr>
          <w:rFonts w:ascii="Times New Roman" w:hAnsi="Times New Roman" w:cs="Times New Roman"/>
        </w:rPr>
      </w:pPr>
      <w:r w:rsidRPr="006008B6">
        <w:rPr>
          <w:rFonts w:ascii="Times New Roman" w:hAnsi="Times New Roman" w:cs="Times New Roman"/>
        </w:rPr>
        <w:t xml:space="preserve">2. </w:t>
      </w:r>
      <w:r w:rsidR="00661B2F">
        <w:rPr>
          <w:rFonts w:ascii="Times New Roman" w:hAnsi="Times New Roman" w:cs="Times New Roman"/>
        </w:rPr>
        <w:t>The role of technology in appraising the performance of remote workers………....……3</w:t>
      </w:r>
    </w:p>
    <w:p w14:paraId="381ED9D6" w14:textId="557CF650" w:rsidR="006008B6" w:rsidRPr="006008B6" w:rsidRDefault="006008B6" w:rsidP="006008B6">
      <w:pPr>
        <w:rPr>
          <w:rFonts w:ascii="Times New Roman" w:hAnsi="Times New Roman" w:cs="Times New Roman"/>
        </w:rPr>
      </w:pPr>
      <w:r w:rsidRPr="006008B6">
        <w:rPr>
          <w:rFonts w:ascii="Times New Roman" w:hAnsi="Times New Roman" w:cs="Times New Roman"/>
        </w:rPr>
        <w:t xml:space="preserve">3. Performance </w:t>
      </w:r>
      <w:r w:rsidR="00661B2F">
        <w:rPr>
          <w:rFonts w:ascii="Times New Roman" w:hAnsi="Times New Roman" w:cs="Times New Roman"/>
        </w:rPr>
        <w:t>m</w:t>
      </w:r>
      <w:r w:rsidRPr="006008B6">
        <w:rPr>
          <w:rFonts w:ascii="Times New Roman" w:hAnsi="Times New Roman" w:cs="Times New Roman"/>
        </w:rPr>
        <w:t xml:space="preserve">easurement </w:t>
      </w:r>
      <w:r w:rsidR="00661B2F">
        <w:rPr>
          <w:rFonts w:ascii="Times New Roman" w:hAnsi="Times New Roman" w:cs="Times New Roman"/>
        </w:rPr>
        <w:t>t</w:t>
      </w:r>
      <w:r w:rsidRPr="006008B6">
        <w:rPr>
          <w:rFonts w:ascii="Times New Roman" w:hAnsi="Times New Roman" w:cs="Times New Roman"/>
        </w:rPr>
        <w:t xml:space="preserve">echniques for </w:t>
      </w:r>
      <w:r w:rsidR="00661B2F">
        <w:rPr>
          <w:rFonts w:ascii="Times New Roman" w:hAnsi="Times New Roman" w:cs="Times New Roman"/>
        </w:rPr>
        <w:t>r</w:t>
      </w:r>
      <w:r w:rsidRPr="006008B6">
        <w:rPr>
          <w:rFonts w:ascii="Times New Roman" w:hAnsi="Times New Roman" w:cs="Times New Roman"/>
        </w:rPr>
        <w:t xml:space="preserve">emote </w:t>
      </w:r>
      <w:r w:rsidR="00661B2F">
        <w:rPr>
          <w:rFonts w:ascii="Times New Roman" w:hAnsi="Times New Roman" w:cs="Times New Roman"/>
        </w:rPr>
        <w:t>w</w:t>
      </w:r>
      <w:r w:rsidRPr="006008B6">
        <w:rPr>
          <w:rFonts w:ascii="Times New Roman" w:hAnsi="Times New Roman" w:cs="Times New Roman"/>
        </w:rPr>
        <w:t>orkers…………</w:t>
      </w:r>
      <w:r w:rsidR="00661B2F">
        <w:rPr>
          <w:rFonts w:ascii="Times New Roman" w:hAnsi="Times New Roman" w:cs="Times New Roman"/>
        </w:rPr>
        <w:t>...</w:t>
      </w:r>
      <w:r w:rsidRPr="006008B6">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r w:rsidR="004167D2">
        <w:rPr>
          <w:rFonts w:ascii="Times New Roman" w:hAnsi="Times New Roman" w:cs="Times New Roman"/>
        </w:rPr>
        <w:t>..</w:t>
      </w:r>
      <w:r w:rsidRPr="006008B6">
        <w:rPr>
          <w:rFonts w:ascii="Times New Roman" w:hAnsi="Times New Roman" w:cs="Times New Roman"/>
        </w:rPr>
        <w:t xml:space="preserve"> 4</w:t>
      </w:r>
    </w:p>
    <w:p w14:paraId="1297BC3D" w14:textId="76CEC642"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 xml:space="preserve">3.1 OKR </w:t>
      </w:r>
      <w:r w:rsidR="00661B2F">
        <w:rPr>
          <w:rFonts w:ascii="Times New Roman" w:hAnsi="Times New Roman" w:cs="Times New Roman"/>
        </w:rPr>
        <w:t>t</w:t>
      </w:r>
      <w:r w:rsidRPr="006008B6">
        <w:rPr>
          <w:rFonts w:ascii="Times New Roman" w:hAnsi="Times New Roman" w:cs="Times New Roman"/>
        </w:rPr>
        <w:t>echnique……………………………………………………</w:t>
      </w:r>
      <w:r>
        <w:rPr>
          <w:rFonts w:ascii="Times New Roman" w:hAnsi="Times New Roman" w:cs="Times New Roman"/>
        </w:rPr>
        <w:t>.</w:t>
      </w:r>
      <w:r w:rsidRPr="006008B6">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 4</w:t>
      </w:r>
    </w:p>
    <w:p w14:paraId="621D2D4D" w14:textId="75E3A5BF"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3.2 Competency-based evaluation……………</w:t>
      </w:r>
      <w:r>
        <w:rPr>
          <w:rFonts w:ascii="Times New Roman" w:hAnsi="Times New Roman" w:cs="Times New Roman"/>
        </w:rPr>
        <w:t>…</w:t>
      </w:r>
      <w:r w:rsidRPr="006008B6">
        <w:rPr>
          <w:rFonts w:ascii="Times New Roman" w:hAnsi="Times New Roman" w:cs="Times New Roman"/>
        </w:rPr>
        <w:t>…………………………………</w:t>
      </w:r>
      <w:proofErr w:type="gramStart"/>
      <w:r w:rsidRPr="006008B6">
        <w:rPr>
          <w:rFonts w:ascii="Times New Roman" w:hAnsi="Times New Roman" w:cs="Times New Roman"/>
        </w:rPr>
        <w:t>…</w:t>
      </w:r>
      <w:r>
        <w:rPr>
          <w:rFonts w:ascii="Times New Roman" w:hAnsi="Times New Roman" w:cs="Times New Roman"/>
        </w:rPr>
        <w:t>..</w:t>
      </w:r>
      <w:proofErr w:type="gramEnd"/>
      <w:r w:rsidRPr="006008B6">
        <w:rPr>
          <w:rFonts w:ascii="Times New Roman" w:hAnsi="Times New Roman" w:cs="Times New Roman"/>
        </w:rPr>
        <w:t xml:space="preserve">… </w:t>
      </w:r>
      <w:r w:rsidR="00A22C02">
        <w:rPr>
          <w:rFonts w:ascii="Times New Roman" w:hAnsi="Times New Roman" w:cs="Times New Roman"/>
        </w:rPr>
        <w:t>4</w:t>
      </w:r>
    </w:p>
    <w:p w14:paraId="145FC535" w14:textId="395A8F3E"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3.3 360-degree feedback……………</w:t>
      </w:r>
      <w:r>
        <w:rPr>
          <w:rFonts w:ascii="Times New Roman" w:hAnsi="Times New Roman" w:cs="Times New Roman"/>
        </w:rPr>
        <w:t>...</w:t>
      </w:r>
      <w:r w:rsidRPr="006008B6">
        <w:rPr>
          <w:rFonts w:ascii="Times New Roman" w:hAnsi="Times New Roman" w:cs="Times New Roman"/>
        </w:rPr>
        <w:t>……………………………………………</w:t>
      </w:r>
      <w:proofErr w:type="gramStart"/>
      <w:r w:rsidRPr="006008B6">
        <w:rPr>
          <w:rFonts w:ascii="Times New Roman" w:hAnsi="Times New Roman" w:cs="Times New Roman"/>
        </w:rPr>
        <w:t>…</w:t>
      </w:r>
      <w:r>
        <w:rPr>
          <w:rFonts w:ascii="Times New Roman" w:hAnsi="Times New Roman" w:cs="Times New Roman"/>
        </w:rPr>
        <w:t>..</w:t>
      </w:r>
      <w:proofErr w:type="gramEnd"/>
      <w:r w:rsidRPr="006008B6">
        <w:rPr>
          <w:rFonts w:ascii="Times New Roman" w:hAnsi="Times New Roman" w:cs="Times New Roman"/>
        </w:rPr>
        <w:t>… 5</w:t>
      </w:r>
    </w:p>
    <w:p w14:paraId="391D3AC0" w14:textId="75CE4688"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3.4 Ongoing feedback…………………</w:t>
      </w:r>
      <w:proofErr w:type="gramStart"/>
      <w:r w:rsidRPr="006008B6">
        <w:rPr>
          <w:rFonts w:ascii="Times New Roman" w:hAnsi="Times New Roman" w:cs="Times New Roman"/>
        </w:rPr>
        <w:t>…</w:t>
      </w:r>
      <w:r>
        <w:rPr>
          <w:rFonts w:ascii="Times New Roman" w:hAnsi="Times New Roman" w:cs="Times New Roman"/>
        </w:rPr>
        <w:t>..</w:t>
      </w:r>
      <w:proofErr w:type="gramEnd"/>
      <w:r w:rsidRPr="006008B6">
        <w:rPr>
          <w:rFonts w:ascii="Times New Roman" w:hAnsi="Times New Roman" w:cs="Times New Roman"/>
        </w:rPr>
        <w:t>………………………………………</w:t>
      </w:r>
      <w:r w:rsidR="00661B2F">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r w:rsidR="00A21AF1">
        <w:rPr>
          <w:rFonts w:ascii="Times New Roman" w:hAnsi="Times New Roman" w:cs="Times New Roman"/>
        </w:rPr>
        <w:t>5</w:t>
      </w:r>
    </w:p>
    <w:p w14:paraId="3163AFF1" w14:textId="56D3D6E1" w:rsidR="006008B6" w:rsidRPr="006008B6" w:rsidRDefault="006008B6" w:rsidP="006008B6">
      <w:pPr>
        <w:rPr>
          <w:rFonts w:ascii="Times New Roman" w:hAnsi="Times New Roman" w:cs="Times New Roman"/>
        </w:rPr>
      </w:pPr>
      <w:r w:rsidRPr="006008B6">
        <w:rPr>
          <w:rFonts w:ascii="Times New Roman" w:hAnsi="Times New Roman" w:cs="Times New Roman"/>
        </w:rPr>
        <w:t xml:space="preserve">4. Performance </w:t>
      </w:r>
      <w:r w:rsidR="00661B2F">
        <w:rPr>
          <w:rFonts w:ascii="Times New Roman" w:hAnsi="Times New Roman" w:cs="Times New Roman"/>
        </w:rPr>
        <w:t>a</w:t>
      </w:r>
      <w:r w:rsidRPr="006008B6">
        <w:rPr>
          <w:rFonts w:ascii="Times New Roman" w:hAnsi="Times New Roman" w:cs="Times New Roman"/>
        </w:rPr>
        <w:t xml:space="preserve">ppraisal </w:t>
      </w:r>
      <w:r w:rsidR="00661B2F">
        <w:rPr>
          <w:rFonts w:ascii="Times New Roman" w:hAnsi="Times New Roman" w:cs="Times New Roman"/>
        </w:rPr>
        <w:t>t</w:t>
      </w:r>
      <w:r w:rsidRPr="006008B6">
        <w:rPr>
          <w:rFonts w:ascii="Times New Roman" w:hAnsi="Times New Roman" w:cs="Times New Roman"/>
        </w:rPr>
        <w:t xml:space="preserve">ools for </w:t>
      </w:r>
      <w:r w:rsidR="00661B2F">
        <w:rPr>
          <w:rFonts w:ascii="Times New Roman" w:hAnsi="Times New Roman" w:cs="Times New Roman"/>
        </w:rPr>
        <w:t>r</w:t>
      </w:r>
      <w:r w:rsidRPr="006008B6">
        <w:rPr>
          <w:rFonts w:ascii="Times New Roman" w:hAnsi="Times New Roman" w:cs="Times New Roman"/>
        </w:rPr>
        <w:t xml:space="preserve">emote </w:t>
      </w:r>
      <w:r w:rsidR="00661B2F">
        <w:rPr>
          <w:rFonts w:ascii="Times New Roman" w:hAnsi="Times New Roman" w:cs="Times New Roman"/>
        </w:rPr>
        <w:t>w</w:t>
      </w:r>
      <w:r w:rsidRPr="006008B6">
        <w:rPr>
          <w:rFonts w:ascii="Times New Roman" w:hAnsi="Times New Roman" w:cs="Times New Roman"/>
        </w:rPr>
        <w:t>orkers………………</w:t>
      </w:r>
      <w:r>
        <w:rPr>
          <w:rFonts w:ascii="Times New Roman" w:hAnsi="Times New Roman" w:cs="Times New Roman"/>
        </w:rPr>
        <w:t>...</w:t>
      </w:r>
      <w:r w:rsidRPr="006008B6">
        <w:rPr>
          <w:rFonts w:ascii="Times New Roman" w:hAnsi="Times New Roman" w:cs="Times New Roman"/>
        </w:rPr>
        <w:t>………………</w:t>
      </w:r>
      <w:r w:rsidR="00661B2F">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r w:rsidR="0055580E">
        <w:rPr>
          <w:rFonts w:ascii="Times New Roman" w:hAnsi="Times New Roman" w:cs="Times New Roman"/>
        </w:rPr>
        <w:t>6</w:t>
      </w:r>
    </w:p>
    <w:p w14:paraId="5861825F" w14:textId="7F4CDE6C"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 xml:space="preserve">4.1 Continuous </w:t>
      </w:r>
      <w:r w:rsidR="00661B2F">
        <w:rPr>
          <w:rFonts w:ascii="Times New Roman" w:hAnsi="Times New Roman" w:cs="Times New Roman"/>
        </w:rPr>
        <w:t>f</w:t>
      </w:r>
      <w:r w:rsidRPr="006008B6">
        <w:rPr>
          <w:rFonts w:ascii="Times New Roman" w:hAnsi="Times New Roman" w:cs="Times New Roman"/>
        </w:rPr>
        <w:t xml:space="preserve">eedback and </w:t>
      </w:r>
      <w:r w:rsidR="00FC2448">
        <w:rPr>
          <w:rFonts w:ascii="Times New Roman" w:hAnsi="Times New Roman" w:cs="Times New Roman"/>
        </w:rPr>
        <w:t>co</w:t>
      </w:r>
      <w:r w:rsidR="00FC2448" w:rsidRPr="006008B6">
        <w:rPr>
          <w:rFonts w:ascii="Times New Roman" w:hAnsi="Times New Roman" w:cs="Times New Roman"/>
        </w:rPr>
        <w:t>aching</w:t>
      </w:r>
      <w:r w:rsidRPr="006008B6">
        <w:rPr>
          <w:rFonts w:ascii="Times New Roman" w:hAnsi="Times New Roman" w:cs="Times New Roman"/>
        </w:rPr>
        <w:t>…</w:t>
      </w:r>
      <w:r w:rsidR="00FC2448">
        <w:rPr>
          <w:rFonts w:ascii="Times New Roman" w:hAnsi="Times New Roman" w:cs="Times New Roman"/>
        </w:rPr>
        <w:t>.</w:t>
      </w:r>
      <w:r w:rsidRPr="006008B6">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proofErr w:type="gramStart"/>
      <w:r w:rsidRPr="006008B6">
        <w:rPr>
          <w:rFonts w:ascii="Times New Roman" w:hAnsi="Times New Roman" w:cs="Times New Roman"/>
        </w:rPr>
        <w:t>…</w:t>
      </w:r>
      <w:r>
        <w:rPr>
          <w:rFonts w:ascii="Times New Roman" w:hAnsi="Times New Roman" w:cs="Times New Roman"/>
        </w:rPr>
        <w:t>..</w:t>
      </w:r>
      <w:proofErr w:type="gramEnd"/>
      <w:r w:rsidRPr="006008B6">
        <w:rPr>
          <w:rFonts w:ascii="Times New Roman" w:hAnsi="Times New Roman" w:cs="Times New Roman"/>
        </w:rPr>
        <w:t>….</w:t>
      </w:r>
      <w:r w:rsidR="0069566A">
        <w:rPr>
          <w:rFonts w:ascii="Times New Roman" w:hAnsi="Times New Roman" w:cs="Times New Roman"/>
        </w:rPr>
        <w:t>5</w:t>
      </w:r>
    </w:p>
    <w:p w14:paraId="2FD35DD7" w14:textId="4A641A9B"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 xml:space="preserve">4.2 Goal </w:t>
      </w:r>
      <w:r w:rsidR="00FC2448">
        <w:rPr>
          <w:rFonts w:ascii="Times New Roman" w:hAnsi="Times New Roman" w:cs="Times New Roman"/>
        </w:rPr>
        <w:t>s</w:t>
      </w:r>
      <w:r w:rsidRPr="006008B6">
        <w:rPr>
          <w:rFonts w:ascii="Times New Roman" w:hAnsi="Times New Roman" w:cs="Times New Roman"/>
        </w:rPr>
        <w:t xml:space="preserve">etting and </w:t>
      </w:r>
      <w:r w:rsidR="00FC2448">
        <w:rPr>
          <w:rFonts w:ascii="Times New Roman" w:hAnsi="Times New Roman" w:cs="Times New Roman"/>
        </w:rPr>
        <w:t>tracking</w:t>
      </w:r>
      <w:r w:rsidRPr="006008B6">
        <w:rPr>
          <w:rFonts w:ascii="Times New Roman" w:hAnsi="Times New Roman" w:cs="Times New Roman"/>
        </w:rPr>
        <w:t>………………………………………</w:t>
      </w:r>
      <w:r w:rsidR="00FC2448">
        <w:rPr>
          <w:rFonts w:ascii="Times New Roman" w:hAnsi="Times New Roman" w:cs="Times New Roman"/>
        </w:rPr>
        <w:t>.</w:t>
      </w:r>
      <w:r w:rsidRPr="006008B6">
        <w:rPr>
          <w:rFonts w:ascii="Times New Roman" w:hAnsi="Times New Roman" w:cs="Times New Roman"/>
        </w:rPr>
        <w:t>……</w:t>
      </w:r>
      <w:proofErr w:type="gramStart"/>
      <w:r w:rsidRPr="006008B6">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r>
        <w:rPr>
          <w:rFonts w:ascii="Times New Roman" w:hAnsi="Times New Roman" w:cs="Times New Roman"/>
        </w:rPr>
        <w:t>..</w:t>
      </w:r>
      <w:proofErr w:type="gramEnd"/>
      <w:r w:rsidRPr="006008B6">
        <w:rPr>
          <w:rFonts w:ascii="Times New Roman" w:hAnsi="Times New Roman" w:cs="Times New Roman"/>
        </w:rPr>
        <w:t>…</w:t>
      </w:r>
      <w:r w:rsidR="00661B2F">
        <w:rPr>
          <w:rFonts w:ascii="Times New Roman" w:hAnsi="Times New Roman" w:cs="Times New Roman"/>
        </w:rPr>
        <w:t>...</w:t>
      </w:r>
      <w:r w:rsidR="0055580E">
        <w:rPr>
          <w:rFonts w:ascii="Times New Roman" w:hAnsi="Times New Roman" w:cs="Times New Roman"/>
        </w:rPr>
        <w:t>.</w:t>
      </w:r>
      <w:r w:rsidRPr="006008B6">
        <w:rPr>
          <w:rFonts w:ascii="Times New Roman" w:hAnsi="Times New Roman" w:cs="Times New Roman"/>
        </w:rPr>
        <w:t>…..</w:t>
      </w:r>
      <w:r w:rsidR="00FC2448">
        <w:rPr>
          <w:rFonts w:ascii="Times New Roman" w:hAnsi="Times New Roman" w:cs="Times New Roman"/>
        </w:rPr>
        <w:t>.</w:t>
      </w:r>
      <w:r w:rsidRPr="006008B6">
        <w:rPr>
          <w:rFonts w:ascii="Times New Roman" w:hAnsi="Times New Roman" w:cs="Times New Roman"/>
        </w:rPr>
        <w:t>6</w:t>
      </w:r>
    </w:p>
    <w:p w14:paraId="5AC3C716" w14:textId="66F7C597"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 xml:space="preserve">4.3 Peer </w:t>
      </w:r>
      <w:r w:rsidR="00FC2448">
        <w:rPr>
          <w:rFonts w:ascii="Times New Roman" w:hAnsi="Times New Roman" w:cs="Times New Roman"/>
        </w:rPr>
        <w:t>f</w:t>
      </w:r>
      <w:r w:rsidRPr="006008B6">
        <w:rPr>
          <w:rFonts w:ascii="Times New Roman" w:hAnsi="Times New Roman" w:cs="Times New Roman"/>
        </w:rPr>
        <w:t xml:space="preserve">eedback and </w:t>
      </w:r>
      <w:r w:rsidR="00FC2448">
        <w:rPr>
          <w:rFonts w:ascii="Times New Roman" w:hAnsi="Times New Roman" w:cs="Times New Roman"/>
        </w:rPr>
        <w:t>r</w:t>
      </w:r>
      <w:r w:rsidRPr="006008B6">
        <w:rPr>
          <w:rFonts w:ascii="Times New Roman" w:hAnsi="Times New Roman" w:cs="Times New Roman"/>
        </w:rPr>
        <w:t>ecognition……………………………</w:t>
      </w:r>
      <w:proofErr w:type="gramStart"/>
      <w:r w:rsidRPr="006008B6">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r w:rsidR="00FC2448">
        <w:rPr>
          <w:rFonts w:ascii="Times New Roman" w:hAnsi="Times New Roman" w:cs="Times New Roman"/>
        </w:rPr>
        <w:t>..</w:t>
      </w:r>
      <w:proofErr w:type="gramEnd"/>
      <w:r w:rsidRPr="006008B6">
        <w:rPr>
          <w:rFonts w:ascii="Times New Roman" w:hAnsi="Times New Roman" w:cs="Times New Roman"/>
        </w:rPr>
        <w:t>………………</w:t>
      </w:r>
      <w:r w:rsidR="0055580E">
        <w:rPr>
          <w:rFonts w:ascii="Times New Roman" w:hAnsi="Times New Roman" w:cs="Times New Roman"/>
        </w:rPr>
        <w:t>.</w:t>
      </w:r>
      <w:r w:rsidR="00FC2448">
        <w:rPr>
          <w:rFonts w:ascii="Times New Roman" w:hAnsi="Times New Roman" w:cs="Times New Roman"/>
        </w:rPr>
        <w:t>…...</w:t>
      </w:r>
      <w:r w:rsidR="00071F51">
        <w:rPr>
          <w:rFonts w:ascii="Times New Roman" w:hAnsi="Times New Roman" w:cs="Times New Roman"/>
        </w:rPr>
        <w:t>6</w:t>
      </w:r>
    </w:p>
    <w:p w14:paraId="23B989DC" w14:textId="7D5D8399" w:rsidR="006008B6" w:rsidRPr="006008B6" w:rsidRDefault="006008B6" w:rsidP="006008B6">
      <w:pPr>
        <w:rPr>
          <w:rFonts w:ascii="Times New Roman" w:hAnsi="Times New Roman" w:cs="Times New Roman"/>
        </w:rPr>
      </w:pPr>
      <w:r>
        <w:rPr>
          <w:rFonts w:ascii="Times New Roman" w:hAnsi="Times New Roman" w:cs="Times New Roman"/>
        </w:rPr>
        <w:t xml:space="preserve">  </w:t>
      </w:r>
      <w:r w:rsidRPr="006008B6">
        <w:rPr>
          <w:rFonts w:ascii="Times New Roman" w:hAnsi="Times New Roman" w:cs="Times New Roman"/>
        </w:rPr>
        <w:t xml:space="preserve">4.4 Engagement </w:t>
      </w:r>
      <w:r w:rsidR="00FC2448">
        <w:rPr>
          <w:rFonts w:ascii="Times New Roman" w:hAnsi="Times New Roman" w:cs="Times New Roman"/>
        </w:rPr>
        <w:t>s</w:t>
      </w:r>
      <w:r w:rsidRPr="006008B6">
        <w:rPr>
          <w:rFonts w:ascii="Times New Roman" w:hAnsi="Times New Roman" w:cs="Times New Roman"/>
        </w:rPr>
        <w:t xml:space="preserve">urveys and </w:t>
      </w:r>
      <w:r w:rsidR="00FC2448">
        <w:rPr>
          <w:rFonts w:ascii="Times New Roman" w:hAnsi="Times New Roman" w:cs="Times New Roman"/>
        </w:rPr>
        <w:t>s</w:t>
      </w:r>
      <w:r w:rsidRPr="006008B6">
        <w:rPr>
          <w:rFonts w:ascii="Times New Roman" w:hAnsi="Times New Roman" w:cs="Times New Roman"/>
        </w:rPr>
        <w:t xml:space="preserve">entiment </w:t>
      </w:r>
      <w:r w:rsidR="00FC2448">
        <w:rPr>
          <w:rFonts w:ascii="Times New Roman" w:hAnsi="Times New Roman" w:cs="Times New Roman"/>
        </w:rPr>
        <w:t>a</w:t>
      </w:r>
      <w:r w:rsidRPr="006008B6">
        <w:rPr>
          <w:rFonts w:ascii="Times New Roman" w:hAnsi="Times New Roman" w:cs="Times New Roman"/>
        </w:rPr>
        <w:t>nalysis …………………………………</w:t>
      </w:r>
      <w:r>
        <w:rPr>
          <w:rFonts w:ascii="Times New Roman" w:hAnsi="Times New Roman" w:cs="Times New Roman"/>
        </w:rPr>
        <w:t>…</w:t>
      </w:r>
      <w:r w:rsidR="00FC2448">
        <w:rPr>
          <w:rFonts w:ascii="Times New Roman" w:hAnsi="Times New Roman" w:cs="Times New Roman"/>
        </w:rPr>
        <w:t>.</w:t>
      </w:r>
      <w:r w:rsidR="0055580E">
        <w:rPr>
          <w:rFonts w:ascii="Times New Roman" w:hAnsi="Times New Roman" w:cs="Times New Roman"/>
        </w:rPr>
        <w:t>.</w:t>
      </w:r>
      <w:r w:rsidR="00FC2448">
        <w:rPr>
          <w:rFonts w:ascii="Times New Roman" w:hAnsi="Times New Roman" w:cs="Times New Roman"/>
        </w:rPr>
        <w:t>.</w:t>
      </w:r>
      <w:r>
        <w:rPr>
          <w:rFonts w:ascii="Times New Roman" w:hAnsi="Times New Roman" w:cs="Times New Roman"/>
        </w:rPr>
        <w:t>.</w:t>
      </w:r>
      <w:r w:rsidRPr="006008B6">
        <w:rPr>
          <w:rFonts w:ascii="Times New Roman" w:hAnsi="Times New Roman" w:cs="Times New Roman"/>
        </w:rPr>
        <w:t>…</w:t>
      </w:r>
      <w:r w:rsidR="00071F51">
        <w:rPr>
          <w:rFonts w:ascii="Times New Roman" w:hAnsi="Times New Roman" w:cs="Times New Roman"/>
        </w:rPr>
        <w:t>6</w:t>
      </w:r>
    </w:p>
    <w:p w14:paraId="1FEA81DC" w14:textId="73359D02" w:rsidR="006008B6" w:rsidRPr="006008B6" w:rsidRDefault="006008B6" w:rsidP="006008B6">
      <w:pPr>
        <w:rPr>
          <w:rFonts w:ascii="Times New Roman" w:hAnsi="Times New Roman" w:cs="Times New Roman"/>
        </w:rPr>
      </w:pPr>
      <w:r w:rsidRPr="006008B6">
        <w:rPr>
          <w:rFonts w:ascii="Times New Roman" w:hAnsi="Times New Roman" w:cs="Times New Roman"/>
        </w:rPr>
        <w:t>5. Conclusion…………………………………………………………………………</w:t>
      </w:r>
      <w:r w:rsidR="00FC2448">
        <w:rPr>
          <w:rFonts w:ascii="Times New Roman" w:hAnsi="Times New Roman" w:cs="Times New Roman"/>
        </w:rPr>
        <w:t>…</w:t>
      </w:r>
      <w:r w:rsidRPr="006008B6">
        <w:rPr>
          <w:rFonts w:ascii="Times New Roman" w:hAnsi="Times New Roman" w:cs="Times New Roman"/>
        </w:rPr>
        <w:t>…</w:t>
      </w:r>
      <w:r w:rsidR="00FC2448">
        <w:rPr>
          <w:rFonts w:ascii="Times New Roman" w:hAnsi="Times New Roman" w:cs="Times New Roman"/>
        </w:rPr>
        <w:t>.</w:t>
      </w:r>
      <w:r w:rsidR="00D34923">
        <w:rPr>
          <w:rFonts w:ascii="Times New Roman" w:hAnsi="Times New Roman" w:cs="Times New Roman"/>
        </w:rPr>
        <w:t>7</w:t>
      </w:r>
    </w:p>
    <w:p w14:paraId="50D630DD" w14:textId="4332729A" w:rsidR="006008B6" w:rsidRDefault="006008B6" w:rsidP="006008B6">
      <w:pPr>
        <w:rPr>
          <w:rFonts w:ascii="Times New Roman" w:hAnsi="Times New Roman" w:cs="Times New Roman"/>
        </w:rPr>
      </w:pPr>
      <w:r w:rsidRPr="006008B6">
        <w:rPr>
          <w:rFonts w:ascii="Times New Roman" w:hAnsi="Times New Roman" w:cs="Times New Roman"/>
        </w:rPr>
        <w:t>6. References ……………………………………………………………………………</w:t>
      </w:r>
      <w:r w:rsidR="00FC2448">
        <w:rPr>
          <w:rFonts w:ascii="Times New Roman" w:hAnsi="Times New Roman" w:cs="Times New Roman"/>
        </w:rPr>
        <w:t>…</w:t>
      </w:r>
      <w:r w:rsidRPr="006008B6">
        <w:rPr>
          <w:rFonts w:ascii="Times New Roman" w:hAnsi="Times New Roman" w:cs="Times New Roman"/>
        </w:rPr>
        <w:t>.</w:t>
      </w:r>
      <w:r w:rsidR="00AB5BFE">
        <w:rPr>
          <w:rFonts w:ascii="Times New Roman" w:hAnsi="Times New Roman" w:cs="Times New Roman"/>
        </w:rPr>
        <w:t>8</w:t>
      </w:r>
    </w:p>
    <w:p w14:paraId="30F7D2B6" w14:textId="77777777" w:rsidR="00051322" w:rsidRDefault="00051322" w:rsidP="006008B6">
      <w:pPr>
        <w:rPr>
          <w:rFonts w:ascii="Times New Roman" w:hAnsi="Times New Roman" w:cs="Times New Roman"/>
        </w:rPr>
      </w:pPr>
    </w:p>
    <w:p w14:paraId="01D7A662" w14:textId="77777777" w:rsidR="00051322" w:rsidRDefault="00051322" w:rsidP="006008B6">
      <w:pPr>
        <w:rPr>
          <w:rFonts w:ascii="Times New Roman" w:hAnsi="Times New Roman" w:cs="Times New Roman"/>
        </w:rPr>
      </w:pPr>
    </w:p>
    <w:p w14:paraId="03BCDEAA" w14:textId="77777777" w:rsidR="00051322" w:rsidRDefault="00051322" w:rsidP="006008B6">
      <w:pPr>
        <w:rPr>
          <w:rFonts w:ascii="Times New Roman" w:hAnsi="Times New Roman" w:cs="Times New Roman"/>
        </w:rPr>
      </w:pPr>
    </w:p>
    <w:p w14:paraId="227985FD" w14:textId="77777777" w:rsidR="00051322" w:rsidRDefault="00051322" w:rsidP="006008B6">
      <w:pPr>
        <w:rPr>
          <w:rFonts w:ascii="Times New Roman" w:hAnsi="Times New Roman" w:cs="Times New Roman"/>
        </w:rPr>
      </w:pPr>
    </w:p>
    <w:p w14:paraId="087A632F" w14:textId="77777777" w:rsidR="00051322" w:rsidRDefault="00051322" w:rsidP="006008B6">
      <w:pPr>
        <w:rPr>
          <w:rFonts w:ascii="Times New Roman" w:hAnsi="Times New Roman" w:cs="Times New Roman"/>
        </w:rPr>
      </w:pPr>
    </w:p>
    <w:p w14:paraId="470DA724" w14:textId="77777777" w:rsidR="00EA7835" w:rsidRDefault="00EA7835" w:rsidP="006008B6">
      <w:pPr>
        <w:rPr>
          <w:rFonts w:ascii="Times New Roman" w:hAnsi="Times New Roman" w:cs="Times New Roman"/>
        </w:rPr>
      </w:pPr>
    </w:p>
    <w:p w14:paraId="7EFA3E3D" w14:textId="77777777" w:rsidR="00EA7835" w:rsidRDefault="00EA7835" w:rsidP="006008B6">
      <w:pPr>
        <w:rPr>
          <w:rFonts w:ascii="Times New Roman" w:hAnsi="Times New Roman" w:cs="Times New Roman"/>
        </w:rPr>
      </w:pPr>
    </w:p>
    <w:p w14:paraId="714B31AF" w14:textId="77777777" w:rsidR="00EA7835" w:rsidRDefault="00EA7835" w:rsidP="006008B6">
      <w:pPr>
        <w:rPr>
          <w:rFonts w:ascii="Times New Roman" w:hAnsi="Times New Roman" w:cs="Times New Roman"/>
        </w:rPr>
      </w:pPr>
    </w:p>
    <w:p w14:paraId="4D53DD4A" w14:textId="77777777" w:rsidR="00EA7835" w:rsidRDefault="00EA7835" w:rsidP="006008B6">
      <w:pPr>
        <w:rPr>
          <w:rFonts w:ascii="Times New Roman" w:hAnsi="Times New Roman" w:cs="Times New Roman"/>
        </w:rPr>
      </w:pPr>
    </w:p>
    <w:p w14:paraId="0459C16F" w14:textId="77777777" w:rsidR="00EA7835" w:rsidRDefault="00EA7835" w:rsidP="006008B6">
      <w:pPr>
        <w:rPr>
          <w:rFonts w:ascii="Times New Roman" w:hAnsi="Times New Roman" w:cs="Times New Roman"/>
        </w:rPr>
      </w:pPr>
    </w:p>
    <w:p w14:paraId="669AE1F0" w14:textId="77777777" w:rsidR="00EA7835" w:rsidRDefault="00EA7835" w:rsidP="006008B6">
      <w:pPr>
        <w:rPr>
          <w:rFonts w:ascii="Times New Roman" w:hAnsi="Times New Roman" w:cs="Times New Roman"/>
        </w:rPr>
      </w:pPr>
    </w:p>
    <w:p w14:paraId="0F554DC5" w14:textId="77777777" w:rsidR="0032613D" w:rsidRDefault="0032613D" w:rsidP="0032613D">
      <w:pPr>
        <w:pStyle w:val="Heading1"/>
      </w:pPr>
      <w:bookmarkStart w:id="0" w:name="_Toc165135665"/>
      <w:r>
        <w:lastRenderedPageBreak/>
        <w:t>1. Introduction</w:t>
      </w:r>
      <w:bookmarkEnd w:id="0"/>
    </w:p>
    <w:p w14:paraId="56954047" w14:textId="6E412E2D" w:rsidR="0032613D" w:rsidRPr="0055580E" w:rsidRDefault="0032613D" w:rsidP="00CB21FD">
      <w:pPr>
        <w:jc w:val="both"/>
        <w:rPr>
          <w:rFonts w:ascii="Arial" w:hAnsi="Arial" w:cs="Arial"/>
        </w:rPr>
      </w:pPr>
      <w:r w:rsidRPr="0055580E">
        <w:rPr>
          <w:rFonts w:ascii="Arial" w:hAnsi="Arial" w:cs="Arial"/>
        </w:rPr>
        <w:t xml:space="preserve">The COVID-19 pandemic has had a noticeable impact on business operation mode, and remote has </w:t>
      </w:r>
      <w:r w:rsidR="00AF0A30" w:rsidRPr="0055580E">
        <w:rPr>
          <w:rFonts w:ascii="Arial" w:hAnsi="Arial" w:cs="Arial"/>
        </w:rPr>
        <w:t>become</w:t>
      </w:r>
      <w:r w:rsidRPr="0055580E">
        <w:rPr>
          <w:rFonts w:ascii="Arial" w:hAnsi="Arial" w:cs="Arial"/>
        </w:rPr>
        <w:t xml:space="preserve"> the primary choice for many organizations in different industries. The levels of working remotely reached their highest during the pandemic, meaning that nearly half (49%) of those responding stated that they had worked remotely in the first half of 2020. Even if the call for Whitehall workers to return to the office was lifted last April-May 2022, about 38% of working adults still worked remotely and data from January-February 2023 show that close to 40 </w:t>
      </w:r>
      <w:r w:rsidR="00AF0A30" w:rsidRPr="0055580E">
        <w:rPr>
          <w:rFonts w:ascii="Arial" w:hAnsi="Arial" w:cs="Arial"/>
        </w:rPr>
        <w:t>percent</w:t>
      </w:r>
      <w:r w:rsidRPr="0055580E">
        <w:rPr>
          <w:rFonts w:ascii="Arial" w:hAnsi="Arial" w:cs="Arial"/>
        </w:rPr>
        <w:t xml:space="preserve"> (40%) of working adults had at one time or another worked from home in the previous 7 days (</w:t>
      </w:r>
      <w:proofErr w:type="spellStart"/>
      <w:r w:rsidRPr="0055580E">
        <w:rPr>
          <w:rFonts w:ascii="Arial" w:hAnsi="Arial" w:cs="Arial"/>
        </w:rPr>
        <w:t>Colledge</w:t>
      </w:r>
      <w:proofErr w:type="spellEnd"/>
      <w:r w:rsidRPr="0055580E">
        <w:rPr>
          <w:rFonts w:ascii="Arial" w:hAnsi="Arial" w:cs="Arial"/>
        </w:rPr>
        <w:t xml:space="preserve">-Frisby et al., 2023). This shift of people remote working has not only shown its grim side in terms of management and appraisal of their performance but also has come up with new challenges for employers. Traditional evaluation methods and tools developed for direct work in the office, </w:t>
      </w:r>
      <w:r w:rsidR="00AF0A30" w:rsidRPr="0055580E">
        <w:rPr>
          <w:rFonts w:ascii="Arial" w:hAnsi="Arial" w:cs="Arial"/>
        </w:rPr>
        <w:t xml:space="preserve">are </w:t>
      </w:r>
      <w:r w:rsidRPr="0055580E">
        <w:rPr>
          <w:rFonts w:ascii="Arial" w:hAnsi="Arial" w:cs="Arial"/>
        </w:rPr>
        <w:t xml:space="preserve">losing their effectiveness in the remote workplace, and </w:t>
      </w:r>
      <w:r w:rsidR="004C7F24" w:rsidRPr="0055580E">
        <w:rPr>
          <w:rFonts w:ascii="Arial" w:hAnsi="Arial" w:cs="Arial"/>
        </w:rPr>
        <w:t>favour</w:t>
      </w:r>
      <w:r w:rsidRPr="0055580E">
        <w:rPr>
          <w:rFonts w:ascii="Arial" w:hAnsi="Arial" w:cs="Arial"/>
        </w:rPr>
        <w:t xml:space="preserve"> new approaches and tools. </w:t>
      </w:r>
      <w:r w:rsidR="004C7F24" w:rsidRPr="0055580E">
        <w:rPr>
          <w:rFonts w:ascii="Arial" w:hAnsi="Arial" w:cs="Arial"/>
        </w:rPr>
        <w:t>This</w:t>
      </w:r>
      <w:r w:rsidRPr="0055580E">
        <w:rPr>
          <w:rFonts w:ascii="Arial" w:hAnsi="Arial" w:cs="Arial"/>
        </w:rPr>
        <w:t xml:space="preserve"> essay will </w:t>
      </w:r>
      <w:r w:rsidR="00AF0A30" w:rsidRPr="0055580E">
        <w:rPr>
          <w:rFonts w:ascii="Arial" w:hAnsi="Arial" w:cs="Arial"/>
        </w:rPr>
        <w:t>discuss</w:t>
      </w:r>
      <w:r w:rsidRPr="0055580E">
        <w:rPr>
          <w:rFonts w:ascii="Arial" w:hAnsi="Arial" w:cs="Arial"/>
        </w:rPr>
        <w:t xml:space="preserve"> how technology takes part in the appraisal of remote </w:t>
      </w:r>
      <w:r w:rsidR="004C7F24" w:rsidRPr="0055580E">
        <w:rPr>
          <w:rFonts w:ascii="Arial" w:hAnsi="Arial" w:cs="Arial"/>
        </w:rPr>
        <w:t>workers'</w:t>
      </w:r>
      <w:r w:rsidRPr="0055580E">
        <w:rPr>
          <w:rFonts w:ascii="Arial" w:hAnsi="Arial" w:cs="Arial"/>
        </w:rPr>
        <w:t xml:space="preserve"> performance, we will also identify and describe different performance measurement methods and assessment tools used especially in remote </w:t>
      </w:r>
      <w:r w:rsidR="008C2286" w:rsidRPr="0055580E">
        <w:rPr>
          <w:rFonts w:ascii="Arial" w:hAnsi="Arial" w:cs="Arial"/>
        </w:rPr>
        <w:t>workers and</w:t>
      </w:r>
      <w:r w:rsidRPr="0055580E">
        <w:rPr>
          <w:rFonts w:ascii="Arial" w:hAnsi="Arial" w:cs="Arial"/>
        </w:rPr>
        <w:t xml:space="preserve"> output the outcome.</w:t>
      </w:r>
    </w:p>
    <w:p w14:paraId="36CFC919" w14:textId="2CE234DD" w:rsidR="0032613D" w:rsidRDefault="0032613D" w:rsidP="0032613D">
      <w:pPr>
        <w:pStyle w:val="Heading1"/>
      </w:pPr>
      <w:bookmarkStart w:id="1" w:name="_Toc165135666"/>
      <w:r>
        <w:t xml:space="preserve">2. The Role of </w:t>
      </w:r>
      <w:r w:rsidR="0055580E">
        <w:t>t</w:t>
      </w:r>
      <w:r>
        <w:t xml:space="preserve">echnology in </w:t>
      </w:r>
      <w:r w:rsidR="0055580E">
        <w:t>a</w:t>
      </w:r>
      <w:r>
        <w:t xml:space="preserve">ppraising the </w:t>
      </w:r>
      <w:r w:rsidR="0055580E">
        <w:t>p</w:t>
      </w:r>
      <w:r>
        <w:t xml:space="preserve">erformance of </w:t>
      </w:r>
      <w:r w:rsidR="0055580E">
        <w:t>r</w:t>
      </w:r>
      <w:r>
        <w:t xml:space="preserve">emote </w:t>
      </w:r>
      <w:r w:rsidR="0055580E">
        <w:t>w</w:t>
      </w:r>
      <w:r>
        <w:t>orkers</w:t>
      </w:r>
      <w:bookmarkEnd w:id="1"/>
    </w:p>
    <w:p w14:paraId="5C628DBC" w14:textId="48901B85" w:rsidR="0032613D" w:rsidRPr="0055580E" w:rsidRDefault="0032613D" w:rsidP="005F1478">
      <w:pPr>
        <w:jc w:val="both"/>
        <w:rPr>
          <w:rFonts w:ascii="Arial" w:hAnsi="Arial" w:cs="Arial"/>
        </w:rPr>
      </w:pPr>
      <w:r w:rsidRPr="0055580E">
        <w:rPr>
          <w:rFonts w:ascii="Arial" w:hAnsi="Arial" w:cs="Arial"/>
        </w:rPr>
        <w:t xml:space="preserve">Technology becomes a key player in transferring effective performance appraisals and the successful performance of remote workers. Without the physical presence of a manager and employee, the usual manners of appraising performance may not be effective anymore (Griffin et al., 2020). The technology solution set is a variety </w:t>
      </w:r>
      <w:r w:rsidR="0069566A" w:rsidRPr="0055580E">
        <w:rPr>
          <w:rFonts w:ascii="Arial" w:hAnsi="Arial" w:cs="Arial"/>
        </w:rPr>
        <w:t>that</w:t>
      </w:r>
      <w:r w:rsidRPr="0055580E">
        <w:rPr>
          <w:rFonts w:ascii="Arial" w:hAnsi="Arial" w:cs="Arial"/>
        </w:rPr>
        <w:t xml:space="preserve"> provides means to ensure fair and effective performance evaluation processes and help remote teams. Another significant task of technology in the assessment framework of remote workers’ performance, is allowing instant communication and collaboration. Scattering video conferencing tools like Zoom, Microsoft Teams, and Google Meet permit virtual meetings, individual check-ins, and team discussions, therefore managers can have regular update sessions that include feedback and guidance to their remote employees about work performance (Zhang et al., 2015). The management and allocation of work as well as task tracking software like Asana, Trello, and Jira help managers to oversee the completion of tasks and projects that are assigned to remote workers. These tools show work processes and timelines, as well as the delivery of jobs. Thus, management could track and appraise productivity and performance. Timekeeping and monitoring the workforce of these tools can offer managers an overview of how long remote employees spend their time at work, how much they are active</w:t>
      </w:r>
      <w:r w:rsidR="0069566A" w:rsidRPr="0055580E">
        <w:rPr>
          <w:rFonts w:ascii="Arial" w:hAnsi="Arial" w:cs="Arial"/>
        </w:rPr>
        <w:t>,</w:t>
      </w:r>
      <w:r w:rsidRPr="0055580E">
        <w:rPr>
          <w:rFonts w:ascii="Arial" w:hAnsi="Arial" w:cs="Arial"/>
        </w:rPr>
        <w:t xml:space="preserve"> and how engaged they are with the job (Wirtz &amp; Jerger, 2016). Nevertheless, it should be the case that managers of such technologies do ensure that there's a required proportion between honesty and employees' private lives. </w:t>
      </w:r>
      <w:r w:rsidRPr="0055580E">
        <w:rPr>
          <w:rFonts w:ascii="Arial" w:hAnsi="Arial" w:cs="Arial"/>
        </w:rPr>
        <w:lastRenderedPageBreak/>
        <w:t xml:space="preserve">Documents sharing and co-editing platforms on the cloud level, such as Google Drive or Microsoft OneDrive, can synchronize the data and enable real-time teamwork among remote workers and team leaders. Alternatively, performance management applications developed for remote teams including the likes of BambooHR, </w:t>
      </w:r>
      <w:r w:rsidR="009C1987" w:rsidRPr="0055580E">
        <w:rPr>
          <w:rFonts w:ascii="Arial" w:hAnsi="Arial" w:cs="Arial"/>
        </w:rPr>
        <w:t>Clear Review</w:t>
      </w:r>
      <w:r w:rsidRPr="0055580E">
        <w:rPr>
          <w:rFonts w:ascii="Arial" w:hAnsi="Arial" w:cs="Arial"/>
        </w:rPr>
        <w:t xml:space="preserve">, and Lattice can offer a range of options that allow organizations to set goals, monitor progress, provide feedback, and conduct reviews remotely (Prasad et al., 2016). Technology also has a major function in not only motivating but also providing feedback and coaching whenever necessary to remote workers. Software systems like 15Five and </w:t>
      </w:r>
      <w:r w:rsidR="009C1987" w:rsidRPr="0055580E">
        <w:rPr>
          <w:rFonts w:ascii="Arial" w:hAnsi="Arial" w:cs="Arial"/>
        </w:rPr>
        <w:t>Perform Yard</w:t>
      </w:r>
      <w:r w:rsidRPr="0055580E">
        <w:rPr>
          <w:rFonts w:ascii="Arial" w:hAnsi="Arial" w:cs="Arial"/>
        </w:rPr>
        <w:t xml:space="preserve"> can support recurrent check-ins, pulse surveys, and feedback loops, where managers can regularly monitor the problems or achievements of their remote employees and intervene quickly with advice and support.</w:t>
      </w:r>
    </w:p>
    <w:p w14:paraId="4BE45457" w14:textId="172DBBEE" w:rsidR="0032613D" w:rsidRDefault="0032613D" w:rsidP="0032613D">
      <w:pPr>
        <w:pStyle w:val="Heading1"/>
      </w:pPr>
      <w:bookmarkStart w:id="2" w:name="_Toc165135667"/>
      <w:r>
        <w:t xml:space="preserve">3. Performance </w:t>
      </w:r>
      <w:r w:rsidR="0055580E">
        <w:t>m</w:t>
      </w:r>
      <w:r>
        <w:t xml:space="preserve">easurement </w:t>
      </w:r>
      <w:r w:rsidR="0055580E">
        <w:t>t</w:t>
      </w:r>
      <w:r>
        <w:t xml:space="preserve">echniques for </w:t>
      </w:r>
      <w:r w:rsidR="0055580E">
        <w:t>r</w:t>
      </w:r>
      <w:r>
        <w:t xml:space="preserve">emote </w:t>
      </w:r>
      <w:r w:rsidR="0055580E">
        <w:t>w</w:t>
      </w:r>
      <w:r>
        <w:t>orkers</w:t>
      </w:r>
      <w:bookmarkEnd w:id="2"/>
      <w:r>
        <w:t xml:space="preserve"> </w:t>
      </w:r>
    </w:p>
    <w:p w14:paraId="11846ECA" w14:textId="77777777" w:rsidR="0032613D" w:rsidRDefault="0032613D" w:rsidP="0032613D">
      <w:pPr>
        <w:pStyle w:val="Heading2"/>
      </w:pPr>
      <w:bookmarkStart w:id="3" w:name="_Toc165135668"/>
      <w:r>
        <w:t>3.1 OKR technique</w:t>
      </w:r>
      <w:bookmarkEnd w:id="3"/>
    </w:p>
    <w:p w14:paraId="209B056A" w14:textId="146693A2" w:rsidR="0032613D" w:rsidRPr="0055580E" w:rsidRDefault="005F1478" w:rsidP="00A32EF3">
      <w:pPr>
        <w:jc w:val="both"/>
        <w:rPr>
          <w:rFonts w:ascii="Arial" w:hAnsi="Arial" w:cs="Arial"/>
        </w:rPr>
      </w:pPr>
      <w:r w:rsidRPr="0055580E">
        <w:rPr>
          <w:rFonts w:ascii="Arial" w:hAnsi="Arial" w:cs="Arial"/>
        </w:rPr>
        <w:t>Analysing</w:t>
      </w:r>
      <w:r w:rsidR="0032613D" w:rsidRPr="0055580E">
        <w:rPr>
          <w:rFonts w:ascii="Arial" w:hAnsi="Arial" w:cs="Arial"/>
        </w:rPr>
        <w:t xml:space="preserve"> both the quantitative and qualitative aspects of remote workers' performance is an essential part of the job because remote work environments have specific challenges and different goals (McDonagh et al., 2021). The OKR technique is a </w:t>
      </w:r>
      <w:proofErr w:type="gramStart"/>
      <w:r w:rsidR="00A32EF3" w:rsidRPr="0055580E">
        <w:rPr>
          <w:rFonts w:ascii="Arial" w:hAnsi="Arial" w:cs="Arial"/>
        </w:rPr>
        <w:t>goal-setting</w:t>
      </w:r>
      <w:proofErr w:type="gramEnd"/>
      <w:r w:rsidR="0032613D" w:rsidRPr="0055580E">
        <w:rPr>
          <w:rFonts w:ascii="Arial" w:hAnsi="Arial" w:cs="Arial"/>
        </w:rPr>
        <w:t xml:space="preserve"> and performance measurement process that focuses on a proper objective alignment from top to bottom. In remoteness, OKRs play a pivotal role in that they are clear and measurable by detailing a route and a checklist for remote workers to follow and to measure their progress. OKR means the objectives which are to be set as specific, measurable and to be attained at some specific time together with another set of key results, keeping in view as a quantifiable indicator of going towards the objectives (Lee, 2018). Virtual meetings can be used to check in and give progress updates, and dedicated OKR tracking software can help managers see how remote employees' tasks are going on, evaluate them</w:t>
      </w:r>
      <w:r w:rsidR="00A32EF3" w:rsidRPr="0055580E">
        <w:rPr>
          <w:rFonts w:ascii="Arial" w:hAnsi="Arial" w:cs="Arial"/>
        </w:rPr>
        <w:t>,</w:t>
      </w:r>
      <w:r w:rsidR="0032613D" w:rsidRPr="0055580E">
        <w:rPr>
          <w:rFonts w:ascii="Arial" w:hAnsi="Arial" w:cs="Arial"/>
        </w:rPr>
        <w:t xml:space="preserve"> or assist them if needed. Two prime advantages of OKRs for workers on remote bases are transparency and clarity, which give the feeling of the owner and responsibility (Faulkner, 2015). Establishing as well as reasonable objects for remote workers will be their challenge and they might have factors like communication barriers and absence of direct oversight that would impede their ability to achieve certain goals.</w:t>
      </w:r>
    </w:p>
    <w:p w14:paraId="762B78AA" w14:textId="77777777" w:rsidR="0032613D" w:rsidRDefault="0032613D" w:rsidP="0032613D"/>
    <w:p w14:paraId="7CC104B2" w14:textId="77777777" w:rsidR="0032613D" w:rsidRDefault="0032613D" w:rsidP="0032613D">
      <w:pPr>
        <w:pStyle w:val="Heading2"/>
      </w:pPr>
      <w:bookmarkStart w:id="4" w:name="_Toc165135669"/>
      <w:r>
        <w:t>3.2 Competency-based evaluation</w:t>
      </w:r>
      <w:bookmarkEnd w:id="4"/>
    </w:p>
    <w:p w14:paraId="13DE1315" w14:textId="662700FA" w:rsidR="0032613D" w:rsidRPr="0055580E" w:rsidRDefault="0032613D" w:rsidP="00A32EF3">
      <w:pPr>
        <w:jc w:val="both"/>
        <w:rPr>
          <w:rFonts w:ascii="Arial" w:hAnsi="Arial" w:cs="Arial"/>
        </w:rPr>
      </w:pPr>
      <w:r w:rsidRPr="0055580E">
        <w:rPr>
          <w:rFonts w:ascii="Arial" w:hAnsi="Arial" w:cs="Arial"/>
        </w:rPr>
        <w:t xml:space="preserve">In competency-based evaluation, the mode of assessment comprises the skills, knowledge, and behaviour that drive an employee's achievement of their job's performance objective. When staff is set up to work remotely, this may become the core aspect of evaluation, as it shifts the emphasis away from solely output-based metrics to more general indicators of the potential of an employee and their </w:t>
      </w:r>
      <w:r w:rsidRPr="0055580E">
        <w:rPr>
          <w:rFonts w:ascii="Arial" w:hAnsi="Arial" w:cs="Arial"/>
        </w:rPr>
        <w:lastRenderedPageBreak/>
        <w:t>capabilities. Competency frameworks provide a platform for remote workers’ tasks and authorities, which involve technical competencies, communication skills, organization, problem-solving, and collaboration (Hopkins &amp; Yonker, 2015). Managers can collaboratively evaluate remote workers' skills through self-evaluation, peer evaluation, and presentation or observation via digital means. The essential perk of competency-based assessment for remote employees is its emphasis on personal and professional development with the managers using it to help them improve in the areas they need and to provide them with training or coaching opportunities (Harris &amp; Jones, 2020). Nonetheless, competence-based evaluation needs a street framework and consistent evaluation methods to be the fairness and objectivity part across the remote teams.</w:t>
      </w:r>
    </w:p>
    <w:p w14:paraId="498ECE31" w14:textId="77777777" w:rsidR="0032613D" w:rsidRDefault="0032613D" w:rsidP="0032613D">
      <w:pPr>
        <w:pStyle w:val="Heading2"/>
      </w:pPr>
      <w:bookmarkStart w:id="5" w:name="_Toc165135670"/>
      <w:r>
        <w:t>3.3 360-degree feedback</w:t>
      </w:r>
      <w:bookmarkEnd w:id="5"/>
    </w:p>
    <w:p w14:paraId="51981484" w14:textId="6BD6FA1F" w:rsidR="0032613D" w:rsidRPr="0055580E" w:rsidRDefault="0032613D" w:rsidP="00A32EF3">
      <w:pPr>
        <w:jc w:val="both"/>
        <w:rPr>
          <w:rFonts w:ascii="Arial" w:hAnsi="Arial" w:cs="Arial"/>
        </w:rPr>
      </w:pPr>
      <w:r w:rsidRPr="0055580E">
        <w:rPr>
          <w:rFonts w:ascii="Arial" w:hAnsi="Arial" w:cs="Arial"/>
        </w:rPr>
        <w:t>The 360-degree feedback technique involves drawing performance feedback from many channels, including peers, reports, managers, and even clients or members of boards or stakeholders. Teamwork in a distant work set-up can come with a total and holistic overview of the performance of an employee (Kanter, 2017). This will counteract possible bias or error of judgment because of limited interactions. Virtual tools that are 360-degree, feedback can be utilized to compile both the feedback from various other stakeholders and the self-assessment of remote employees, allowing for effective and honest feedback that will identify the strengths, weaknesses, and areas that need to be improved (Beck et al., 2018). The results of the feedback may be consolidated and shared with employees during virtual performance review sessions which can initiate a developmental conversation concerning strengths, weaknesses, and goals. Perhaps one of the biggest advantages of 360-degree feedback for remote workers is its capability to embrace multifaceted views and present a multi-dimensional view of performance (</w:t>
      </w:r>
      <w:proofErr w:type="spellStart"/>
      <w:r w:rsidRPr="0055580E">
        <w:rPr>
          <w:rFonts w:ascii="Arial" w:hAnsi="Arial" w:cs="Arial"/>
        </w:rPr>
        <w:t>Dietvorst</w:t>
      </w:r>
      <w:proofErr w:type="spellEnd"/>
      <w:r w:rsidRPr="0055580E">
        <w:rPr>
          <w:rFonts w:ascii="Arial" w:hAnsi="Arial" w:cs="Arial"/>
        </w:rPr>
        <w:t xml:space="preserve"> et al., 2018). Nevertheless, one of the areas of difficulty will be anonymity and confidentiality in the virtual environment, and the whole process can be quite time-consuming and needs accurate coordination and follow-up.</w:t>
      </w:r>
    </w:p>
    <w:p w14:paraId="5257FA3F" w14:textId="77777777" w:rsidR="0032613D" w:rsidRDefault="0032613D" w:rsidP="0032613D">
      <w:pPr>
        <w:pStyle w:val="Heading2"/>
      </w:pPr>
      <w:bookmarkStart w:id="6" w:name="_Toc165135671"/>
      <w:r>
        <w:t>3.4 Ongoing feedback</w:t>
      </w:r>
      <w:bookmarkEnd w:id="6"/>
    </w:p>
    <w:p w14:paraId="14282B1D" w14:textId="18194896" w:rsidR="0032613D" w:rsidRPr="0055580E" w:rsidRDefault="0032613D" w:rsidP="002C0605">
      <w:pPr>
        <w:jc w:val="both"/>
        <w:rPr>
          <w:rFonts w:ascii="Arial" w:hAnsi="Arial" w:cs="Arial"/>
        </w:rPr>
      </w:pPr>
      <w:r w:rsidRPr="0055580E">
        <w:rPr>
          <w:rFonts w:ascii="Arial" w:hAnsi="Arial" w:cs="Arial"/>
        </w:rPr>
        <w:t>Ongoing feedback, progress monitoring, and learning conversations are the key principles of continuous performance management which fundamentally differ from the end-of-year performance evaluation procedures (Crook et al., 2021). In a remote work environment, this method can be great for enhancing open communication relations, providing timely support to your teammates</w:t>
      </w:r>
      <w:r w:rsidR="007C6312" w:rsidRPr="0055580E">
        <w:rPr>
          <w:rFonts w:ascii="Arial" w:hAnsi="Arial" w:cs="Arial"/>
        </w:rPr>
        <w:t>,</w:t>
      </w:r>
      <w:r w:rsidRPr="0055580E">
        <w:rPr>
          <w:rFonts w:ascii="Arial" w:hAnsi="Arial" w:cs="Arial"/>
        </w:rPr>
        <w:t xml:space="preserve"> and cultivating a dynamic environment that is conducive to improvement. The employment of customization performance management software or platforms is another way of enabling routine check-ins, goal tracking</w:t>
      </w:r>
      <w:r w:rsidR="007C6312" w:rsidRPr="0055580E">
        <w:rPr>
          <w:rFonts w:ascii="Arial" w:hAnsi="Arial" w:cs="Arial"/>
        </w:rPr>
        <w:t>,</w:t>
      </w:r>
      <w:r w:rsidRPr="0055580E">
        <w:rPr>
          <w:rFonts w:ascii="Arial" w:hAnsi="Arial" w:cs="Arial"/>
        </w:rPr>
        <w:t xml:space="preserve"> or feedback between the manager and the remote workers. Such instruments can have built-in functionalities like pulse polls, real-time feedback mechanisms, and advancement scoreboards that allow managers to stay abreast of their remote teams' performance status and supply timely coaching or directions </w:t>
      </w:r>
      <w:r w:rsidRPr="0055580E">
        <w:rPr>
          <w:rFonts w:ascii="Arial" w:hAnsi="Arial" w:cs="Arial"/>
        </w:rPr>
        <w:lastRenderedPageBreak/>
        <w:t>whenever necessary (Sarfati et al., 2016). The highlight of the continuous performance management of remote workers is its ability to keep continuity through engagement, commitment, and synchronization, in small or no physical closeness at all. But managers should be ready to spend a significant amount of time on this, and there should also be a culture of feedback within the organization for it to work best.</w:t>
      </w:r>
    </w:p>
    <w:p w14:paraId="640AC469" w14:textId="2A26902D" w:rsidR="0032613D" w:rsidRDefault="0032613D" w:rsidP="0032613D">
      <w:pPr>
        <w:pStyle w:val="Heading1"/>
      </w:pPr>
      <w:bookmarkStart w:id="7" w:name="_Toc165135672"/>
      <w:r>
        <w:t xml:space="preserve">4. Performance </w:t>
      </w:r>
      <w:r w:rsidR="0055580E">
        <w:t>a</w:t>
      </w:r>
      <w:r>
        <w:t xml:space="preserve">ppraisal </w:t>
      </w:r>
      <w:r w:rsidR="0055580E">
        <w:t>t</w:t>
      </w:r>
      <w:r>
        <w:t xml:space="preserve">ools for </w:t>
      </w:r>
      <w:r w:rsidR="0055580E">
        <w:t>r</w:t>
      </w:r>
      <w:r>
        <w:t xml:space="preserve">emote </w:t>
      </w:r>
      <w:r w:rsidR="0055580E">
        <w:t>w</w:t>
      </w:r>
      <w:r>
        <w:t>orkers</w:t>
      </w:r>
      <w:bookmarkEnd w:id="7"/>
      <w:r>
        <w:t xml:space="preserve"> </w:t>
      </w:r>
    </w:p>
    <w:p w14:paraId="0C1DD7EC" w14:textId="77777777" w:rsidR="0032613D" w:rsidRPr="0055580E" w:rsidRDefault="0032613D" w:rsidP="000C2679">
      <w:pPr>
        <w:jc w:val="both"/>
        <w:rPr>
          <w:rFonts w:ascii="Arial" w:hAnsi="Arial" w:cs="Arial"/>
        </w:rPr>
      </w:pPr>
      <w:r w:rsidRPr="0055580E">
        <w:rPr>
          <w:rFonts w:ascii="Arial" w:hAnsi="Arial" w:cs="Arial"/>
        </w:rPr>
        <w:t>Evaluating and managing remote teams' performance is made possible with specific tools and platforms created to help cope with the challenges of the widely spread workforce type (Benešová &amp; Tupa, 2017). Cases of various technology tools have sprung up for the sole purpose of ensuring that remote work employees are properly evaluated using these solutions.</w:t>
      </w:r>
    </w:p>
    <w:p w14:paraId="6FF14229" w14:textId="5F9C7777" w:rsidR="0032613D" w:rsidRDefault="0032613D" w:rsidP="0032613D">
      <w:pPr>
        <w:pStyle w:val="Heading2"/>
      </w:pPr>
      <w:bookmarkStart w:id="8" w:name="_Toc165135673"/>
      <w:r>
        <w:t xml:space="preserve">4.1 Continuous </w:t>
      </w:r>
      <w:r w:rsidR="0055580E">
        <w:t>f</w:t>
      </w:r>
      <w:r>
        <w:t xml:space="preserve">eedback and </w:t>
      </w:r>
      <w:r w:rsidR="0055580E">
        <w:t>c</w:t>
      </w:r>
      <w:r>
        <w:t>oaching</w:t>
      </w:r>
      <w:bookmarkEnd w:id="8"/>
    </w:p>
    <w:p w14:paraId="15841F66" w14:textId="76E5CCB3" w:rsidR="0032613D" w:rsidRPr="0055580E" w:rsidRDefault="0032613D" w:rsidP="00866C2B">
      <w:pPr>
        <w:jc w:val="both"/>
        <w:rPr>
          <w:rFonts w:ascii="Arial" w:hAnsi="Arial" w:cs="Arial"/>
        </w:rPr>
      </w:pPr>
      <w:r w:rsidRPr="0055580E">
        <w:rPr>
          <w:rFonts w:ascii="Arial" w:hAnsi="Arial" w:cs="Arial"/>
        </w:rPr>
        <w:t xml:space="preserve">Offer employees and managers the opportunity to have routine feedback sessions and coaching to enhance communication and help remote employees adapt to the requirements of working remotely (Duggan et al., 2020). It may encompass regular or every </w:t>
      </w:r>
      <w:r w:rsidR="00866C2B" w:rsidRPr="0055580E">
        <w:rPr>
          <w:rFonts w:ascii="Arial" w:hAnsi="Arial" w:cs="Arial"/>
        </w:rPr>
        <w:t>other-week</w:t>
      </w:r>
      <w:r w:rsidRPr="0055580E">
        <w:rPr>
          <w:rFonts w:ascii="Arial" w:hAnsi="Arial" w:cs="Arial"/>
        </w:rPr>
        <w:t xml:space="preserve"> conferences to establish where, how</w:t>
      </w:r>
      <w:r w:rsidR="00866C2B" w:rsidRPr="0055580E">
        <w:rPr>
          <w:rFonts w:ascii="Arial" w:hAnsi="Arial" w:cs="Arial"/>
        </w:rPr>
        <w:t>,</w:t>
      </w:r>
      <w:r w:rsidRPr="0055580E">
        <w:rPr>
          <w:rFonts w:ascii="Arial" w:hAnsi="Arial" w:cs="Arial"/>
        </w:rPr>
        <w:t xml:space="preserve"> and to where, things are going in terms of progress, obstacles as well as areas of progress (Griffin et al., 2020). </w:t>
      </w:r>
      <w:r w:rsidR="00866C2B" w:rsidRPr="0055580E">
        <w:rPr>
          <w:rFonts w:ascii="Arial" w:hAnsi="Arial" w:cs="Arial"/>
        </w:rPr>
        <w:t>Using</w:t>
      </w:r>
      <w:r w:rsidRPr="0055580E">
        <w:rPr>
          <w:rFonts w:ascii="Arial" w:hAnsi="Arial" w:cs="Arial"/>
        </w:rPr>
        <w:t xml:space="preserve"> ongoing multiple feedback routes and coaching, knowledge sharing is promoted, mistakes are quickly uncovered, and performance management becomes </w:t>
      </w:r>
      <w:r w:rsidR="00866C2B" w:rsidRPr="0055580E">
        <w:rPr>
          <w:rFonts w:ascii="Arial" w:hAnsi="Arial" w:cs="Arial"/>
        </w:rPr>
        <w:t>an</w:t>
      </w:r>
      <w:r w:rsidRPr="0055580E">
        <w:rPr>
          <w:rFonts w:ascii="Arial" w:hAnsi="Arial" w:cs="Arial"/>
        </w:rPr>
        <w:t xml:space="preserve"> ongoing process.</w:t>
      </w:r>
    </w:p>
    <w:p w14:paraId="08B55351" w14:textId="70744DD7" w:rsidR="0032613D" w:rsidRPr="008F4E5F" w:rsidRDefault="0032613D" w:rsidP="00866C2B">
      <w:pPr>
        <w:pStyle w:val="Heading2"/>
        <w:jc w:val="both"/>
        <w:rPr>
          <w:rFonts w:cs="Arial"/>
        </w:rPr>
      </w:pPr>
      <w:bookmarkStart w:id="9" w:name="_Toc165135674"/>
      <w:r w:rsidRPr="008F4E5F">
        <w:rPr>
          <w:rFonts w:cs="Arial"/>
        </w:rPr>
        <w:t xml:space="preserve">4.2 Goal </w:t>
      </w:r>
      <w:r w:rsidR="0055580E">
        <w:rPr>
          <w:rFonts w:cs="Arial"/>
        </w:rPr>
        <w:t>s</w:t>
      </w:r>
      <w:r w:rsidRPr="008F4E5F">
        <w:rPr>
          <w:rFonts w:cs="Arial"/>
        </w:rPr>
        <w:t xml:space="preserve">etting and </w:t>
      </w:r>
      <w:r w:rsidR="0055580E">
        <w:rPr>
          <w:rFonts w:cs="Arial"/>
        </w:rPr>
        <w:t>t</w:t>
      </w:r>
      <w:r w:rsidRPr="008F4E5F">
        <w:rPr>
          <w:rFonts w:cs="Arial"/>
        </w:rPr>
        <w:t>racking</w:t>
      </w:r>
      <w:bookmarkEnd w:id="9"/>
    </w:p>
    <w:p w14:paraId="2F49F3F0" w14:textId="14E8FEA3" w:rsidR="0032613D" w:rsidRPr="0055580E" w:rsidRDefault="0032613D" w:rsidP="00866C2B">
      <w:pPr>
        <w:jc w:val="both"/>
        <w:rPr>
          <w:rFonts w:ascii="Arial" w:hAnsi="Arial" w:cs="Arial"/>
        </w:rPr>
      </w:pPr>
      <w:r w:rsidRPr="0055580E">
        <w:rPr>
          <w:rFonts w:ascii="Arial" w:hAnsi="Arial" w:cs="Arial"/>
        </w:rPr>
        <w:t xml:space="preserve">Phrasing and documenting the role-specific objectives for each remote staff </w:t>
      </w:r>
      <w:r w:rsidR="00866C2B" w:rsidRPr="0055580E">
        <w:rPr>
          <w:rFonts w:ascii="Arial" w:hAnsi="Arial" w:cs="Arial"/>
        </w:rPr>
        <w:t>member and</w:t>
      </w:r>
      <w:r w:rsidRPr="0055580E">
        <w:rPr>
          <w:rFonts w:ascii="Arial" w:hAnsi="Arial" w:cs="Arial"/>
        </w:rPr>
        <w:t xml:space="preserve"> specify tracking tools to get real-time information of the goals completion and progress reports. Periodic setting and monitoring of goals let us stick to the primary objective, remain accountable, and consequently, stay in tune with the organization.</w:t>
      </w:r>
    </w:p>
    <w:p w14:paraId="432009CA" w14:textId="6171A4DB" w:rsidR="0032613D" w:rsidRDefault="0032613D" w:rsidP="0032613D">
      <w:pPr>
        <w:pStyle w:val="Heading2"/>
      </w:pPr>
      <w:bookmarkStart w:id="10" w:name="_Toc165135675"/>
      <w:r>
        <w:t xml:space="preserve">4.3 Peer </w:t>
      </w:r>
      <w:r w:rsidR="0055580E">
        <w:t>f</w:t>
      </w:r>
      <w:r>
        <w:t xml:space="preserve">eedback and </w:t>
      </w:r>
      <w:r w:rsidR="0055580E">
        <w:t>r</w:t>
      </w:r>
      <w:bookmarkEnd w:id="10"/>
      <w:r w:rsidR="0055580E">
        <w:t>ecognition</w:t>
      </w:r>
    </w:p>
    <w:p w14:paraId="3F246EC9" w14:textId="5C119A30" w:rsidR="0032613D" w:rsidRPr="0055580E" w:rsidRDefault="0032613D" w:rsidP="0056562F">
      <w:pPr>
        <w:jc w:val="both"/>
        <w:rPr>
          <w:rFonts w:ascii="Arial" w:hAnsi="Arial" w:cs="Arial"/>
        </w:rPr>
      </w:pPr>
      <w:r w:rsidRPr="0055580E">
        <w:rPr>
          <w:rFonts w:ascii="Arial" w:hAnsi="Arial" w:cs="Arial"/>
        </w:rPr>
        <w:t xml:space="preserve">It is crucial to create a peer feedback and recognition culture that will be beneficial to remote teams. Such </w:t>
      </w:r>
      <w:r w:rsidR="0056562F" w:rsidRPr="0055580E">
        <w:rPr>
          <w:rFonts w:ascii="Arial" w:hAnsi="Arial" w:cs="Arial"/>
        </w:rPr>
        <w:t>channels</w:t>
      </w:r>
      <w:r w:rsidRPr="0055580E">
        <w:rPr>
          <w:rFonts w:ascii="Arial" w:hAnsi="Arial" w:cs="Arial"/>
        </w:rPr>
        <w:t xml:space="preserve"> could include dedicated channels or forums where team members could appreciate and congratulate each other's efforts as well as provide positive and constructive </w:t>
      </w:r>
      <w:r w:rsidR="0056562F" w:rsidRPr="0055580E">
        <w:rPr>
          <w:rFonts w:ascii="Arial" w:hAnsi="Arial" w:cs="Arial"/>
        </w:rPr>
        <w:t>feedback</w:t>
      </w:r>
      <w:r w:rsidRPr="0055580E">
        <w:rPr>
          <w:rFonts w:ascii="Arial" w:hAnsi="Arial" w:cs="Arial"/>
        </w:rPr>
        <w:t xml:space="preserve"> (Wirtz &amp; Jerger, 2016). Peer feedback and affirmation for </w:t>
      </w:r>
      <w:r w:rsidR="0056562F" w:rsidRPr="0055580E">
        <w:rPr>
          <w:rFonts w:ascii="Arial" w:hAnsi="Arial" w:cs="Arial"/>
        </w:rPr>
        <w:t>teammates</w:t>
      </w:r>
      <w:r w:rsidRPr="0055580E">
        <w:rPr>
          <w:rFonts w:ascii="Arial" w:hAnsi="Arial" w:cs="Arial"/>
        </w:rPr>
        <w:t xml:space="preserve"> </w:t>
      </w:r>
      <w:r w:rsidR="0056562F" w:rsidRPr="0055580E">
        <w:rPr>
          <w:rFonts w:ascii="Arial" w:hAnsi="Arial" w:cs="Arial"/>
        </w:rPr>
        <w:t>build</w:t>
      </w:r>
      <w:r w:rsidRPr="0055580E">
        <w:rPr>
          <w:rFonts w:ascii="Arial" w:hAnsi="Arial" w:cs="Arial"/>
        </w:rPr>
        <w:t xml:space="preserve"> a feeling of a trans-located community, teamwork, and empathetic support among distant teams.</w:t>
      </w:r>
    </w:p>
    <w:p w14:paraId="73BAFE24" w14:textId="0B71EA79" w:rsidR="0032613D" w:rsidRDefault="0032613D" w:rsidP="0032613D">
      <w:pPr>
        <w:pStyle w:val="Heading2"/>
      </w:pPr>
      <w:bookmarkStart w:id="11" w:name="_Toc165135676"/>
      <w:r>
        <w:t xml:space="preserve">4.4 Engagement </w:t>
      </w:r>
      <w:r w:rsidR="0055580E">
        <w:t>s</w:t>
      </w:r>
      <w:r>
        <w:t xml:space="preserve">urveys and </w:t>
      </w:r>
      <w:r w:rsidR="0055580E">
        <w:t>s</w:t>
      </w:r>
      <w:r>
        <w:t xml:space="preserve">entiment </w:t>
      </w:r>
      <w:r w:rsidR="0055580E">
        <w:t>a</w:t>
      </w:r>
      <w:r>
        <w:t>nalysis</w:t>
      </w:r>
      <w:bookmarkEnd w:id="11"/>
    </w:p>
    <w:p w14:paraId="67B4A536" w14:textId="0D968E3E" w:rsidR="0032613D" w:rsidRPr="0055580E" w:rsidRDefault="0032613D" w:rsidP="00324B58">
      <w:pPr>
        <w:jc w:val="both"/>
        <w:rPr>
          <w:rFonts w:ascii="Arial" w:hAnsi="Arial" w:cs="Arial"/>
        </w:rPr>
      </w:pPr>
      <w:r w:rsidRPr="0055580E">
        <w:rPr>
          <w:rFonts w:ascii="Arial" w:hAnsi="Arial" w:cs="Arial"/>
        </w:rPr>
        <w:t xml:space="preserve">Frequently carry out engagement surveys and deploy sentiment analysis tools </w:t>
      </w:r>
      <w:r w:rsidR="00FF4DE1" w:rsidRPr="0055580E">
        <w:rPr>
          <w:rFonts w:ascii="Arial" w:hAnsi="Arial" w:cs="Arial"/>
        </w:rPr>
        <w:t>to</w:t>
      </w:r>
      <w:r w:rsidRPr="0055580E">
        <w:rPr>
          <w:rFonts w:ascii="Arial" w:hAnsi="Arial" w:cs="Arial"/>
        </w:rPr>
        <w:t xml:space="preserve"> find out the atmosphere of remote operation and the level of </w:t>
      </w:r>
      <w:r w:rsidR="00FF4DE1" w:rsidRPr="0055580E">
        <w:rPr>
          <w:rFonts w:ascii="Arial" w:hAnsi="Arial" w:cs="Arial"/>
        </w:rPr>
        <w:t>staff satisfaction</w:t>
      </w:r>
      <w:r w:rsidRPr="0055580E">
        <w:rPr>
          <w:rFonts w:ascii="Arial" w:hAnsi="Arial" w:cs="Arial"/>
        </w:rPr>
        <w:t xml:space="preserve"> (Ulrich &amp; Dulebohn, 2015). With this info, you can determine the number of problems, what </w:t>
      </w:r>
      <w:r w:rsidRPr="0055580E">
        <w:rPr>
          <w:rFonts w:ascii="Arial" w:hAnsi="Arial" w:cs="Arial"/>
        </w:rPr>
        <w:lastRenderedPageBreak/>
        <w:t>approaches are necessary to improve the remote work experience, and how to respond to the said problems as soon as possible. Note - that you can proactively address the problems.</w:t>
      </w:r>
    </w:p>
    <w:p w14:paraId="08FA7248" w14:textId="74CBE626" w:rsidR="00F76076" w:rsidRPr="0055580E" w:rsidRDefault="0032613D" w:rsidP="005A6DA0">
      <w:pPr>
        <w:jc w:val="both"/>
        <w:rPr>
          <w:rFonts w:ascii="Arial" w:hAnsi="Arial" w:cs="Arial"/>
        </w:rPr>
      </w:pPr>
      <w:r w:rsidRPr="0055580E">
        <w:rPr>
          <w:rFonts w:ascii="Arial" w:hAnsi="Arial" w:cs="Arial"/>
        </w:rPr>
        <w:t xml:space="preserve">These improved performance appraisal instruments present a variety of choices to organizations </w:t>
      </w:r>
      <w:r w:rsidR="00FF4DE1" w:rsidRPr="0055580E">
        <w:rPr>
          <w:rFonts w:ascii="Arial" w:hAnsi="Arial" w:cs="Arial"/>
        </w:rPr>
        <w:t>that</w:t>
      </w:r>
      <w:r w:rsidRPr="0055580E">
        <w:rPr>
          <w:rFonts w:ascii="Arial" w:hAnsi="Arial" w:cs="Arial"/>
        </w:rPr>
        <w:t xml:space="preserve"> are rather difficult to decide because of their strong as well as weak aspects (McDonagh et al., 2021). Among the criteria that would impact the selection of the most appropriate remote work system include the size and culture of the organization, industry, and scope of the specifically remote work roles. Finally, a synergy between technology use and a human-focused approach is a winning call for success in the </w:t>
      </w:r>
      <w:r w:rsidR="002E5717" w:rsidRPr="0055580E">
        <w:rPr>
          <w:rFonts w:ascii="Arial" w:hAnsi="Arial" w:cs="Arial"/>
        </w:rPr>
        <w:t>endeavour</w:t>
      </w:r>
      <w:r w:rsidRPr="0055580E">
        <w:rPr>
          <w:rFonts w:ascii="Arial" w:hAnsi="Arial" w:cs="Arial"/>
        </w:rPr>
        <w:t xml:space="preserve"> to create an engaged and productive remote team.</w:t>
      </w:r>
    </w:p>
    <w:p w14:paraId="16F41E20" w14:textId="77777777" w:rsidR="00F76076" w:rsidRDefault="00F76076" w:rsidP="00F76076">
      <w:pPr>
        <w:pStyle w:val="Heading1"/>
        <w:rPr>
          <w:b/>
          <w:sz w:val="28"/>
          <w:szCs w:val="32"/>
        </w:rPr>
      </w:pPr>
      <w:bookmarkStart w:id="12" w:name="_Toc165135677"/>
      <w:r>
        <w:t>5. Conclusio</w:t>
      </w:r>
      <w:bookmarkEnd w:id="12"/>
      <w:r>
        <w:t>n</w:t>
      </w:r>
    </w:p>
    <w:p w14:paraId="36729812" w14:textId="0A97479A" w:rsidR="0032613D" w:rsidRPr="0055580E" w:rsidRDefault="0032613D" w:rsidP="005A222E">
      <w:pPr>
        <w:jc w:val="both"/>
        <w:rPr>
          <w:rFonts w:ascii="Arial" w:hAnsi="Arial" w:cs="Arial"/>
        </w:rPr>
      </w:pPr>
      <w:r w:rsidRPr="0055580E">
        <w:rPr>
          <w:rFonts w:ascii="Arial" w:hAnsi="Arial" w:cs="Arial"/>
        </w:rPr>
        <w:t>With remote work becoming more pervasive and an all-embracing practice across different sectors, employer managers face the difficult challenge of rebuying and evaluating the performance of remote workers. Technology fills thereby a critical needs gap, in making effective communication, collaboration, and performance evaluation of managers and remote teams possible. The performance measurement tools, and appraisal methods discussed here are quite varied. They carry various options for companies to ponder, everyone with their strengths and weaknesses. Finally, the employment of techniques and tools will depend on factors like the organization's size, culture, sector</w:t>
      </w:r>
      <w:r w:rsidR="005A222E" w:rsidRPr="0055580E">
        <w:rPr>
          <w:rFonts w:ascii="Arial" w:hAnsi="Arial" w:cs="Arial"/>
        </w:rPr>
        <w:t>,</w:t>
      </w:r>
      <w:r w:rsidRPr="0055580E">
        <w:rPr>
          <w:rFonts w:ascii="Arial" w:hAnsi="Arial" w:cs="Arial"/>
        </w:rPr>
        <w:t xml:space="preserve"> and to what extent remote work will be employed in the organization. Organizations </w:t>
      </w:r>
      <w:r w:rsidR="00985C41" w:rsidRPr="0055580E">
        <w:rPr>
          <w:rFonts w:ascii="Arial" w:hAnsi="Arial" w:cs="Arial"/>
        </w:rPr>
        <w:t>must</w:t>
      </w:r>
      <w:r w:rsidRPr="0055580E">
        <w:rPr>
          <w:rFonts w:ascii="Arial" w:hAnsi="Arial" w:cs="Arial"/>
        </w:rPr>
        <w:t xml:space="preserve"> struggle to strike a balance between the use of technology and following a system </w:t>
      </w:r>
      <w:r w:rsidR="002E5717" w:rsidRPr="0055580E">
        <w:rPr>
          <w:rFonts w:ascii="Arial" w:hAnsi="Arial" w:cs="Arial"/>
        </w:rPr>
        <w:t>centred</w:t>
      </w:r>
      <w:r w:rsidRPr="0055580E">
        <w:rPr>
          <w:rFonts w:ascii="Arial" w:hAnsi="Arial" w:cs="Arial"/>
        </w:rPr>
        <w:t xml:space="preserve"> on humans in performance management. Although the technology and platforms can eliminate many lengthy processes and provide useful data to be accessed, the communication and mutual trust, as well as the culture of continuous feedback and development, are what form the foundation for the effective remote workforce. Since the landscape of remote work is still undergoing changes, organizations need to be agile and adaptive taking no exception to its strategy of performance management and consistently conducting its evaluation and making relevant adjustments for the success and wellness of the remote staff.</w:t>
      </w:r>
      <w:r w:rsidRPr="0055580E">
        <w:rPr>
          <w:rFonts w:ascii="Arial" w:hAnsi="Arial" w:cs="Arial"/>
        </w:rPr>
        <w:br w:type="page"/>
      </w:r>
    </w:p>
    <w:p w14:paraId="6540C9D9" w14:textId="77777777" w:rsidR="0032613D" w:rsidRDefault="0032613D" w:rsidP="0032613D">
      <w:pPr>
        <w:pStyle w:val="Heading1"/>
      </w:pPr>
      <w:bookmarkStart w:id="13" w:name="_Toc165135678"/>
      <w:r>
        <w:lastRenderedPageBreak/>
        <w:t>6. References</w:t>
      </w:r>
      <w:bookmarkEnd w:id="13"/>
    </w:p>
    <w:p w14:paraId="018C6579" w14:textId="77777777" w:rsidR="0032613D" w:rsidRDefault="0032613D" w:rsidP="00324B58">
      <w:pPr>
        <w:jc w:val="both"/>
        <w:rPr>
          <w:sz w:val="28"/>
          <w:szCs w:val="28"/>
        </w:rPr>
      </w:pPr>
      <w:r>
        <w:rPr>
          <w:shd w:val="clear" w:color="auto" w:fill="FFFFFF"/>
        </w:rPr>
        <w:t xml:space="preserve">Beck, J., Greenwood, D.A., Blanton, L., Bollinger, S.T., Butcher, M.K., Condon, J.E., Cypress, M., Faulkner, P., Fischl, A.H., Francis, </w:t>
      </w:r>
      <w:proofErr w:type="gramStart"/>
      <w:r>
        <w:rPr>
          <w:shd w:val="clear" w:color="auto" w:fill="FFFFFF"/>
        </w:rPr>
        <w:t>T.</w:t>
      </w:r>
      <w:proofErr w:type="gramEnd"/>
      <w:r>
        <w:rPr>
          <w:shd w:val="clear" w:color="auto" w:fill="FFFFFF"/>
        </w:rPr>
        <w:t xml:space="preserve"> and Kolb, L.E., 2018. 2017 National standards for diabetes self-management education and support. </w:t>
      </w:r>
      <w:r>
        <w:rPr>
          <w:i/>
          <w:iCs/>
          <w:shd w:val="clear" w:color="auto" w:fill="FFFFFF"/>
        </w:rPr>
        <w:t>The Diabetes Educator</w:t>
      </w:r>
      <w:r>
        <w:rPr>
          <w:shd w:val="clear" w:color="auto" w:fill="FFFFFF"/>
        </w:rPr>
        <w:t>, </w:t>
      </w:r>
      <w:r>
        <w:rPr>
          <w:i/>
          <w:iCs/>
          <w:shd w:val="clear" w:color="auto" w:fill="FFFFFF"/>
        </w:rPr>
        <w:t>44</w:t>
      </w:r>
      <w:r>
        <w:rPr>
          <w:shd w:val="clear" w:color="auto" w:fill="FFFFFF"/>
        </w:rPr>
        <w:t>(1), pp.35-50.</w:t>
      </w:r>
    </w:p>
    <w:p w14:paraId="021D8C0E" w14:textId="77777777" w:rsidR="0032613D" w:rsidRDefault="0032613D" w:rsidP="00324B58">
      <w:pPr>
        <w:jc w:val="both"/>
        <w:rPr>
          <w:sz w:val="28"/>
          <w:szCs w:val="28"/>
        </w:rPr>
      </w:pPr>
      <w:r>
        <w:rPr>
          <w:shd w:val="clear" w:color="auto" w:fill="FFFFFF"/>
        </w:rPr>
        <w:t>Benešová, A. and Tupa, J., 2017. Requirements for education and qualification of people in Industry 4.0. </w:t>
      </w:r>
      <w:r>
        <w:rPr>
          <w:i/>
          <w:iCs/>
          <w:shd w:val="clear" w:color="auto" w:fill="FFFFFF"/>
        </w:rPr>
        <w:t>Procedia Manufacturing</w:t>
      </w:r>
      <w:r>
        <w:rPr>
          <w:shd w:val="clear" w:color="auto" w:fill="FFFFFF"/>
        </w:rPr>
        <w:t>, </w:t>
      </w:r>
      <w:r>
        <w:rPr>
          <w:i/>
          <w:iCs/>
          <w:shd w:val="clear" w:color="auto" w:fill="FFFFFF"/>
        </w:rPr>
        <w:t>11</w:t>
      </w:r>
      <w:r>
        <w:rPr>
          <w:shd w:val="clear" w:color="auto" w:fill="FFFFFF"/>
        </w:rPr>
        <w:t>, pp.2195-2202.</w:t>
      </w:r>
    </w:p>
    <w:p w14:paraId="4292B84C" w14:textId="478E7C72" w:rsidR="0032613D" w:rsidRDefault="0032613D" w:rsidP="00324B58">
      <w:pPr>
        <w:jc w:val="both"/>
        <w:rPr>
          <w:szCs w:val="22"/>
        </w:rPr>
      </w:pPr>
      <w:proofErr w:type="spellStart"/>
      <w:r>
        <w:t>Colledge</w:t>
      </w:r>
      <w:proofErr w:type="spellEnd"/>
      <w:r>
        <w:t xml:space="preserve">-Frisby, S., Ottaviano, S., Webb, P., </w:t>
      </w:r>
      <w:proofErr w:type="spellStart"/>
      <w:r>
        <w:t>Grebely</w:t>
      </w:r>
      <w:proofErr w:type="spellEnd"/>
      <w:r>
        <w:t xml:space="preserve">, J., Wheeler, A., Cunningham, E.B., </w:t>
      </w:r>
      <w:proofErr w:type="spellStart"/>
      <w:r>
        <w:t>Hajarizadeh</w:t>
      </w:r>
      <w:proofErr w:type="spellEnd"/>
      <w:r>
        <w:t>, B., Leung, J., Peacock, A., Vickerman, P. and Farrell, M., 2023. Global coverage of interventions to prevent and manage drug-related harms among people who inject drugs: a systematic review. </w:t>
      </w:r>
      <w:r>
        <w:rPr>
          <w:i/>
          <w:iCs/>
        </w:rPr>
        <w:t>The Lancet Global Health</w:t>
      </w:r>
      <w:r>
        <w:t>, </w:t>
      </w:r>
      <w:r>
        <w:rPr>
          <w:i/>
          <w:iCs/>
        </w:rPr>
        <w:t>11</w:t>
      </w:r>
      <w:r>
        <w:t xml:space="preserve">(5), </w:t>
      </w:r>
      <w:proofErr w:type="gramStart"/>
      <w:r w:rsidR="005A222E">
        <w:t>pp.e</w:t>
      </w:r>
      <w:proofErr w:type="gramEnd"/>
      <w:r>
        <w:t>673-e683.</w:t>
      </w:r>
    </w:p>
    <w:p w14:paraId="11B51E54" w14:textId="77777777" w:rsidR="0032613D" w:rsidRDefault="0032613D" w:rsidP="00324B58">
      <w:pPr>
        <w:jc w:val="both"/>
        <w:rPr>
          <w:sz w:val="28"/>
          <w:szCs w:val="28"/>
        </w:rPr>
      </w:pPr>
      <w:r>
        <w:rPr>
          <w:shd w:val="clear" w:color="auto" w:fill="FFFFFF"/>
        </w:rPr>
        <w:t>Crook, H., Raza, S., Nowell, J., Young, M. and Edison, P., 2021. Long covid—mechanisms, risk factors, and management. </w:t>
      </w:r>
      <w:r>
        <w:rPr>
          <w:i/>
          <w:iCs/>
          <w:shd w:val="clear" w:color="auto" w:fill="FFFFFF"/>
        </w:rPr>
        <w:t>BMJ</w:t>
      </w:r>
      <w:r>
        <w:rPr>
          <w:shd w:val="clear" w:color="auto" w:fill="FFFFFF"/>
        </w:rPr>
        <w:t>, </w:t>
      </w:r>
      <w:r>
        <w:rPr>
          <w:i/>
          <w:iCs/>
          <w:shd w:val="clear" w:color="auto" w:fill="FFFFFF"/>
        </w:rPr>
        <w:t>374</w:t>
      </w:r>
      <w:r>
        <w:rPr>
          <w:shd w:val="clear" w:color="auto" w:fill="FFFFFF"/>
        </w:rPr>
        <w:t>.</w:t>
      </w:r>
    </w:p>
    <w:p w14:paraId="6C593828" w14:textId="77777777" w:rsidR="0032613D" w:rsidRDefault="0032613D" w:rsidP="00324B58">
      <w:pPr>
        <w:jc w:val="both"/>
        <w:rPr>
          <w:sz w:val="28"/>
          <w:szCs w:val="28"/>
        </w:rPr>
      </w:pPr>
      <w:proofErr w:type="spellStart"/>
      <w:r>
        <w:rPr>
          <w:shd w:val="clear" w:color="auto" w:fill="FFFFFF"/>
        </w:rPr>
        <w:t>Dietvorst</w:t>
      </w:r>
      <w:proofErr w:type="spellEnd"/>
      <w:r>
        <w:rPr>
          <w:shd w:val="clear" w:color="auto" w:fill="FFFFFF"/>
        </w:rPr>
        <w:t>, B.J., Simmons, J.P. and Massey, C., 2018. Overcoming algorithm aversion: People will use imperfect algorithms if they can (even slightly) modify them. </w:t>
      </w:r>
      <w:r>
        <w:rPr>
          <w:i/>
          <w:iCs/>
          <w:shd w:val="clear" w:color="auto" w:fill="FFFFFF"/>
        </w:rPr>
        <w:t>Management Science</w:t>
      </w:r>
      <w:r>
        <w:rPr>
          <w:shd w:val="clear" w:color="auto" w:fill="FFFFFF"/>
        </w:rPr>
        <w:t>, </w:t>
      </w:r>
      <w:r>
        <w:rPr>
          <w:i/>
          <w:iCs/>
          <w:shd w:val="clear" w:color="auto" w:fill="FFFFFF"/>
        </w:rPr>
        <w:t>64</w:t>
      </w:r>
      <w:r>
        <w:rPr>
          <w:shd w:val="clear" w:color="auto" w:fill="FFFFFF"/>
        </w:rPr>
        <w:t>(3), pp.1155-1170.</w:t>
      </w:r>
    </w:p>
    <w:p w14:paraId="35CC46DA" w14:textId="77777777" w:rsidR="0032613D" w:rsidRDefault="0032613D" w:rsidP="00324B58">
      <w:pPr>
        <w:jc w:val="both"/>
        <w:rPr>
          <w:sz w:val="28"/>
          <w:szCs w:val="28"/>
        </w:rPr>
      </w:pPr>
      <w:r>
        <w:rPr>
          <w:shd w:val="clear" w:color="auto" w:fill="FFFFFF"/>
        </w:rPr>
        <w:t>Duggan, J., Sherman, U., Carbery, R. and McDonnell, A., 2020. Algorithmic management and app</w:t>
      </w:r>
      <w:r>
        <w:rPr>
          <w:rFonts w:ascii="Cambria Math" w:hAnsi="Cambria Math" w:cs="Cambria Math"/>
          <w:shd w:val="clear" w:color="auto" w:fill="FFFFFF"/>
        </w:rPr>
        <w:t>‐</w:t>
      </w:r>
      <w:r>
        <w:rPr>
          <w:shd w:val="clear" w:color="auto" w:fill="FFFFFF"/>
        </w:rPr>
        <w:t>work in the gig economy: A research agenda for employment relations and HRM. </w:t>
      </w:r>
      <w:r>
        <w:rPr>
          <w:i/>
          <w:iCs/>
          <w:shd w:val="clear" w:color="auto" w:fill="FFFFFF"/>
        </w:rPr>
        <w:t>Human Resource Management Journal</w:t>
      </w:r>
      <w:r>
        <w:rPr>
          <w:shd w:val="clear" w:color="auto" w:fill="FFFFFF"/>
        </w:rPr>
        <w:t>, </w:t>
      </w:r>
      <w:r>
        <w:rPr>
          <w:i/>
          <w:iCs/>
          <w:shd w:val="clear" w:color="auto" w:fill="FFFFFF"/>
        </w:rPr>
        <w:t>30</w:t>
      </w:r>
      <w:r>
        <w:rPr>
          <w:shd w:val="clear" w:color="auto" w:fill="FFFFFF"/>
        </w:rPr>
        <w:t>(1), pp.114-132.</w:t>
      </w:r>
    </w:p>
    <w:p w14:paraId="78C6D775" w14:textId="77777777" w:rsidR="0032613D" w:rsidRDefault="0032613D" w:rsidP="00324B58">
      <w:pPr>
        <w:jc w:val="both"/>
        <w:rPr>
          <w:sz w:val="28"/>
          <w:szCs w:val="28"/>
        </w:rPr>
      </w:pPr>
      <w:r>
        <w:rPr>
          <w:shd w:val="clear" w:color="auto" w:fill="FFFFFF"/>
        </w:rPr>
        <w:t>Faulkner, W., 2015. ‘Nuts and Bolts and People ’Gender Troubled Engineering Identities. </w:t>
      </w:r>
      <w:r>
        <w:rPr>
          <w:i/>
          <w:iCs/>
          <w:shd w:val="clear" w:color="auto" w:fill="FFFFFF"/>
        </w:rPr>
        <w:t>Engineering Identities, Epistemologies and Values: Engineering Education and Practice in Context, Volume 2</w:t>
      </w:r>
      <w:r>
        <w:rPr>
          <w:shd w:val="clear" w:color="auto" w:fill="FFFFFF"/>
        </w:rPr>
        <w:t>, pp.23-40.</w:t>
      </w:r>
    </w:p>
    <w:p w14:paraId="7F44A188" w14:textId="77777777" w:rsidR="0032613D" w:rsidRDefault="0032613D" w:rsidP="00324B58">
      <w:pPr>
        <w:jc w:val="both"/>
        <w:rPr>
          <w:sz w:val="28"/>
          <w:szCs w:val="28"/>
        </w:rPr>
      </w:pPr>
      <w:r>
        <w:rPr>
          <w:shd w:val="clear" w:color="auto" w:fill="FFFFFF"/>
        </w:rPr>
        <w:t>Griffin, R.W., Phillips, J.M. and Gully, S.M., 2020. </w:t>
      </w:r>
      <w:r>
        <w:rPr>
          <w:i/>
          <w:iCs/>
          <w:shd w:val="clear" w:color="auto" w:fill="FFFFFF"/>
        </w:rPr>
        <w:t>Organizational behaviour: Managing people and organizations</w:t>
      </w:r>
      <w:r>
        <w:rPr>
          <w:shd w:val="clear" w:color="auto" w:fill="FFFFFF"/>
        </w:rPr>
        <w:t>. CENGAGE learning.</w:t>
      </w:r>
    </w:p>
    <w:p w14:paraId="06F5CC54" w14:textId="77777777" w:rsidR="0032613D" w:rsidRDefault="0032613D" w:rsidP="00324B58">
      <w:pPr>
        <w:jc w:val="both"/>
        <w:rPr>
          <w:sz w:val="28"/>
          <w:szCs w:val="28"/>
        </w:rPr>
      </w:pPr>
      <w:r>
        <w:rPr>
          <w:shd w:val="clear" w:color="auto" w:fill="FFFFFF"/>
        </w:rPr>
        <w:t>Harris, A. and Jones, M., 2020. COVID-19–school leadership in disruptive times. </w:t>
      </w:r>
      <w:r>
        <w:rPr>
          <w:i/>
          <w:iCs/>
          <w:shd w:val="clear" w:color="auto" w:fill="FFFFFF"/>
        </w:rPr>
        <w:t>School leadership &amp; management</w:t>
      </w:r>
      <w:r>
        <w:rPr>
          <w:shd w:val="clear" w:color="auto" w:fill="FFFFFF"/>
        </w:rPr>
        <w:t>, </w:t>
      </w:r>
      <w:r>
        <w:rPr>
          <w:i/>
          <w:iCs/>
          <w:shd w:val="clear" w:color="auto" w:fill="FFFFFF"/>
        </w:rPr>
        <w:t>40</w:t>
      </w:r>
      <w:r>
        <w:rPr>
          <w:shd w:val="clear" w:color="auto" w:fill="FFFFFF"/>
        </w:rPr>
        <w:t>(4), pp.243-247.</w:t>
      </w:r>
    </w:p>
    <w:p w14:paraId="1EAC77FA" w14:textId="77777777" w:rsidR="0032613D" w:rsidRDefault="0032613D" w:rsidP="00324B58">
      <w:pPr>
        <w:jc w:val="both"/>
        <w:rPr>
          <w:sz w:val="28"/>
          <w:szCs w:val="28"/>
        </w:rPr>
      </w:pPr>
      <w:r>
        <w:rPr>
          <w:shd w:val="clear" w:color="auto" w:fill="FFFFFF"/>
        </w:rPr>
        <w:t>Hopkins, M.M. and Yonker, R.D., 2015. Managing conflict with emotional intelligence: Abilities that make a difference. </w:t>
      </w:r>
      <w:r>
        <w:rPr>
          <w:i/>
          <w:iCs/>
          <w:shd w:val="clear" w:color="auto" w:fill="FFFFFF"/>
        </w:rPr>
        <w:t>Journal of Management Development</w:t>
      </w:r>
      <w:r>
        <w:rPr>
          <w:shd w:val="clear" w:color="auto" w:fill="FFFFFF"/>
        </w:rPr>
        <w:t>, </w:t>
      </w:r>
      <w:r>
        <w:rPr>
          <w:i/>
          <w:iCs/>
          <w:shd w:val="clear" w:color="auto" w:fill="FFFFFF"/>
        </w:rPr>
        <w:t>34</w:t>
      </w:r>
      <w:r>
        <w:rPr>
          <w:shd w:val="clear" w:color="auto" w:fill="FFFFFF"/>
        </w:rPr>
        <w:t>(2), pp.226-244.</w:t>
      </w:r>
    </w:p>
    <w:p w14:paraId="598373E8" w14:textId="77777777" w:rsidR="0032613D" w:rsidRDefault="0032613D" w:rsidP="00324B58">
      <w:pPr>
        <w:jc w:val="both"/>
        <w:rPr>
          <w:sz w:val="28"/>
          <w:szCs w:val="28"/>
        </w:rPr>
      </w:pPr>
      <w:r>
        <w:rPr>
          <w:shd w:val="clear" w:color="auto" w:fill="FFFFFF"/>
        </w:rPr>
        <w:t>Kanter, R.M., 2017. Power failure in management circuits. In </w:t>
      </w:r>
      <w:r>
        <w:rPr>
          <w:i/>
          <w:iCs/>
          <w:shd w:val="clear" w:color="auto" w:fill="FFFFFF"/>
        </w:rPr>
        <w:t>Leadership perspectives</w:t>
      </w:r>
      <w:r>
        <w:rPr>
          <w:shd w:val="clear" w:color="auto" w:fill="FFFFFF"/>
        </w:rPr>
        <w:t> (pp. 281-290). Routledge.</w:t>
      </w:r>
    </w:p>
    <w:p w14:paraId="23026D11" w14:textId="77777777" w:rsidR="0032613D" w:rsidRDefault="0032613D" w:rsidP="00324B58">
      <w:pPr>
        <w:jc w:val="both"/>
        <w:rPr>
          <w:sz w:val="28"/>
          <w:szCs w:val="28"/>
        </w:rPr>
      </w:pPr>
      <w:r>
        <w:rPr>
          <w:shd w:val="clear" w:color="auto" w:fill="FFFFFF"/>
        </w:rPr>
        <w:t>Lee, M.K., 2018. Understanding the perception of algorithmic decisions: Fairness, trust, and emotion in response to algorithmic management. </w:t>
      </w:r>
      <w:r>
        <w:rPr>
          <w:i/>
          <w:iCs/>
          <w:shd w:val="clear" w:color="auto" w:fill="FFFFFF"/>
        </w:rPr>
        <w:t>Big Data &amp; Society</w:t>
      </w:r>
      <w:r>
        <w:rPr>
          <w:shd w:val="clear" w:color="auto" w:fill="FFFFFF"/>
        </w:rPr>
        <w:t>, </w:t>
      </w:r>
      <w:r>
        <w:rPr>
          <w:i/>
          <w:iCs/>
          <w:shd w:val="clear" w:color="auto" w:fill="FFFFFF"/>
        </w:rPr>
        <w:t>5</w:t>
      </w:r>
      <w:r>
        <w:rPr>
          <w:shd w:val="clear" w:color="auto" w:fill="FFFFFF"/>
        </w:rPr>
        <w:t>(1), p.2053951718756684.</w:t>
      </w:r>
    </w:p>
    <w:p w14:paraId="2F1EDA3A" w14:textId="77777777" w:rsidR="0032613D" w:rsidRDefault="0032613D" w:rsidP="00324B58">
      <w:pPr>
        <w:jc w:val="both"/>
        <w:rPr>
          <w:sz w:val="28"/>
          <w:szCs w:val="28"/>
        </w:rPr>
      </w:pPr>
      <w:r>
        <w:rPr>
          <w:shd w:val="clear" w:color="auto" w:fill="FFFFFF"/>
        </w:rPr>
        <w:lastRenderedPageBreak/>
        <w:t xml:space="preserve">McDonagh, T.A., Metra, M., Adamo, M., Gardner, R.S., Baumbach, A., Böhm, M., Burri, H., Butler, J., </w:t>
      </w:r>
      <w:proofErr w:type="spellStart"/>
      <w:r>
        <w:rPr>
          <w:shd w:val="clear" w:color="auto" w:fill="FFFFFF"/>
        </w:rPr>
        <w:t>Čelutkienė</w:t>
      </w:r>
      <w:proofErr w:type="spellEnd"/>
      <w:r>
        <w:rPr>
          <w:shd w:val="clear" w:color="auto" w:fill="FFFFFF"/>
        </w:rPr>
        <w:t xml:space="preserve">, J., </w:t>
      </w:r>
      <w:proofErr w:type="spellStart"/>
      <w:r>
        <w:rPr>
          <w:shd w:val="clear" w:color="auto" w:fill="FFFFFF"/>
        </w:rPr>
        <w:t>Chioncel</w:t>
      </w:r>
      <w:proofErr w:type="spellEnd"/>
      <w:r>
        <w:rPr>
          <w:shd w:val="clear" w:color="auto" w:fill="FFFFFF"/>
        </w:rPr>
        <w:t>, O. and Cleland, J.G., 2021. 2021 ESC Guidelines for the diagnosis and treatment of acute and chronic heart failure: Developed by the Task Force for the diagnosis and treatment of acute and chronic heart failure of the European Society of Cardiology (ESC) With the special contribution of the Heart Failure Association (HFA) of the ESC. </w:t>
      </w:r>
      <w:r>
        <w:rPr>
          <w:i/>
          <w:iCs/>
          <w:shd w:val="clear" w:color="auto" w:fill="FFFFFF"/>
        </w:rPr>
        <w:t>European Heart Journal</w:t>
      </w:r>
      <w:r>
        <w:rPr>
          <w:shd w:val="clear" w:color="auto" w:fill="FFFFFF"/>
        </w:rPr>
        <w:t>, </w:t>
      </w:r>
      <w:r>
        <w:rPr>
          <w:i/>
          <w:iCs/>
          <w:shd w:val="clear" w:color="auto" w:fill="FFFFFF"/>
        </w:rPr>
        <w:t>42</w:t>
      </w:r>
      <w:r>
        <w:rPr>
          <w:shd w:val="clear" w:color="auto" w:fill="FFFFFF"/>
        </w:rPr>
        <w:t>(36), pp.3599-3726.</w:t>
      </w:r>
    </w:p>
    <w:p w14:paraId="4DA6ADA0" w14:textId="77777777" w:rsidR="0032613D" w:rsidRDefault="0032613D" w:rsidP="00324B58">
      <w:pPr>
        <w:jc w:val="both"/>
        <w:rPr>
          <w:shd w:val="clear" w:color="auto" w:fill="FFFFFF"/>
        </w:rPr>
      </w:pPr>
      <w:r>
        <w:rPr>
          <w:shd w:val="clear" w:color="auto" w:fill="FFFFFF"/>
        </w:rPr>
        <w:t>Prasad, K., Singh, M.B. and Ryan, H., 2016. Corticosteroids for managing tuberculous meningitis. </w:t>
      </w:r>
      <w:r>
        <w:rPr>
          <w:i/>
          <w:iCs/>
          <w:shd w:val="clear" w:color="auto" w:fill="FFFFFF"/>
        </w:rPr>
        <w:t>Cochrane Database of Systematic Reviews</w:t>
      </w:r>
      <w:r>
        <w:rPr>
          <w:shd w:val="clear" w:color="auto" w:fill="FFFFFF"/>
        </w:rPr>
        <w:t>, (4).</w:t>
      </w:r>
    </w:p>
    <w:p w14:paraId="6CEEB53E" w14:textId="6EA8C17C" w:rsidR="00CC25ED" w:rsidRDefault="00CC25ED" w:rsidP="00324B58">
      <w:pPr>
        <w:jc w:val="both"/>
        <w:rPr>
          <w:sz w:val="28"/>
          <w:szCs w:val="28"/>
        </w:rPr>
      </w:pPr>
      <w:r>
        <w:rPr>
          <w:shd w:val="clear" w:color="auto" w:fill="FFFFFF"/>
        </w:rPr>
        <w:t xml:space="preserve">Sarfati, D., Koczwara, B. and Jackson, C., 2016. The impact of comorbidity on cancer and its treatment. </w:t>
      </w:r>
      <w:r w:rsidRPr="00CC25ED">
        <w:rPr>
          <w:i/>
          <w:iCs/>
          <w:shd w:val="clear" w:color="auto" w:fill="FFFFFF"/>
        </w:rPr>
        <w:t>CA: a cancer journal for clinicians, 66(4)</w:t>
      </w:r>
      <w:r>
        <w:rPr>
          <w:shd w:val="clear" w:color="auto" w:fill="FFFFFF"/>
        </w:rPr>
        <w:t>, pp.337-350.</w:t>
      </w:r>
    </w:p>
    <w:p w14:paraId="0E5FA2B4" w14:textId="4D9A21B8" w:rsidR="0032613D" w:rsidRDefault="0032613D" w:rsidP="00324B58">
      <w:pPr>
        <w:jc w:val="both"/>
        <w:rPr>
          <w:sz w:val="28"/>
          <w:szCs w:val="28"/>
        </w:rPr>
      </w:pPr>
      <w:r>
        <w:rPr>
          <w:shd w:val="clear" w:color="auto" w:fill="FFFFFF"/>
        </w:rPr>
        <w:t xml:space="preserve">Ulrich, </w:t>
      </w:r>
      <w:r w:rsidR="00CC25ED">
        <w:rPr>
          <w:shd w:val="clear" w:color="auto" w:fill="FFFFFF"/>
        </w:rPr>
        <w:t>D.,</w:t>
      </w:r>
      <w:r>
        <w:rPr>
          <w:shd w:val="clear" w:color="auto" w:fill="FFFFFF"/>
        </w:rPr>
        <w:t xml:space="preserve"> and Dulebohn, J.H., 2015. Are we there yet? What's next for HR? </w:t>
      </w:r>
      <w:r>
        <w:rPr>
          <w:i/>
          <w:iCs/>
          <w:shd w:val="clear" w:color="auto" w:fill="FFFFFF"/>
        </w:rPr>
        <w:t>Human resource management review</w:t>
      </w:r>
      <w:r>
        <w:rPr>
          <w:shd w:val="clear" w:color="auto" w:fill="FFFFFF"/>
        </w:rPr>
        <w:t>, </w:t>
      </w:r>
      <w:r>
        <w:rPr>
          <w:i/>
          <w:iCs/>
          <w:shd w:val="clear" w:color="auto" w:fill="FFFFFF"/>
        </w:rPr>
        <w:t>25</w:t>
      </w:r>
      <w:r>
        <w:rPr>
          <w:shd w:val="clear" w:color="auto" w:fill="FFFFFF"/>
        </w:rPr>
        <w:t>(2), pp.188-204.</w:t>
      </w:r>
    </w:p>
    <w:p w14:paraId="05F18320" w14:textId="77777777" w:rsidR="0032613D" w:rsidRDefault="0032613D" w:rsidP="00324B58">
      <w:pPr>
        <w:jc w:val="both"/>
        <w:rPr>
          <w:sz w:val="28"/>
          <w:szCs w:val="28"/>
        </w:rPr>
      </w:pPr>
      <w:r>
        <w:rPr>
          <w:shd w:val="clear" w:color="auto" w:fill="FFFFFF"/>
        </w:rPr>
        <w:t>Wirtz, J. and Jerger, C., 2016. Managing service employees: Literature review, expert opinions, and research directions. </w:t>
      </w:r>
      <w:r>
        <w:rPr>
          <w:i/>
          <w:iCs/>
          <w:shd w:val="clear" w:color="auto" w:fill="FFFFFF"/>
        </w:rPr>
        <w:t>The Service Industries Journal</w:t>
      </w:r>
      <w:r>
        <w:rPr>
          <w:shd w:val="clear" w:color="auto" w:fill="FFFFFF"/>
        </w:rPr>
        <w:t>, </w:t>
      </w:r>
      <w:r>
        <w:rPr>
          <w:i/>
          <w:iCs/>
          <w:shd w:val="clear" w:color="auto" w:fill="FFFFFF"/>
        </w:rPr>
        <w:t>36</w:t>
      </w:r>
      <w:r>
        <w:rPr>
          <w:shd w:val="clear" w:color="auto" w:fill="FFFFFF"/>
        </w:rPr>
        <w:t>(15-16), pp.757-788.</w:t>
      </w:r>
    </w:p>
    <w:p w14:paraId="1D400ACA" w14:textId="77777777" w:rsidR="0032613D" w:rsidRDefault="0032613D" w:rsidP="00324B58">
      <w:pPr>
        <w:jc w:val="both"/>
        <w:rPr>
          <w:sz w:val="28"/>
          <w:szCs w:val="28"/>
        </w:rPr>
      </w:pPr>
      <w:r>
        <w:rPr>
          <w:shd w:val="clear" w:color="auto" w:fill="FFFFFF"/>
        </w:rPr>
        <w:t>Zhang, Y., Waldman, D.A., Han, Y.L. and Li, X.B., 2015. Paradoxical leader behaviours in people management: Antecedents and consequences. </w:t>
      </w:r>
      <w:r>
        <w:rPr>
          <w:i/>
          <w:iCs/>
          <w:shd w:val="clear" w:color="auto" w:fill="FFFFFF"/>
        </w:rPr>
        <w:t>Academy of Management Journal</w:t>
      </w:r>
      <w:r>
        <w:rPr>
          <w:shd w:val="clear" w:color="auto" w:fill="FFFFFF"/>
        </w:rPr>
        <w:t>, </w:t>
      </w:r>
      <w:r>
        <w:rPr>
          <w:i/>
          <w:iCs/>
          <w:shd w:val="clear" w:color="auto" w:fill="FFFFFF"/>
        </w:rPr>
        <w:t>58</w:t>
      </w:r>
      <w:r>
        <w:rPr>
          <w:shd w:val="clear" w:color="auto" w:fill="FFFFFF"/>
        </w:rPr>
        <w:t>(2), pp.538-566.</w:t>
      </w:r>
    </w:p>
    <w:p w14:paraId="3CEAA8A5" w14:textId="77777777" w:rsidR="0032613D" w:rsidRDefault="0032613D" w:rsidP="0032613D">
      <w:pPr>
        <w:rPr>
          <w:sz w:val="28"/>
          <w:szCs w:val="28"/>
        </w:rPr>
      </w:pPr>
    </w:p>
    <w:p w14:paraId="1154A3CD" w14:textId="77777777" w:rsidR="0032613D" w:rsidRDefault="0032613D" w:rsidP="0032613D">
      <w:pPr>
        <w:rPr>
          <w:sz w:val="28"/>
          <w:szCs w:val="28"/>
        </w:rPr>
      </w:pPr>
    </w:p>
    <w:p w14:paraId="771CAB7D" w14:textId="77777777" w:rsidR="0032613D" w:rsidRDefault="0032613D" w:rsidP="0032613D">
      <w:pPr>
        <w:rPr>
          <w:sz w:val="28"/>
          <w:szCs w:val="28"/>
        </w:rPr>
      </w:pPr>
    </w:p>
    <w:p w14:paraId="21EBC735" w14:textId="77777777" w:rsidR="0032613D" w:rsidRDefault="0032613D" w:rsidP="0032613D">
      <w:pPr>
        <w:rPr>
          <w:sz w:val="28"/>
          <w:szCs w:val="28"/>
        </w:rPr>
      </w:pPr>
    </w:p>
    <w:p w14:paraId="6D460C33" w14:textId="77777777" w:rsidR="0032613D" w:rsidRDefault="0032613D" w:rsidP="0032613D">
      <w:pPr>
        <w:rPr>
          <w:sz w:val="28"/>
          <w:szCs w:val="28"/>
        </w:rPr>
      </w:pPr>
    </w:p>
    <w:p w14:paraId="334EF976" w14:textId="77777777" w:rsidR="0032613D" w:rsidRDefault="0032613D" w:rsidP="0032613D">
      <w:pPr>
        <w:rPr>
          <w:szCs w:val="22"/>
        </w:rPr>
      </w:pPr>
    </w:p>
    <w:p w14:paraId="30C47943" w14:textId="77777777" w:rsidR="00EA7835" w:rsidRDefault="00EA7835" w:rsidP="006008B6">
      <w:pPr>
        <w:rPr>
          <w:rFonts w:ascii="Times New Roman" w:hAnsi="Times New Roman" w:cs="Times New Roman"/>
        </w:rPr>
      </w:pPr>
    </w:p>
    <w:p w14:paraId="422ED72F" w14:textId="77777777" w:rsidR="00051322" w:rsidRDefault="00051322" w:rsidP="006008B6">
      <w:pPr>
        <w:rPr>
          <w:rFonts w:ascii="Times New Roman" w:hAnsi="Times New Roman" w:cs="Times New Roman"/>
        </w:rPr>
      </w:pPr>
    </w:p>
    <w:p w14:paraId="5A927C5E" w14:textId="77777777" w:rsidR="00051322" w:rsidRDefault="00051322" w:rsidP="006008B6">
      <w:pPr>
        <w:rPr>
          <w:rFonts w:ascii="Times New Roman" w:hAnsi="Times New Roman" w:cs="Times New Roman"/>
        </w:rPr>
      </w:pPr>
    </w:p>
    <w:p w14:paraId="3B7A99C5" w14:textId="77777777" w:rsidR="00051322" w:rsidRDefault="00051322" w:rsidP="006008B6">
      <w:pPr>
        <w:rPr>
          <w:rFonts w:ascii="Times New Roman" w:hAnsi="Times New Roman" w:cs="Times New Roman"/>
        </w:rPr>
      </w:pPr>
    </w:p>
    <w:p w14:paraId="20F489E7" w14:textId="77777777" w:rsidR="00051322" w:rsidRDefault="00051322" w:rsidP="006008B6">
      <w:pPr>
        <w:rPr>
          <w:rFonts w:ascii="Times New Roman" w:hAnsi="Times New Roman" w:cs="Times New Roman"/>
        </w:rPr>
      </w:pPr>
    </w:p>
    <w:p w14:paraId="257C0411" w14:textId="77777777" w:rsidR="00051322" w:rsidRDefault="00051322" w:rsidP="006008B6">
      <w:pPr>
        <w:rPr>
          <w:rFonts w:ascii="Times New Roman" w:hAnsi="Times New Roman" w:cs="Times New Roman"/>
        </w:rPr>
      </w:pPr>
    </w:p>
    <w:p w14:paraId="12C96D04" w14:textId="77777777" w:rsidR="00051322" w:rsidRDefault="00051322" w:rsidP="006008B6">
      <w:pPr>
        <w:rPr>
          <w:rFonts w:ascii="Times New Roman" w:hAnsi="Times New Roman" w:cs="Times New Roman"/>
        </w:rPr>
      </w:pPr>
    </w:p>
    <w:sectPr w:rsidR="0005132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498F66" w14:textId="77777777" w:rsidR="005B7D4C" w:rsidRDefault="005B7D4C" w:rsidP="006C743D">
      <w:pPr>
        <w:spacing w:after="0" w:line="240" w:lineRule="auto"/>
      </w:pPr>
      <w:r>
        <w:separator/>
      </w:r>
    </w:p>
  </w:endnote>
  <w:endnote w:type="continuationSeparator" w:id="0">
    <w:p w14:paraId="195C8F1A" w14:textId="77777777" w:rsidR="005B7D4C" w:rsidRDefault="005B7D4C" w:rsidP="006C7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8005760"/>
      <w:docPartObj>
        <w:docPartGallery w:val="Page Numbers (Bottom of Page)"/>
        <w:docPartUnique/>
      </w:docPartObj>
    </w:sdtPr>
    <w:sdtEndPr>
      <w:rPr>
        <w:noProof/>
      </w:rPr>
    </w:sdtEndPr>
    <w:sdtContent>
      <w:p w14:paraId="417A5B2A" w14:textId="6C9B0B0D" w:rsidR="006C743D" w:rsidRDefault="006C74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8D3B24" w14:textId="77777777" w:rsidR="006C743D" w:rsidRDefault="006C7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2E597B" w14:textId="77777777" w:rsidR="005B7D4C" w:rsidRDefault="005B7D4C" w:rsidP="006C743D">
      <w:pPr>
        <w:spacing w:after="0" w:line="240" w:lineRule="auto"/>
      </w:pPr>
      <w:r>
        <w:separator/>
      </w:r>
    </w:p>
  </w:footnote>
  <w:footnote w:type="continuationSeparator" w:id="0">
    <w:p w14:paraId="6766B970" w14:textId="77777777" w:rsidR="005B7D4C" w:rsidRDefault="005B7D4C" w:rsidP="006C74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2EF"/>
    <w:rsid w:val="00025B21"/>
    <w:rsid w:val="00051322"/>
    <w:rsid w:val="00071F51"/>
    <w:rsid w:val="000C2679"/>
    <w:rsid w:val="00235D34"/>
    <w:rsid w:val="002C0605"/>
    <w:rsid w:val="002E5717"/>
    <w:rsid w:val="003016F9"/>
    <w:rsid w:val="00324B58"/>
    <w:rsid w:val="0032613D"/>
    <w:rsid w:val="003A6183"/>
    <w:rsid w:val="004167D2"/>
    <w:rsid w:val="00440661"/>
    <w:rsid w:val="00482B22"/>
    <w:rsid w:val="004B44D8"/>
    <w:rsid w:val="004C7F24"/>
    <w:rsid w:val="00545097"/>
    <w:rsid w:val="0055580E"/>
    <w:rsid w:val="00564D6D"/>
    <w:rsid w:val="0056562F"/>
    <w:rsid w:val="005A222E"/>
    <w:rsid w:val="005A6DA0"/>
    <w:rsid w:val="005B7D4C"/>
    <w:rsid w:val="005F1478"/>
    <w:rsid w:val="006008B6"/>
    <w:rsid w:val="00612BF0"/>
    <w:rsid w:val="00661B2F"/>
    <w:rsid w:val="0069566A"/>
    <w:rsid w:val="006C743D"/>
    <w:rsid w:val="00756385"/>
    <w:rsid w:val="007C6312"/>
    <w:rsid w:val="00856DF8"/>
    <w:rsid w:val="00862713"/>
    <w:rsid w:val="00866C2B"/>
    <w:rsid w:val="00877AAA"/>
    <w:rsid w:val="00892730"/>
    <w:rsid w:val="008C2286"/>
    <w:rsid w:val="008F4E5F"/>
    <w:rsid w:val="00985C41"/>
    <w:rsid w:val="009C1987"/>
    <w:rsid w:val="00A21AF1"/>
    <w:rsid w:val="00A22C02"/>
    <w:rsid w:val="00A32EF3"/>
    <w:rsid w:val="00A932EF"/>
    <w:rsid w:val="00AB5BFE"/>
    <w:rsid w:val="00AC5309"/>
    <w:rsid w:val="00AF0A30"/>
    <w:rsid w:val="00B03855"/>
    <w:rsid w:val="00CB21FD"/>
    <w:rsid w:val="00CC25ED"/>
    <w:rsid w:val="00D34923"/>
    <w:rsid w:val="00D9172A"/>
    <w:rsid w:val="00DB61DD"/>
    <w:rsid w:val="00EA7835"/>
    <w:rsid w:val="00F44F64"/>
    <w:rsid w:val="00F7506B"/>
    <w:rsid w:val="00F76076"/>
    <w:rsid w:val="00FA1C3F"/>
    <w:rsid w:val="00FB2724"/>
    <w:rsid w:val="00FC2448"/>
    <w:rsid w:val="00FC3C26"/>
    <w:rsid w:val="00FF4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E48A3B"/>
  <w15:chartTrackingRefBased/>
  <w15:docId w15:val="{F227DC9D-F495-4540-95B9-8A88AF75B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2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2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2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2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2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2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2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2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2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2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2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2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2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2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2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2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2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2EF"/>
    <w:rPr>
      <w:rFonts w:eastAsiaTheme="majorEastAsia" w:cstheme="majorBidi"/>
      <w:color w:val="272727" w:themeColor="text1" w:themeTint="D8"/>
    </w:rPr>
  </w:style>
  <w:style w:type="paragraph" w:styleId="Title">
    <w:name w:val="Title"/>
    <w:basedOn w:val="Normal"/>
    <w:next w:val="Normal"/>
    <w:link w:val="TitleChar"/>
    <w:uiPriority w:val="10"/>
    <w:qFormat/>
    <w:rsid w:val="00A932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2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2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2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2EF"/>
    <w:pPr>
      <w:spacing w:before="160"/>
      <w:jc w:val="center"/>
    </w:pPr>
    <w:rPr>
      <w:i/>
      <w:iCs/>
      <w:color w:val="404040" w:themeColor="text1" w:themeTint="BF"/>
    </w:rPr>
  </w:style>
  <w:style w:type="character" w:customStyle="1" w:styleId="QuoteChar">
    <w:name w:val="Quote Char"/>
    <w:basedOn w:val="DefaultParagraphFont"/>
    <w:link w:val="Quote"/>
    <w:uiPriority w:val="29"/>
    <w:rsid w:val="00A932EF"/>
    <w:rPr>
      <w:i/>
      <w:iCs/>
      <w:color w:val="404040" w:themeColor="text1" w:themeTint="BF"/>
    </w:rPr>
  </w:style>
  <w:style w:type="paragraph" w:styleId="ListParagraph">
    <w:name w:val="List Paragraph"/>
    <w:basedOn w:val="Normal"/>
    <w:uiPriority w:val="34"/>
    <w:qFormat/>
    <w:rsid w:val="00A932EF"/>
    <w:pPr>
      <w:ind w:left="720"/>
      <w:contextualSpacing/>
    </w:pPr>
  </w:style>
  <w:style w:type="character" w:styleId="IntenseEmphasis">
    <w:name w:val="Intense Emphasis"/>
    <w:basedOn w:val="DefaultParagraphFont"/>
    <w:uiPriority w:val="21"/>
    <w:qFormat/>
    <w:rsid w:val="00A932EF"/>
    <w:rPr>
      <w:i/>
      <w:iCs/>
      <w:color w:val="0F4761" w:themeColor="accent1" w:themeShade="BF"/>
    </w:rPr>
  </w:style>
  <w:style w:type="paragraph" w:styleId="IntenseQuote">
    <w:name w:val="Intense Quote"/>
    <w:basedOn w:val="Normal"/>
    <w:next w:val="Normal"/>
    <w:link w:val="IntenseQuoteChar"/>
    <w:uiPriority w:val="30"/>
    <w:qFormat/>
    <w:rsid w:val="00A932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2EF"/>
    <w:rPr>
      <w:i/>
      <w:iCs/>
      <w:color w:val="0F4761" w:themeColor="accent1" w:themeShade="BF"/>
    </w:rPr>
  </w:style>
  <w:style w:type="character" w:styleId="IntenseReference">
    <w:name w:val="Intense Reference"/>
    <w:basedOn w:val="DefaultParagraphFont"/>
    <w:uiPriority w:val="32"/>
    <w:qFormat/>
    <w:rsid w:val="00A932EF"/>
    <w:rPr>
      <w:b/>
      <w:bCs/>
      <w:smallCaps/>
      <w:color w:val="0F4761" w:themeColor="accent1" w:themeShade="BF"/>
      <w:spacing w:val="5"/>
    </w:rPr>
  </w:style>
  <w:style w:type="paragraph" w:styleId="Header">
    <w:name w:val="header"/>
    <w:basedOn w:val="Normal"/>
    <w:link w:val="HeaderChar"/>
    <w:uiPriority w:val="99"/>
    <w:unhideWhenUsed/>
    <w:rsid w:val="006C7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43D"/>
  </w:style>
  <w:style w:type="paragraph" w:styleId="Footer">
    <w:name w:val="footer"/>
    <w:basedOn w:val="Normal"/>
    <w:link w:val="FooterChar"/>
    <w:uiPriority w:val="99"/>
    <w:unhideWhenUsed/>
    <w:rsid w:val="006C7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4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554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411a49b-8184-492d-a663-673985984d2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2CBAA17361AD4DB798EC5946B346DD" ma:contentTypeVersion="15" ma:contentTypeDescription="Create a new document." ma:contentTypeScope="" ma:versionID="23f70399336ea7913778b7098006c2c8">
  <xsd:schema xmlns:xsd="http://www.w3.org/2001/XMLSchema" xmlns:xs="http://www.w3.org/2001/XMLSchema" xmlns:p="http://schemas.microsoft.com/office/2006/metadata/properties" xmlns:ns3="4411a49b-8184-492d-a663-673985984d2f" xmlns:ns4="3d82eb76-aee9-48cc-bac1-81e45ba154eb" targetNamespace="http://schemas.microsoft.com/office/2006/metadata/properties" ma:root="true" ma:fieldsID="0bfc55591587d521a5bfce6c419a0448" ns3:_="" ns4:_="">
    <xsd:import namespace="4411a49b-8184-492d-a663-673985984d2f"/>
    <xsd:import namespace="3d82eb76-aee9-48cc-bac1-81e45ba154eb"/>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3:MediaServiceOCR"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411a49b-8184-492d-a663-673985984d2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82eb76-aee9-48cc-bac1-81e45ba154eb"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6936AB-26FF-456D-AE46-6E98E6577205}">
  <ds:schemaRefs>
    <ds:schemaRef ds:uri="http://schemas.microsoft.com/office/2006/metadata/properties"/>
    <ds:schemaRef ds:uri="http://schemas.microsoft.com/office/infopath/2007/PartnerControls"/>
    <ds:schemaRef ds:uri="4411a49b-8184-492d-a663-673985984d2f"/>
  </ds:schemaRefs>
</ds:datastoreItem>
</file>

<file path=customXml/itemProps2.xml><?xml version="1.0" encoding="utf-8"?>
<ds:datastoreItem xmlns:ds="http://schemas.openxmlformats.org/officeDocument/2006/customXml" ds:itemID="{0AA3DFB8-E30E-41FB-873A-EC4FEAF1A62D}">
  <ds:schemaRefs>
    <ds:schemaRef ds:uri="http://schemas.microsoft.com/sharepoint/v3/contenttype/forms"/>
  </ds:schemaRefs>
</ds:datastoreItem>
</file>

<file path=customXml/itemProps3.xml><?xml version="1.0" encoding="utf-8"?>
<ds:datastoreItem xmlns:ds="http://schemas.openxmlformats.org/officeDocument/2006/customXml" ds:itemID="{3F4C9A05-84DA-4561-9A0A-CB893BE0D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411a49b-8184-492d-a663-673985984d2f"/>
    <ds:schemaRef ds:uri="3d82eb76-aee9-48cc-bac1-81e45ba154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2637</Words>
  <Characters>15689</Characters>
  <Application>Microsoft Office Word</Application>
  <DocSecurity>0</DocSecurity>
  <Lines>295</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dc:creator>
  <cp:keywords/>
  <dc:description/>
  <cp:lastModifiedBy>Krasimira Chausheva (2231627)</cp:lastModifiedBy>
  <cp:revision>3</cp:revision>
  <dcterms:created xsi:type="dcterms:W3CDTF">2024-05-01T18:25:00Z</dcterms:created>
  <dcterms:modified xsi:type="dcterms:W3CDTF">2024-05-01T18:34:00Z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32441f61-f310-4523-bf53-363f8bad0372</vt:lpwstr>
  </property>
  <property fmtid="{D5CDD505-2E9C-101B-9397-08002B2CF9AE}" pid="3" name="ContentTypeId">
    <vt:lpwstr>0x010100892CBAA17361AD4DB798EC5946B346DD</vt:lpwstr>
  </property>
</Properties>
</file>