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8156089"/>
        <w:docPartObj>
          <w:docPartGallery w:val="Cover Pages"/>
          <w:docPartUnique/>
        </w:docPartObj>
      </w:sdtPr>
      <w:sdtContent>
        <w:p w14:paraId="5CDD9C25" w14:textId="77777777" w:rsidR="00372C20" w:rsidRPr="00BF1981" w:rsidRDefault="00372C20" w:rsidP="00372C20">
          <w:pPr>
            <w:jc w:val="center"/>
            <w:rPr>
              <w:rFonts w:ascii="Arial" w:hAnsi="Arial" w:cs="Arial"/>
            </w:rPr>
          </w:pPr>
          <w:r w:rsidRPr="00BF1981">
            <w:rPr>
              <w:rFonts w:ascii="Arial" w:hAnsi="Arial" w:cs="Arial"/>
              <w:noProof/>
            </w:rPr>
            <w:drawing>
              <wp:inline distT="0" distB="0" distL="0" distR="0" wp14:anchorId="58BC9089" wp14:editId="5501CFBB">
                <wp:extent cx="2816225" cy="900113"/>
                <wp:effectExtent l="0" t="0" r="3175"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5417" cy="903051"/>
                        </a:xfrm>
                        <a:prstGeom prst="rect">
                          <a:avLst/>
                        </a:prstGeom>
                        <a:noFill/>
                        <a:ln>
                          <a:noFill/>
                        </a:ln>
                      </pic:spPr>
                    </pic:pic>
                  </a:graphicData>
                </a:graphic>
              </wp:inline>
            </w:drawing>
          </w:r>
        </w:p>
        <w:p w14:paraId="3CBC109C" w14:textId="77777777" w:rsidR="00372C20" w:rsidRPr="00BF1981" w:rsidRDefault="00372C20" w:rsidP="00372C20">
          <w:pPr>
            <w:jc w:val="center"/>
            <w:rPr>
              <w:rFonts w:ascii="Arial" w:hAnsi="Arial" w:cs="Arial"/>
              <w:sz w:val="34"/>
              <w:szCs w:val="34"/>
            </w:rPr>
          </w:pPr>
        </w:p>
        <w:p w14:paraId="15D5F575" w14:textId="77777777" w:rsidR="00372C20" w:rsidRPr="00BF1981" w:rsidRDefault="00372C20" w:rsidP="00372C20">
          <w:pPr>
            <w:spacing w:line="240" w:lineRule="auto"/>
            <w:jc w:val="center"/>
            <w:rPr>
              <w:rFonts w:ascii="Arial" w:hAnsi="Arial" w:cs="Arial"/>
              <w:sz w:val="38"/>
              <w:szCs w:val="38"/>
            </w:rPr>
          </w:pPr>
          <w:r w:rsidRPr="00BF1981">
            <w:rPr>
              <w:rFonts w:ascii="Arial" w:hAnsi="Arial" w:cs="Arial"/>
              <w:sz w:val="38"/>
              <w:szCs w:val="38"/>
            </w:rPr>
            <w:t>Master of Business Administration</w:t>
          </w:r>
        </w:p>
        <w:p w14:paraId="4C36599A" w14:textId="77777777" w:rsidR="00372C20" w:rsidRPr="00BF1981" w:rsidRDefault="00372C20" w:rsidP="00372C20">
          <w:pPr>
            <w:spacing w:line="240" w:lineRule="auto"/>
            <w:jc w:val="center"/>
            <w:rPr>
              <w:rFonts w:ascii="Arial" w:hAnsi="Arial" w:cs="Arial"/>
              <w:sz w:val="32"/>
              <w:szCs w:val="32"/>
            </w:rPr>
          </w:pPr>
          <w:r w:rsidRPr="00BF1981">
            <w:rPr>
              <w:rFonts w:ascii="Arial" w:hAnsi="Arial" w:cs="Arial"/>
              <w:sz w:val="32"/>
              <w:szCs w:val="32"/>
            </w:rPr>
            <w:t>International Business pathway</w:t>
          </w:r>
        </w:p>
        <w:p w14:paraId="5C184974" w14:textId="77777777" w:rsidR="00372C20" w:rsidRPr="00BF1981" w:rsidRDefault="00372C20" w:rsidP="00372C20">
          <w:pPr>
            <w:jc w:val="center"/>
            <w:rPr>
              <w:rFonts w:ascii="Arial" w:hAnsi="Arial" w:cs="Arial"/>
              <w:sz w:val="28"/>
              <w:szCs w:val="28"/>
            </w:rPr>
          </w:pPr>
        </w:p>
        <w:p w14:paraId="25A131F6" w14:textId="03401608" w:rsidR="00372C20" w:rsidRPr="00372C20" w:rsidRDefault="00372C20" w:rsidP="00372C20">
          <w:pPr>
            <w:jc w:val="center"/>
            <w:rPr>
              <w:rFonts w:ascii="Arial" w:hAnsi="Arial" w:cs="Arial"/>
              <w:b/>
              <w:bCs/>
              <w:color w:val="EE0000"/>
              <w:sz w:val="32"/>
              <w:szCs w:val="32"/>
              <w:lang w:val="en-IN"/>
            </w:rPr>
          </w:pPr>
          <w:r w:rsidRPr="00372C20">
            <w:rPr>
              <w:rFonts w:ascii="Arial" w:hAnsi="Arial" w:cs="Arial"/>
              <w:b/>
              <w:bCs/>
              <w:color w:val="EE0000"/>
              <w:sz w:val="32"/>
              <w:szCs w:val="32"/>
              <w:lang w:val="en-IN"/>
            </w:rPr>
            <w:t>Toyota Circular Battery+: A Sustainable EV Battery Refurbishment, Second-Life Energy Storage and Closed-Loop Recycling Ecosystem</w:t>
          </w:r>
        </w:p>
        <w:p w14:paraId="34067393" w14:textId="485C83F2" w:rsidR="00372C20" w:rsidRPr="00BF1981" w:rsidRDefault="00372C20" w:rsidP="00372C20">
          <w:pPr>
            <w:jc w:val="center"/>
            <w:rPr>
              <w:rFonts w:ascii="Arial" w:hAnsi="Arial" w:cs="Arial"/>
              <w:color w:val="EE0000"/>
              <w:sz w:val="28"/>
              <w:szCs w:val="28"/>
            </w:rPr>
          </w:pPr>
          <w:r w:rsidRPr="00BF1981">
            <w:rPr>
              <w:rFonts w:ascii="Arial" w:hAnsi="Arial" w:cs="Arial"/>
              <w:sz w:val="28"/>
              <w:szCs w:val="28"/>
            </w:rPr>
            <w:t xml:space="preserve">Assessment </w:t>
          </w:r>
          <w:r>
            <w:rPr>
              <w:rFonts w:ascii="Arial" w:hAnsi="Arial" w:cs="Arial"/>
              <w:color w:val="EE0000"/>
              <w:sz w:val="28"/>
              <w:szCs w:val="28"/>
            </w:rPr>
            <w:t>2</w:t>
          </w:r>
          <w:r w:rsidRPr="00BF1981">
            <w:rPr>
              <w:rFonts w:ascii="Arial" w:hAnsi="Arial" w:cs="Arial"/>
              <w:color w:val="EE0000"/>
              <w:sz w:val="28"/>
              <w:szCs w:val="28"/>
            </w:rPr>
            <w:t>: Individual report</w:t>
          </w:r>
        </w:p>
        <w:p w14:paraId="768C93A2" w14:textId="77777777" w:rsidR="00372C20" w:rsidRPr="00BF1981" w:rsidRDefault="00372C20" w:rsidP="00372C20">
          <w:pPr>
            <w:jc w:val="center"/>
            <w:rPr>
              <w:rFonts w:ascii="Arial" w:hAnsi="Arial" w:cs="Arial"/>
              <w:sz w:val="28"/>
              <w:szCs w:val="28"/>
            </w:rPr>
          </w:pPr>
        </w:p>
        <w:p w14:paraId="0A08A7C3" w14:textId="286117E6" w:rsidR="00372C20" w:rsidRPr="0055749F" w:rsidRDefault="00372C20" w:rsidP="00372C20">
          <w:pPr>
            <w:rPr>
              <w:rFonts w:ascii="Arial" w:hAnsi="Arial" w:cs="Arial"/>
              <w:b/>
              <w:bCs/>
              <w:sz w:val="28"/>
              <w:szCs w:val="28"/>
              <w:lang w:val="en-IN"/>
            </w:rPr>
          </w:pPr>
          <w:r w:rsidRPr="00BF1981">
            <w:rPr>
              <w:rFonts w:ascii="Arial" w:hAnsi="Arial" w:cs="Arial"/>
              <w:b/>
              <w:bCs/>
              <w:sz w:val="28"/>
              <w:szCs w:val="28"/>
            </w:rPr>
            <w:t xml:space="preserve">Module name: </w:t>
          </w:r>
          <w:r w:rsidR="0055749F" w:rsidRPr="0055749F">
            <w:rPr>
              <w:rFonts w:ascii="Arial" w:hAnsi="Arial" w:cs="Arial"/>
              <w:b/>
              <w:bCs/>
              <w:sz w:val="28"/>
              <w:szCs w:val="28"/>
              <w:lang w:val="en-IN"/>
            </w:rPr>
            <w:t>Marketing Management</w:t>
          </w:r>
        </w:p>
        <w:p w14:paraId="0918ABB3" w14:textId="3BBBADEB" w:rsidR="00372C20" w:rsidRPr="0055749F" w:rsidRDefault="00372C20" w:rsidP="00372C20">
          <w:pPr>
            <w:rPr>
              <w:rFonts w:ascii="Arial" w:hAnsi="Arial" w:cs="Arial"/>
              <w:b/>
              <w:bCs/>
              <w:sz w:val="28"/>
              <w:szCs w:val="28"/>
              <w:lang w:val="en-IN"/>
            </w:rPr>
          </w:pPr>
          <w:r w:rsidRPr="00BF1981">
            <w:rPr>
              <w:rFonts w:ascii="Arial" w:hAnsi="Arial" w:cs="Arial"/>
              <w:b/>
              <w:bCs/>
              <w:sz w:val="28"/>
              <w:szCs w:val="28"/>
            </w:rPr>
            <w:t>Module code</w:t>
          </w:r>
          <w:r w:rsidRPr="00BF1981">
            <w:rPr>
              <w:rFonts w:ascii="Arial" w:hAnsi="Arial" w:cs="Arial"/>
              <w:sz w:val="28"/>
              <w:szCs w:val="28"/>
            </w:rPr>
            <w:t xml:space="preserve">: </w:t>
          </w:r>
          <w:r w:rsidR="0055749F" w:rsidRPr="0055749F">
            <w:rPr>
              <w:rFonts w:ascii="Arial" w:hAnsi="Arial" w:cs="Arial"/>
              <w:b/>
              <w:bCs/>
              <w:sz w:val="28"/>
              <w:szCs w:val="28"/>
              <w:lang w:val="en-IN"/>
            </w:rPr>
            <w:t>LCMB7024</w:t>
          </w:r>
        </w:p>
        <w:p w14:paraId="4719AABB" w14:textId="77777777" w:rsidR="00372C20" w:rsidRPr="00BF1981" w:rsidRDefault="00372C20" w:rsidP="00372C20">
          <w:pPr>
            <w:rPr>
              <w:rFonts w:ascii="Arial" w:hAnsi="Arial" w:cs="Arial"/>
              <w:sz w:val="28"/>
              <w:szCs w:val="28"/>
            </w:rPr>
          </w:pPr>
        </w:p>
        <w:p w14:paraId="3EB7AF56" w14:textId="77777777" w:rsidR="00372C20" w:rsidRPr="00BF1981" w:rsidRDefault="00372C20" w:rsidP="00372C20">
          <w:pPr>
            <w:rPr>
              <w:rFonts w:ascii="Arial" w:hAnsi="Arial" w:cs="Arial"/>
              <w:sz w:val="28"/>
              <w:szCs w:val="28"/>
            </w:rPr>
          </w:pPr>
          <w:r w:rsidRPr="00BF1981">
            <w:rPr>
              <w:rFonts w:ascii="Arial" w:hAnsi="Arial" w:cs="Arial"/>
              <w:b/>
              <w:bCs/>
              <w:sz w:val="28"/>
              <w:szCs w:val="28"/>
            </w:rPr>
            <w:t>Student name</w:t>
          </w:r>
          <w:r w:rsidRPr="00BF1981">
            <w:rPr>
              <w:rFonts w:ascii="Arial" w:hAnsi="Arial" w:cs="Arial"/>
              <w:sz w:val="28"/>
              <w:szCs w:val="28"/>
            </w:rPr>
            <w:t>: Chahil Maheshbhai Italiya</w:t>
          </w:r>
        </w:p>
        <w:p w14:paraId="27CE4332" w14:textId="77777777" w:rsidR="00372C20" w:rsidRPr="00BF1981" w:rsidRDefault="00372C20" w:rsidP="00372C20">
          <w:pPr>
            <w:rPr>
              <w:rFonts w:ascii="Arial" w:hAnsi="Arial" w:cs="Arial"/>
              <w:sz w:val="28"/>
              <w:szCs w:val="28"/>
            </w:rPr>
          </w:pPr>
          <w:r w:rsidRPr="00BF1981">
            <w:rPr>
              <w:rFonts w:ascii="Arial" w:hAnsi="Arial" w:cs="Arial"/>
              <w:b/>
              <w:bCs/>
              <w:sz w:val="28"/>
              <w:szCs w:val="28"/>
            </w:rPr>
            <w:t>Student ID</w:t>
          </w:r>
          <w:r w:rsidRPr="00BF1981">
            <w:rPr>
              <w:rFonts w:ascii="Arial" w:hAnsi="Arial" w:cs="Arial"/>
              <w:sz w:val="28"/>
              <w:szCs w:val="28"/>
            </w:rPr>
            <w:t>: 2535771</w:t>
          </w:r>
        </w:p>
        <w:p w14:paraId="2EF49D8C" w14:textId="77777777" w:rsidR="00372C20" w:rsidRPr="00BF1981" w:rsidRDefault="00372C20" w:rsidP="00372C20">
          <w:pPr>
            <w:rPr>
              <w:rFonts w:ascii="Arial" w:hAnsi="Arial" w:cs="Arial"/>
              <w:sz w:val="28"/>
              <w:szCs w:val="28"/>
            </w:rPr>
          </w:pPr>
        </w:p>
        <w:p w14:paraId="794CC92A" w14:textId="4B5676DA" w:rsidR="00372C20" w:rsidRPr="00BF1981" w:rsidRDefault="00372C20" w:rsidP="00372C20">
          <w:pPr>
            <w:rPr>
              <w:rFonts w:ascii="Arial" w:hAnsi="Arial" w:cs="Arial"/>
              <w:b/>
              <w:bCs/>
              <w:sz w:val="36"/>
              <w:szCs w:val="36"/>
            </w:rPr>
          </w:pPr>
          <w:r w:rsidRPr="00BF1981">
            <w:rPr>
              <w:rFonts w:ascii="Arial" w:hAnsi="Arial" w:cs="Arial"/>
              <w:b/>
              <w:bCs/>
              <w:sz w:val="28"/>
              <w:szCs w:val="28"/>
            </w:rPr>
            <w:t>Word count</w:t>
          </w:r>
          <w:r w:rsidRPr="00BF1981">
            <w:rPr>
              <w:rFonts w:ascii="Arial" w:hAnsi="Arial" w:cs="Arial"/>
              <w:sz w:val="28"/>
              <w:szCs w:val="28"/>
            </w:rPr>
            <w:t xml:space="preserve">: </w:t>
          </w:r>
          <w:r w:rsidRPr="00BF1981">
            <w:rPr>
              <w:rFonts w:ascii="Arial" w:hAnsi="Arial" w:cs="Arial"/>
              <w:sz w:val="24"/>
              <w:szCs w:val="24"/>
            </w:rPr>
            <w:t>Approx.</w:t>
          </w:r>
          <w:r w:rsidR="0055749F">
            <w:rPr>
              <w:rFonts w:ascii="Arial" w:hAnsi="Arial" w:cs="Arial"/>
              <w:sz w:val="24"/>
              <w:szCs w:val="24"/>
            </w:rPr>
            <w:t>2500</w:t>
          </w:r>
        </w:p>
        <w:p w14:paraId="11CE5123" w14:textId="77777777" w:rsidR="00372C20" w:rsidRPr="00BF1981" w:rsidRDefault="00372C20" w:rsidP="00372C20">
          <w:pPr>
            <w:rPr>
              <w:rFonts w:ascii="Arial" w:hAnsi="Arial" w:cs="Arial"/>
              <w:sz w:val="28"/>
              <w:szCs w:val="28"/>
            </w:rPr>
          </w:pPr>
          <w:r w:rsidRPr="00BF1981">
            <w:rPr>
              <w:rFonts w:ascii="Arial" w:hAnsi="Arial" w:cs="Arial"/>
              <w:b/>
              <w:bCs/>
              <w:sz w:val="28"/>
              <w:szCs w:val="28"/>
            </w:rPr>
            <w:t>Submission date</w:t>
          </w:r>
          <w:r w:rsidRPr="00BF1981">
            <w:rPr>
              <w:rFonts w:ascii="Arial" w:hAnsi="Arial" w:cs="Arial"/>
              <w:sz w:val="28"/>
              <w:szCs w:val="28"/>
            </w:rPr>
            <w:t>: 13</w:t>
          </w:r>
          <w:r w:rsidRPr="00BF1981">
            <w:rPr>
              <w:rFonts w:ascii="Arial" w:hAnsi="Arial" w:cs="Arial"/>
              <w:sz w:val="28"/>
              <w:szCs w:val="28"/>
              <w:vertAlign w:val="superscript"/>
            </w:rPr>
            <w:t>th</w:t>
          </w:r>
          <w:r w:rsidRPr="00BF1981">
            <w:rPr>
              <w:rFonts w:ascii="Arial" w:hAnsi="Arial" w:cs="Arial"/>
              <w:sz w:val="28"/>
              <w:szCs w:val="28"/>
            </w:rPr>
            <w:t xml:space="preserve"> Aug 2026</w:t>
          </w:r>
        </w:p>
        <w:p w14:paraId="5E1EE320" w14:textId="330B6F60" w:rsidR="00A409A3" w:rsidRDefault="00A409A3">
          <w:r>
            <w:br w:type="page"/>
          </w:r>
        </w:p>
        <w:sdt>
          <w:sdtPr>
            <w:rPr>
              <w:rFonts w:asciiTheme="minorHAnsi" w:eastAsiaTheme="minorHAnsi" w:hAnsiTheme="minorHAnsi" w:cstheme="minorBidi"/>
              <w:color w:val="auto"/>
              <w:kern w:val="2"/>
              <w:sz w:val="22"/>
              <w:szCs w:val="22"/>
              <w:lang w:val="en-GB"/>
              <w14:ligatures w14:val="standardContextual"/>
            </w:rPr>
            <w:id w:val="517121769"/>
            <w:docPartObj>
              <w:docPartGallery w:val="Table of Contents"/>
              <w:docPartUnique/>
            </w:docPartObj>
          </w:sdtPr>
          <w:sdtEndPr>
            <w:rPr>
              <w:b/>
              <w:bCs/>
              <w:noProof/>
            </w:rPr>
          </w:sdtEndPr>
          <w:sdtContent>
            <w:p w14:paraId="7A29EB3A" w14:textId="4CA274D7" w:rsidR="00A409A3" w:rsidRDefault="00A409A3">
              <w:pPr>
                <w:pStyle w:val="TOCHeading"/>
              </w:pPr>
              <w:r>
                <w:t>Table of Contents</w:t>
              </w:r>
            </w:p>
            <w:p w14:paraId="764D59C0" w14:textId="0237E091" w:rsidR="006D27F6" w:rsidRDefault="00A409A3">
              <w:pPr>
                <w:pStyle w:val="TOC1"/>
                <w:tabs>
                  <w:tab w:val="right" w:leader="dot" w:pos="9016"/>
                </w:tabs>
                <w:rPr>
                  <w:rFonts w:eastAsiaTheme="minorEastAsia"/>
                  <w:noProof/>
                  <w:sz w:val="24"/>
                  <w:szCs w:val="24"/>
                  <w:lang w:val="en-IN" w:eastAsia="en-IN"/>
                </w:rPr>
              </w:pPr>
              <w:r>
                <w:fldChar w:fldCharType="begin"/>
              </w:r>
              <w:r>
                <w:instrText xml:space="preserve"> TOC \o "1-3" \h \z \u </w:instrText>
              </w:r>
              <w:r>
                <w:fldChar w:fldCharType="separate"/>
              </w:r>
              <w:hyperlink w:anchor="_Toc236583248" w:history="1">
                <w:r w:rsidR="006D27F6" w:rsidRPr="005925C6">
                  <w:rPr>
                    <w:rStyle w:val="Hyperlink"/>
                    <w:rFonts w:ascii="Arial" w:hAnsi="Arial" w:cs="Arial"/>
                    <w:b/>
                    <w:bCs/>
                    <w:noProof/>
                    <w:lang w:val="en-IN"/>
                  </w:rPr>
                  <w:t>Element 2</w:t>
                </w:r>
                <w:r w:rsidR="006D27F6">
                  <w:rPr>
                    <w:noProof/>
                    <w:webHidden/>
                  </w:rPr>
                  <w:tab/>
                </w:r>
                <w:r w:rsidR="006D27F6">
                  <w:rPr>
                    <w:noProof/>
                    <w:webHidden/>
                  </w:rPr>
                  <w:fldChar w:fldCharType="begin"/>
                </w:r>
                <w:r w:rsidR="006D27F6">
                  <w:rPr>
                    <w:noProof/>
                    <w:webHidden/>
                  </w:rPr>
                  <w:instrText xml:space="preserve"> PAGEREF _Toc236583248 \h </w:instrText>
                </w:r>
                <w:r w:rsidR="006D27F6">
                  <w:rPr>
                    <w:noProof/>
                    <w:webHidden/>
                  </w:rPr>
                </w:r>
                <w:r w:rsidR="006D27F6">
                  <w:rPr>
                    <w:noProof/>
                    <w:webHidden/>
                  </w:rPr>
                  <w:fldChar w:fldCharType="separate"/>
                </w:r>
                <w:r w:rsidR="006D27F6">
                  <w:rPr>
                    <w:noProof/>
                    <w:webHidden/>
                  </w:rPr>
                  <w:t>2</w:t>
                </w:r>
                <w:r w:rsidR="006D27F6">
                  <w:rPr>
                    <w:noProof/>
                    <w:webHidden/>
                  </w:rPr>
                  <w:fldChar w:fldCharType="end"/>
                </w:r>
              </w:hyperlink>
            </w:p>
            <w:p w14:paraId="1079097F" w14:textId="2E811E5D" w:rsidR="006D27F6" w:rsidRDefault="006D27F6">
              <w:pPr>
                <w:pStyle w:val="TOC2"/>
                <w:tabs>
                  <w:tab w:val="right" w:leader="dot" w:pos="9016"/>
                </w:tabs>
                <w:rPr>
                  <w:rFonts w:eastAsiaTheme="minorEastAsia"/>
                  <w:noProof/>
                  <w:sz w:val="24"/>
                  <w:szCs w:val="24"/>
                  <w:lang w:val="en-IN" w:eastAsia="en-IN"/>
                </w:rPr>
              </w:pPr>
              <w:hyperlink w:anchor="_Toc236583249" w:history="1">
                <w:r w:rsidRPr="005925C6">
                  <w:rPr>
                    <w:rStyle w:val="Hyperlink"/>
                    <w:rFonts w:ascii="Arial" w:hAnsi="Arial" w:cs="Arial"/>
                    <w:b/>
                    <w:bCs/>
                    <w:noProof/>
                    <w:lang w:val="en-IN"/>
                  </w:rPr>
                  <w:t>2.1 Geographic Segmentation</w:t>
                </w:r>
                <w:r>
                  <w:rPr>
                    <w:noProof/>
                    <w:webHidden/>
                  </w:rPr>
                  <w:tab/>
                </w:r>
                <w:r>
                  <w:rPr>
                    <w:noProof/>
                    <w:webHidden/>
                  </w:rPr>
                  <w:fldChar w:fldCharType="begin"/>
                </w:r>
                <w:r>
                  <w:rPr>
                    <w:noProof/>
                    <w:webHidden/>
                  </w:rPr>
                  <w:instrText xml:space="preserve"> PAGEREF _Toc236583249 \h </w:instrText>
                </w:r>
                <w:r>
                  <w:rPr>
                    <w:noProof/>
                    <w:webHidden/>
                  </w:rPr>
                </w:r>
                <w:r>
                  <w:rPr>
                    <w:noProof/>
                    <w:webHidden/>
                  </w:rPr>
                  <w:fldChar w:fldCharType="separate"/>
                </w:r>
                <w:r>
                  <w:rPr>
                    <w:noProof/>
                    <w:webHidden/>
                  </w:rPr>
                  <w:t>2</w:t>
                </w:r>
                <w:r>
                  <w:rPr>
                    <w:noProof/>
                    <w:webHidden/>
                  </w:rPr>
                  <w:fldChar w:fldCharType="end"/>
                </w:r>
              </w:hyperlink>
            </w:p>
            <w:p w14:paraId="0E6E1299" w14:textId="25E342CF" w:rsidR="006D27F6" w:rsidRDefault="006D27F6">
              <w:pPr>
                <w:pStyle w:val="TOC2"/>
                <w:tabs>
                  <w:tab w:val="right" w:leader="dot" w:pos="9016"/>
                </w:tabs>
                <w:rPr>
                  <w:rFonts w:eastAsiaTheme="minorEastAsia"/>
                  <w:noProof/>
                  <w:sz w:val="24"/>
                  <w:szCs w:val="24"/>
                  <w:lang w:val="en-IN" w:eastAsia="en-IN"/>
                </w:rPr>
              </w:pPr>
              <w:hyperlink w:anchor="_Toc236583250" w:history="1">
                <w:r w:rsidRPr="005925C6">
                  <w:rPr>
                    <w:rStyle w:val="Hyperlink"/>
                    <w:rFonts w:ascii="Arial" w:hAnsi="Arial" w:cs="Arial"/>
                    <w:b/>
                    <w:bCs/>
                    <w:noProof/>
                    <w:lang w:val="en-IN"/>
                  </w:rPr>
                  <w:t>2.2 Demographic Segmentation</w:t>
                </w:r>
                <w:r>
                  <w:rPr>
                    <w:noProof/>
                    <w:webHidden/>
                  </w:rPr>
                  <w:tab/>
                </w:r>
                <w:r>
                  <w:rPr>
                    <w:noProof/>
                    <w:webHidden/>
                  </w:rPr>
                  <w:fldChar w:fldCharType="begin"/>
                </w:r>
                <w:r>
                  <w:rPr>
                    <w:noProof/>
                    <w:webHidden/>
                  </w:rPr>
                  <w:instrText xml:space="preserve"> PAGEREF _Toc236583250 \h </w:instrText>
                </w:r>
                <w:r>
                  <w:rPr>
                    <w:noProof/>
                    <w:webHidden/>
                  </w:rPr>
                </w:r>
                <w:r>
                  <w:rPr>
                    <w:noProof/>
                    <w:webHidden/>
                  </w:rPr>
                  <w:fldChar w:fldCharType="separate"/>
                </w:r>
                <w:r>
                  <w:rPr>
                    <w:noProof/>
                    <w:webHidden/>
                  </w:rPr>
                  <w:t>3</w:t>
                </w:r>
                <w:r>
                  <w:rPr>
                    <w:noProof/>
                    <w:webHidden/>
                  </w:rPr>
                  <w:fldChar w:fldCharType="end"/>
                </w:r>
              </w:hyperlink>
            </w:p>
            <w:p w14:paraId="2FCC39AC" w14:textId="3E55F371" w:rsidR="006D27F6" w:rsidRDefault="006D27F6">
              <w:pPr>
                <w:pStyle w:val="TOC2"/>
                <w:tabs>
                  <w:tab w:val="right" w:leader="dot" w:pos="9016"/>
                </w:tabs>
                <w:rPr>
                  <w:rFonts w:eastAsiaTheme="minorEastAsia"/>
                  <w:noProof/>
                  <w:sz w:val="24"/>
                  <w:szCs w:val="24"/>
                  <w:lang w:val="en-IN" w:eastAsia="en-IN"/>
                </w:rPr>
              </w:pPr>
              <w:hyperlink w:anchor="_Toc236583251" w:history="1">
                <w:r w:rsidRPr="005925C6">
                  <w:rPr>
                    <w:rStyle w:val="Hyperlink"/>
                    <w:rFonts w:ascii="Arial" w:hAnsi="Arial" w:cs="Arial"/>
                    <w:b/>
                    <w:bCs/>
                    <w:noProof/>
                    <w:lang w:val="en-IN"/>
                  </w:rPr>
                  <w:t>2.3 Psychographic Segmentation</w:t>
                </w:r>
                <w:r>
                  <w:rPr>
                    <w:noProof/>
                    <w:webHidden/>
                  </w:rPr>
                  <w:tab/>
                </w:r>
                <w:r>
                  <w:rPr>
                    <w:noProof/>
                    <w:webHidden/>
                  </w:rPr>
                  <w:fldChar w:fldCharType="begin"/>
                </w:r>
                <w:r>
                  <w:rPr>
                    <w:noProof/>
                    <w:webHidden/>
                  </w:rPr>
                  <w:instrText xml:space="preserve"> PAGEREF _Toc236583251 \h </w:instrText>
                </w:r>
                <w:r>
                  <w:rPr>
                    <w:noProof/>
                    <w:webHidden/>
                  </w:rPr>
                </w:r>
                <w:r>
                  <w:rPr>
                    <w:noProof/>
                    <w:webHidden/>
                  </w:rPr>
                  <w:fldChar w:fldCharType="separate"/>
                </w:r>
                <w:r>
                  <w:rPr>
                    <w:noProof/>
                    <w:webHidden/>
                  </w:rPr>
                  <w:t>4</w:t>
                </w:r>
                <w:r>
                  <w:rPr>
                    <w:noProof/>
                    <w:webHidden/>
                  </w:rPr>
                  <w:fldChar w:fldCharType="end"/>
                </w:r>
              </w:hyperlink>
            </w:p>
            <w:p w14:paraId="48CD36E7" w14:textId="1093F208" w:rsidR="006D27F6" w:rsidRDefault="006D27F6">
              <w:pPr>
                <w:pStyle w:val="TOC2"/>
                <w:tabs>
                  <w:tab w:val="right" w:leader="dot" w:pos="9016"/>
                </w:tabs>
                <w:rPr>
                  <w:rFonts w:eastAsiaTheme="minorEastAsia"/>
                  <w:noProof/>
                  <w:sz w:val="24"/>
                  <w:szCs w:val="24"/>
                  <w:lang w:val="en-IN" w:eastAsia="en-IN"/>
                </w:rPr>
              </w:pPr>
              <w:hyperlink w:anchor="_Toc236583252" w:history="1">
                <w:r w:rsidRPr="005925C6">
                  <w:rPr>
                    <w:rStyle w:val="Hyperlink"/>
                    <w:rFonts w:ascii="Arial" w:hAnsi="Arial" w:cs="Arial"/>
                    <w:b/>
                    <w:bCs/>
                    <w:noProof/>
                    <w:lang w:val="en-IN"/>
                  </w:rPr>
                  <w:t>2.4 Behavioural Segmentation</w:t>
                </w:r>
                <w:r>
                  <w:rPr>
                    <w:noProof/>
                    <w:webHidden/>
                  </w:rPr>
                  <w:tab/>
                </w:r>
                <w:r>
                  <w:rPr>
                    <w:noProof/>
                    <w:webHidden/>
                  </w:rPr>
                  <w:fldChar w:fldCharType="begin"/>
                </w:r>
                <w:r>
                  <w:rPr>
                    <w:noProof/>
                    <w:webHidden/>
                  </w:rPr>
                  <w:instrText xml:space="preserve"> PAGEREF _Toc236583252 \h </w:instrText>
                </w:r>
                <w:r>
                  <w:rPr>
                    <w:noProof/>
                    <w:webHidden/>
                  </w:rPr>
                </w:r>
                <w:r>
                  <w:rPr>
                    <w:noProof/>
                    <w:webHidden/>
                  </w:rPr>
                  <w:fldChar w:fldCharType="separate"/>
                </w:r>
                <w:r>
                  <w:rPr>
                    <w:noProof/>
                    <w:webHidden/>
                  </w:rPr>
                  <w:t>5</w:t>
                </w:r>
                <w:r>
                  <w:rPr>
                    <w:noProof/>
                    <w:webHidden/>
                  </w:rPr>
                  <w:fldChar w:fldCharType="end"/>
                </w:r>
              </w:hyperlink>
            </w:p>
            <w:p w14:paraId="03C01756" w14:textId="4EF91BEB" w:rsidR="006D27F6" w:rsidRDefault="006D27F6">
              <w:pPr>
                <w:pStyle w:val="TOC2"/>
                <w:tabs>
                  <w:tab w:val="right" w:leader="dot" w:pos="9016"/>
                </w:tabs>
                <w:rPr>
                  <w:rFonts w:eastAsiaTheme="minorEastAsia"/>
                  <w:noProof/>
                  <w:sz w:val="24"/>
                  <w:szCs w:val="24"/>
                  <w:lang w:val="en-IN" w:eastAsia="en-IN"/>
                </w:rPr>
              </w:pPr>
              <w:hyperlink w:anchor="_Toc236583253" w:history="1">
                <w:r w:rsidRPr="005925C6">
                  <w:rPr>
                    <w:rStyle w:val="Hyperlink"/>
                    <w:rFonts w:ascii="Arial" w:hAnsi="Arial" w:cs="Arial"/>
                    <w:b/>
                    <w:bCs/>
                    <w:noProof/>
                    <w:lang w:val="en-IN"/>
                  </w:rPr>
                  <w:t>2.5 Target Audience</w:t>
                </w:r>
                <w:r>
                  <w:rPr>
                    <w:noProof/>
                    <w:webHidden/>
                  </w:rPr>
                  <w:tab/>
                </w:r>
                <w:r>
                  <w:rPr>
                    <w:noProof/>
                    <w:webHidden/>
                  </w:rPr>
                  <w:fldChar w:fldCharType="begin"/>
                </w:r>
                <w:r>
                  <w:rPr>
                    <w:noProof/>
                    <w:webHidden/>
                  </w:rPr>
                  <w:instrText xml:space="preserve"> PAGEREF _Toc236583253 \h </w:instrText>
                </w:r>
                <w:r>
                  <w:rPr>
                    <w:noProof/>
                    <w:webHidden/>
                  </w:rPr>
                </w:r>
                <w:r>
                  <w:rPr>
                    <w:noProof/>
                    <w:webHidden/>
                  </w:rPr>
                  <w:fldChar w:fldCharType="separate"/>
                </w:r>
                <w:r>
                  <w:rPr>
                    <w:noProof/>
                    <w:webHidden/>
                  </w:rPr>
                  <w:t>5</w:t>
                </w:r>
                <w:r>
                  <w:rPr>
                    <w:noProof/>
                    <w:webHidden/>
                  </w:rPr>
                  <w:fldChar w:fldCharType="end"/>
                </w:r>
              </w:hyperlink>
            </w:p>
            <w:p w14:paraId="7B4BE26E" w14:textId="2D0C4F80" w:rsidR="006D27F6" w:rsidRDefault="006D27F6">
              <w:pPr>
                <w:pStyle w:val="TOC2"/>
                <w:tabs>
                  <w:tab w:val="right" w:leader="dot" w:pos="9016"/>
                </w:tabs>
                <w:rPr>
                  <w:rFonts w:eastAsiaTheme="minorEastAsia"/>
                  <w:noProof/>
                  <w:sz w:val="24"/>
                  <w:szCs w:val="24"/>
                  <w:lang w:val="en-IN" w:eastAsia="en-IN"/>
                </w:rPr>
              </w:pPr>
              <w:hyperlink w:anchor="_Toc236583254" w:history="1">
                <w:r w:rsidRPr="005925C6">
                  <w:rPr>
                    <w:rStyle w:val="Hyperlink"/>
                    <w:rFonts w:ascii="Arial" w:hAnsi="Arial" w:cs="Arial"/>
                    <w:b/>
                    <w:bCs/>
                    <w:noProof/>
                    <w:lang w:val="en-IN"/>
                  </w:rPr>
                  <w:t>2.6 Differentiation</w:t>
                </w:r>
                <w:r>
                  <w:rPr>
                    <w:noProof/>
                    <w:webHidden/>
                  </w:rPr>
                  <w:tab/>
                </w:r>
                <w:r>
                  <w:rPr>
                    <w:noProof/>
                    <w:webHidden/>
                  </w:rPr>
                  <w:fldChar w:fldCharType="begin"/>
                </w:r>
                <w:r>
                  <w:rPr>
                    <w:noProof/>
                    <w:webHidden/>
                  </w:rPr>
                  <w:instrText xml:space="preserve"> PAGEREF _Toc236583254 \h </w:instrText>
                </w:r>
                <w:r>
                  <w:rPr>
                    <w:noProof/>
                    <w:webHidden/>
                  </w:rPr>
                </w:r>
                <w:r>
                  <w:rPr>
                    <w:noProof/>
                    <w:webHidden/>
                  </w:rPr>
                  <w:fldChar w:fldCharType="separate"/>
                </w:r>
                <w:r>
                  <w:rPr>
                    <w:noProof/>
                    <w:webHidden/>
                  </w:rPr>
                  <w:t>6</w:t>
                </w:r>
                <w:r>
                  <w:rPr>
                    <w:noProof/>
                    <w:webHidden/>
                  </w:rPr>
                  <w:fldChar w:fldCharType="end"/>
                </w:r>
              </w:hyperlink>
            </w:p>
            <w:p w14:paraId="293A8BE6" w14:textId="17FEC2ED" w:rsidR="006D27F6" w:rsidRDefault="006D27F6">
              <w:pPr>
                <w:pStyle w:val="TOC2"/>
                <w:tabs>
                  <w:tab w:val="right" w:leader="dot" w:pos="9016"/>
                </w:tabs>
                <w:rPr>
                  <w:rFonts w:eastAsiaTheme="minorEastAsia"/>
                  <w:noProof/>
                  <w:sz w:val="24"/>
                  <w:szCs w:val="24"/>
                  <w:lang w:val="en-IN" w:eastAsia="en-IN"/>
                </w:rPr>
              </w:pPr>
              <w:hyperlink w:anchor="_Toc236583255" w:history="1">
                <w:r w:rsidRPr="005925C6">
                  <w:rPr>
                    <w:rStyle w:val="Hyperlink"/>
                    <w:rFonts w:ascii="Arial" w:hAnsi="Arial" w:cs="Arial"/>
                    <w:b/>
                    <w:bCs/>
                    <w:noProof/>
                    <w:lang w:val="en-IN"/>
                  </w:rPr>
                  <w:t>2.7 Positioning</w:t>
                </w:r>
                <w:r>
                  <w:rPr>
                    <w:noProof/>
                    <w:webHidden/>
                  </w:rPr>
                  <w:tab/>
                </w:r>
                <w:r>
                  <w:rPr>
                    <w:noProof/>
                    <w:webHidden/>
                  </w:rPr>
                  <w:fldChar w:fldCharType="begin"/>
                </w:r>
                <w:r>
                  <w:rPr>
                    <w:noProof/>
                    <w:webHidden/>
                  </w:rPr>
                  <w:instrText xml:space="preserve"> PAGEREF _Toc236583255 \h </w:instrText>
                </w:r>
                <w:r>
                  <w:rPr>
                    <w:noProof/>
                    <w:webHidden/>
                  </w:rPr>
                </w:r>
                <w:r>
                  <w:rPr>
                    <w:noProof/>
                    <w:webHidden/>
                  </w:rPr>
                  <w:fldChar w:fldCharType="separate"/>
                </w:r>
                <w:r>
                  <w:rPr>
                    <w:noProof/>
                    <w:webHidden/>
                  </w:rPr>
                  <w:t>6</w:t>
                </w:r>
                <w:r>
                  <w:rPr>
                    <w:noProof/>
                    <w:webHidden/>
                  </w:rPr>
                  <w:fldChar w:fldCharType="end"/>
                </w:r>
              </w:hyperlink>
            </w:p>
            <w:p w14:paraId="4615CCCC" w14:textId="4E4AA37D" w:rsidR="006D27F6" w:rsidRDefault="006D27F6">
              <w:pPr>
                <w:pStyle w:val="TOC1"/>
                <w:tabs>
                  <w:tab w:val="right" w:leader="dot" w:pos="9016"/>
                </w:tabs>
                <w:rPr>
                  <w:rFonts w:eastAsiaTheme="minorEastAsia"/>
                  <w:noProof/>
                  <w:sz w:val="24"/>
                  <w:szCs w:val="24"/>
                  <w:lang w:val="en-IN" w:eastAsia="en-IN"/>
                </w:rPr>
              </w:pPr>
              <w:hyperlink w:anchor="_Toc236583256" w:history="1">
                <w:r w:rsidRPr="005925C6">
                  <w:rPr>
                    <w:rStyle w:val="Hyperlink"/>
                    <w:rFonts w:ascii="Arial" w:hAnsi="Arial" w:cs="Arial"/>
                    <w:b/>
                    <w:bCs/>
                    <w:noProof/>
                    <w:lang w:val="en-IN"/>
                  </w:rPr>
                  <w:t>Element 3</w:t>
                </w:r>
                <w:r>
                  <w:rPr>
                    <w:noProof/>
                    <w:webHidden/>
                  </w:rPr>
                  <w:tab/>
                </w:r>
                <w:r>
                  <w:rPr>
                    <w:noProof/>
                    <w:webHidden/>
                  </w:rPr>
                  <w:fldChar w:fldCharType="begin"/>
                </w:r>
                <w:r>
                  <w:rPr>
                    <w:noProof/>
                    <w:webHidden/>
                  </w:rPr>
                  <w:instrText xml:space="preserve"> PAGEREF _Toc236583256 \h </w:instrText>
                </w:r>
                <w:r>
                  <w:rPr>
                    <w:noProof/>
                    <w:webHidden/>
                  </w:rPr>
                </w:r>
                <w:r>
                  <w:rPr>
                    <w:noProof/>
                    <w:webHidden/>
                  </w:rPr>
                  <w:fldChar w:fldCharType="separate"/>
                </w:r>
                <w:r>
                  <w:rPr>
                    <w:noProof/>
                    <w:webHidden/>
                  </w:rPr>
                  <w:t>7</w:t>
                </w:r>
                <w:r>
                  <w:rPr>
                    <w:noProof/>
                    <w:webHidden/>
                  </w:rPr>
                  <w:fldChar w:fldCharType="end"/>
                </w:r>
              </w:hyperlink>
            </w:p>
            <w:p w14:paraId="4D5E8A92" w14:textId="54B2CF87" w:rsidR="006D27F6" w:rsidRDefault="006D27F6">
              <w:pPr>
                <w:pStyle w:val="TOC2"/>
                <w:tabs>
                  <w:tab w:val="right" w:leader="dot" w:pos="9016"/>
                </w:tabs>
                <w:rPr>
                  <w:rFonts w:eastAsiaTheme="minorEastAsia"/>
                  <w:noProof/>
                  <w:sz w:val="24"/>
                  <w:szCs w:val="24"/>
                  <w:lang w:val="en-IN" w:eastAsia="en-IN"/>
                </w:rPr>
              </w:pPr>
              <w:hyperlink w:anchor="_Toc236583257" w:history="1">
                <w:r w:rsidRPr="005925C6">
                  <w:rPr>
                    <w:rStyle w:val="Hyperlink"/>
                    <w:rFonts w:ascii="Arial" w:hAnsi="Arial" w:cs="Arial"/>
                    <w:b/>
                    <w:bCs/>
                    <w:noProof/>
                    <w:lang w:val="en-IN"/>
                  </w:rPr>
                  <w:t>3.1 Product</w:t>
                </w:r>
                <w:r>
                  <w:rPr>
                    <w:noProof/>
                    <w:webHidden/>
                  </w:rPr>
                  <w:tab/>
                </w:r>
                <w:r>
                  <w:rPr>
                    <w:noProof/>
                    <w:webHidden/>
                  </w:rPr>
                  <w:fldChar w:fldCharType="begin"/>
                </w:r>
                <w:r>
                  <w:rPr>
                    <w:noProof/>
                    <w:webHidden/>
                  </w:rPr>
                  <w:instrText xml:space="preserve"> PAGEREF _Toc236583257 \h </w:instrText>
                </w:r>
                <w:r>
                  <w:rPr>
                    <w:noProof/>
                    <w:webHidden/>
                  </w:rPr>
                </w:r>
                <w:r>
                  <w:rPr>
                    <w:noProof/>
                    <w:webHidden/>
                  </w:rPr>
                  <w:fldChar w:fldCharType="separate"/>
                </w:r>
                <w:r>
                  <w:rPr>
                    <w:noProof/>
                    <w:webHidden/>
                  </w:rPr>
                  <w:t>7</w:t>
                </w:r>
                <w:r>
                  <w:rPr>
                    <w:noProof/>
                    <w:webHidden/>
                  </w:rPr>
                  <w:fldChar w:fldCharType="end"/>
                </w:r>
              </w:hyperlink>
            </w:p>
            <w:p w14:paraId="3EF6E26C" w14:textId="52378839" w:rsidR="006D27F6" w:rsidRDefault="006D27F6">
              <w:pPr>
                <w:pStyle w:val="TOC2"/>
                <w:tabs>
                  <w:tab w:val="right" w:leader="dot" w:pos="9016"/>
                </w:tabs>
                <w:rPr>
                  <w:rFonts w:eastAsiaTheme="minorEastAsia"/>
                  <w:noProof/>
                  <w:sz w:val="24"/>
                  <w:szCs w:val="24"/>
                  <w:lang w:val="en-IN" w:eastAsia="en-IN"/>
                </w:rPr>
              </w:pPr>
              <w:hyperlink w:anchor="_Toc236583258" w:history="1">
                <w:r w:rsidRPr="005925C6">
                  <w:rPr>
                    <w:rStyle w:val="Hyperlink"/>
                    <w:rFonts w:ascii="Arial" w:hAnsi="Arial" w:cs="Arial"/>
                    <w:b/>
                    <w:bCs/>
                    <w:noProof/>
                    <w:lang w:val="en-IN"/>
                  </w:rPr>
                  <w:t>3.2 Price</w:t>
                </w:r>
                <w:r>
                  <w:rPr>
                    <w:noProof/>
                    <w:webHidden/>
                  </w:rPr>
                  <w:tab/>
                </w:r>
                <w:r>
                  <w:rPr>
                    <w:noProof/>
                    <w:webHidden/>
                  </w:rPr>
                  <w:fldChar w:fldCharType="begin"/>
                </w:r>
                <w:r>
                  <w:rPr>
                    <w:noProof/>
                    <w:webHidden/>
                  </w:rPr>
                  <w:instrText xml:space="preserve"> PAGEREF _Toc236583258 \h </w:instrText>
                </w:r>
                <w:r>
                  <w:rPr>
                    <w:noProof/>
                    <w:webHidden/>
                  </w:rPr>
                </w:r>
                <w:r>
                  <w:rPr>
                    <w:noProof/>
                    <w:webHidden/>
                  </w:rPr>
                  <w:fldChar w:fldCharType="separate"/>
                </w:r>
                <w:r>
                  <w:rPr>
                    <w:noProof/>
                    <w:webHidden/>
                  </w:rPr>
                  <w:t>7</w:t>
                </w:r>
                <w:r>
                  <w:rPr>
                    <w:noProof/>
                    <w:webHidden/>
                  </w:rPr>
                  <w:fldChar w:fldCharType="end"/>
                </w:r>
              </w:hyperlink>
            </w:p>
            <w:p w14:paraId="20592BD8" w14:textId="24B25DAB" w:rsidR="006D27F6" w:rsidRDefault="006D27F6">
              <w:pPr>
                <w:pStyle w:val="TOC2"/>
                <w:tabs>
                  <w:tab w:val="right" w:leader="dot" w:pos="9016"/>
                </w:tabs>
                <w:rPr>
                  <w:rFonts w:eastAsiaTheme="minorEastAsia"/>
                  <w:noProof/>
                  <w:sz w:val="24"/>
                  <w:szCs w:val="24"/>
                  <w:lang w:val="en-IN" w:eastAsia="en-IN"/>
                </w:rPr>
              </w:pPr>
              <w:hyperlink w:anchor="_Toc236583259" w:history="1">
                <w:r w:rsidRPr="005925C6">
                  <w:rPr>
                    <w:rStyle w:val="Hyperlink"/>
                    <w:rFonts w:ascii="Arial" w:hAnsi="Arial" w:cs="Arial"/>
                    <w:b/>
                    <w:bCs/>
                    <w:noProof/>
                    <w:lang w:val="en-IN"/>
                  </w:rPr>
                  <w:t>3.3 Place</w:t>
                </w:r>
                <w:r>
                  <w:rPr>
                    <w:noProof/>
                    <w:webHidden/>
                  </w:rPr>
                  <w:tab/>
                </w:r>
                <w:r>
                  <w:rPr>
                    <w:noProof/>
                    <w:webHidden/>
                  </w:rPr>
                  <w:fldChar w:fldCharType="begin"/>
                </w:r>
                <w:r>
                  <w:rPr>
                    <w:noProof/>
                    <w:webHidden/>
                  </w:rPr>
                  <w:instrText xml:space="preserve"> PAGEREF _Toc236583259 \h </w:instrText>
                </w:r>
                <w:r>
                  <w:rPr>
                    <w:noProof/>
                    <w:webHidden/>
                  </w:rPr>
                </w:r>
                <w:r>
                  <w:rPr>
                    <w:noProof/>
                    <w:webHidden/>
                  </w:rPr>
                  <w:fldChar w:fldCharType="separate"/>
                </w:r>
                <w:r>
                  <w:rPr>
                    <w:noProof/>
                    <w:webHidden/>
                  </w:rPr>
                  <w:t>8</w:t>
                </w:r>
                <w:r>
                  <w:rPr>
                    <w:noProof/>
                    <w:webHidden/>
                  </w:rPr>
                  <w:fldChar w:fldCharType="end"/>
                </w:r>
              </w:hyperlink>
            </w:p>
            <w:p w14:paraId="17F3B272" w14:textId="0FA1EB5F" w:rsidR="006D27F6" w:rsidRDefault="006D27F6">
              <w:pPr>
                <w:pStyle w:val="TOC2"/>
                <w:tabs>
                  <w:tab w:val="right" w:leader="dot" w:pos="9016"/>
                </w:tabs>
                <w:rPr>
                  <w:rFonts w:eastAsiaTheme="minorEastAsia"/>
                  <w:noProof/>
                  <w:sz w:val="24"/>
                  <w:szCs w:val="24"/>
                  <w:lang w:val="en-IN" w:eastAsia="en-IN"/>
                </w:rPr>
              </w:pPr>
              <w:hyperlink w:anchor="_Toc236583260" w:history="1">
                <w:r w:rsidRPr="005925C6">
                  <w:rPr>
                    <w:rStyle w:val="Hyperlink"/>
                    <w:rFonts w:ascii="Arial" w:hAnsi="Arial" w:cs="Arial"/>
                    <w:b/>
                    <w:bCs/>
                    <w:noProof/>
                    <w:lang w:val="en-IN"/>
                  </w:rPr>
                  <w:t>3.4 Promotion</w:t>
                </w:r>
                <w:r>
                  <w:rPr>
                    <w:noProof/>
                    <w:webHidden/>
                  </w:rPr>
                  <w:tab/>
                </w:r>
                <w:r>
                  <w:rPr>
                    <w:noProof/>
                    <w:webHidden/>
                  </w:rPr>
                  <w:fldChar w:fldCharType="begin"/>
                </w:r>
                <w:r>
                  <w:rPr>
                    <w:noProof/>
                    <w:webHidden/>
                  </w:rPr>
                  <w:instrText xml:space="preserve"> PAGEREF _Toc236583260 \h </w:instrText>
                </w:r>
                <w:r>
                  <w:rPr>
                    <w:noProof/>
                    <w:webHidden/>
                  </w:rPr>
                </w:r>
                <w:r>
                  <w:rPr>
                    <w:noProof/>
                    <w:webHidden/>
                  </w:rPr>
                  <w:fldChar w:fldCharType="separate"/>
                </w:r>
                <w:r>
                  <w:rPr>
                    <w:noProof/>
                    <w:webHidden/>
                  </w:rPr>
                  <w:t>9</w:t>
                </w:r>
                <w:r>
                  <w:rPr>
                    <w:noProof/>
                    <w:webHidden/>
                  </w:rPr>
                  <w:fldChar w:fldCharType="end"/>
                </w:r>
              </w:hyperlink>
            </w:p>
            <w:p w14:paraId="7B1182FF" w14:textId="18A316C2" w:rsidR="006D27F6" w:rsidRDefault="006D27F6">
              <w:pPr>
                <w:pStyle w:val="TOC2"/>
                <w:tabs>
                  <w:tab w:val="right" w:leader="dot" w:pos="9016"/>
                </w:tabs>
                <w:rPr>
                  <w:rFonts w:eastAsiaTheme="minorEastAsia"/>
                  <w:noProof/>
                  <w:sz w:val="24"/>
                  <w:szCs w:val="24"/>
                  <w:lang w:val="en-IN" w:eastAsia="en-IN"/>
                </w:rPr>
              </w:pPr>
              <w:hyperlink w:anchor="_Toc236583261" w:history="1">
                <w:r w:rsidRPr="005925C6">
                  <w:rPr>
                    <w:rStyle w:val="Hyperlink"/>
                    <w:rFonts w:ascii="Arial" w:hAnsi="Arial" w:cs="Arial"/>
                    <w:b/>
                    <w:bCs/>
                    <w:noProof/>
                    <w:lang w:val="en-IN"/>
                  </w:rPr>
                  <w:t>3.5 People</w:t>
                </w:r>
                <w:r>
                  <w:rPr>
                    <w:noProof/>
                    <w:webHidden/>
                  </w:rPr>
                  <w:tab/>
                </w:r>
                <w:r>
                  <w:rPr>
                    <w:noProof/>
                    <w:webHidden/>
                  </w:rPr>
                  <w:fldChar w:fldCharType="begin"/>
                </w:r>
                <w:r>
                  <w:rPr>
                    <w:noProof/>
                    <w:webHidden/>
                  </w:rPr>
                  <w:instrText xml:space="preserve"> PAGEREF _Toc236583261 \h </w:instrText>
                </w:r>
                <w:r>
                  <w:rPr>
                    <w:noProof/>
                    <w:webHidden/>
                  </w:rPr>
                </w:r>
                <w:r>
                  <w:rPr>
                    <w:noProof/>
                    <w:webHidden/>
                  </w:rPr>
                  <w:fldChar w:fldCharType="separate"/>
                </w:r>
                <w:r>
                  <w:rPr>
                    <w:noProof/>
                    <w:webHidden/>
                  </w:rPr>
                  <w:t>9</w:t>
                </w:r>
                <w:r>
                  <w:rPr>
                    <w:noProof/>
                    <w:webHidden/>
                  </w:rPr>
                  <w:fldChar w:fldCharType="end"/>
                </w:r>
              </w:hyperlink>
            </w:p>
            <w:p w14:paraId="69DB6AB1" w14:textId="5789E66E" w:rsidR="006D27F6" w:rsidRDefault="006D27F6">
              <w:pPr>
                <w:pStyle w:val="TOC2"/>
                <w:tabs>
                  <w:tab w:val="right" w:leader="dot" w:pos="9016"/>
                </w:tabs>
                <w:rPr>
                  <w:rFonts w:eastAsiaTheme="minorEastAsia"/>
                  <w:noProof/>
                  <w:sz w:val="24"/>
                  <w:szCs w:val="24"/>
                  <w:lang w:val="en-IN" w:eastAsia="en-IN"/>
                </w:rPr>
              </w:pPr>
              <w:hyperlink w:anchor="_Toc236583262" w:history="1">
                <w:r w:rsidRPr="005925C6">
                  <w:rPr>
                    <w:rStyle w:val="Hyperlink"/>
                    <w:rFonts w:ascii="Arial" w:hAnsi="Arial" w:cs="Arial"/>
                    <w:b/>
                    <w:bCs/>
                    <w:noProof/>
                    <w:lang w:val="en-IN"/>
                  </w:rPr>
                  <w:t>3.6 Process</w:t>
                </w:r>
                <w:r>
                  <w:rPr>
                    <w:noProof/>
                    <w:webHidden/>
                  </w:rPr>
                  <w:tab/>
                </w:r>
                <w:r>
                  <w:rPr>
                    <w:noProof/>
                    <w:webHidden/>
                  </w:rPr>
                  <w:fldChar w:fldCharType="begin"/>
                </w:r>
                <w:r>
                  <w:rPr>
                    <w:noProof/>
                    <w:webHidden/>
                  </w:rPr>
                  <w:instrText xml:space="preserve"> PAGEREF _Toc236583262 \h </w:instrText>
                </w:r>
                <w:r>
                  <w:rPr>
                    <w:noProof/>
                    <w:webHidden/>
                  </w:rPr>
                </w:r>
                <w:r>
                  <w:rPr>
                    <w:noProof/>
                    <w:webHidden/>
                  </w:rPr>
                  <w:fldChar w:fldCharType="separate"/>
                </w:r>
                <w:r>
                  <w:rPr>
                    <w:noProof/>
                    <w:webHidden/>
                  </w:rPr>
                  <w:t>10</w:t>
                </w:r>
                <w:r>
                  <w:rPr>
                    <w:noProof/>
                    <w:webHidden/>
                  </w:rPr>
                  <w:fldChar w:fldCharType="end"/>
                </w:r>
              </w:hyperlink>
            </w:p>
            <w:p w14:paraId="21990476" w14:textId="75456CF7" w:rsidR="006D27F6" w:rsidRDefault="006D27F6">
              <w:pPr>
                <w:pStyle w:val="TOC2"/>
                <w:tabs>
                  <w:tab w:val="right" w:leader="dot" w:pos="9016"/>
                </w:tabs>
                <w:rPr>
                  <w:rFonts w:eastAsiaTheme="minorEastAsia"/>
                  <w:noProof/>
                  <w:sz w:val="24"/>
                  <w:szCs w:val="24"/>
                  <w:lang w:val="en-IN" w:eastAsia="en-IN"/>
                </w:rPr>
              </w:pPr>
              <w:hyperlink w:anchor="_Toc236583263" w:history="1">
                <w:r w:rsidRPr="005925C6">
                  <w:rPr>
                    <w:rStyle w:val="Hyperlink"/>
                    <w:rFonts w:ascii="Arial" w:hAnsi="Arial" w:cs="Arial"/>
                    <w:b/>
                    <w:bCs/>
                    <w:noProof/>
                    <w:lang w:val="en-IN"/>
                  </w:rPr>
                  <w:t>3.7 Physical Evidence</w:t>
                </w:r>
                <w:r>
                  <w:rPr>
                    <w:noProof/>
                    <w:webHidden/>
                  </w:rPr>
                  <w:tab/>
                </w:r>
                <w:r>
                  <w:rPr>
                    <w:noProof/>
                    <w:webHidden/>
                  </w:rPr>
                  <w:fldChar w:fldCharType="begin"/>
                </w:r>
                <w:r>
                  <w:rPr>
                    <w:noProof/>
                    <w:webHidden/>
                  </w:rPr>
                  <w:instrText xml:space="preserve"> PAGEREF _Toc236583263 \h </w:instrText>
                </w:r>
                <w:r>
                  <w:rPr>
                    <w:noProof/>
                    <w:webHidden/>
                  </w:rPr>
                </w:r>
                <w:r>
                  <w:rPr>
                    <w:noProof/>
                    <w:webHidden/>
                  </w:rPr>
                  <w:fldChar w:fldCharType="separate"/>
                </w:r>
                <w:r>
                  <w:rPr>
                    <w:noProof/>
                    <w:webHidden/>
                  </w:rPr>
                  <w:t>10</w:t>
                </w:r>
                <w:r>
                  <w:rPr>
                    <w:noProof/>
                    <w:webHidden/>
                  </w:rPr>
                  <w:fldChar w:fldCharType="end"/>
                </w:r>
              </w:hyperlink>
            </w:p>
            <w:p w14:paraId="064CD586" w14:textId="525EB64F" w:rsidR="006D27F6" w:rsidRDefault="006D27F6">
              <w:pPr>
                <w:pStyle w:val="TOC1"/>
                <w:tabs>
                  <w:tab w:val="right" w:leader="dot" w:pos="9016"/>
                </w:tabs>
                <w:rPr>
                  <w:rFonts w:eastAsiaTheme="minorEastAsia"/>
                  <w:noProof/>
                  <w:sz w:val="24"/>
                  <w:szCs w:val="24"/>
                  <w:lang w:val="en-IN" w:eastAsia="en-IN"/>
                </w:rPr>
              </w:pPr>
              <w:hyperlink w:anchor="_Toc236583264" w:history="1">
                <w:r w:rsidRPr="005925C6">
                  <w:rPr>
                    <w:rStyle w:val="Hyperlink"/>
                    <w:rFonts w:ascii="Arial" w:hAnsi="Arial" w:cs="Arial"/>
                    <w:b/>
                    <w:bCs/>
                    <w:noProof/>
                    <w:lang w:val="en-IN"/>
                  </w:rPr>
                  <w:t>Element 4</w:t>
                </w:r>
                <w:r>
                  <w:rPr>
                    <w:noProof/>
                    <w:webHidden/>
                  </w:rPr>
                  <w:tab/>
                </w:r>
                <w:r>
                  <w:rPr>
                    <w:noProof/>
                    <w:webHidden/>
                  </w:rPr>
                  <w:fldChar w:fldCharType="begin"/>
                </w:r>
                <w:r>
                  <w:rPr>
                    <w:noProof/>
                    <w:webHidden/>
                  </w:rPr>
                  <w:instrText xml:space="preserve"> PAGEREF _Toc236583264 \h </w:instrText>
                </w:r>
                <w:r>
                  <w:rPr>
                    <w:noProof/>
                    <w:webHidden/>
                  </w:rPr>
                </w:r>
                <w:r>
                  <w:rPr>
                    <w:noProof/>
                    <w:webHidden/>
                  </w:rPr>
                  <w:fldChar w:fldCharType="separate"/>
                </w:r>
                <w:r>
                  <w:rPr>
                    <w:noProof/>
                    <w:webHidden/>
                  </w:rPr>
                  <w:t>11</w:t>
                </w:r>
                <w:r>
                  <w:rPr>
                    <w:noProof/>
                    <w:webHidden/>
                  </w:rPr>
                  <w:fldChar w:fldCharType="end"/>
                </w:r>
              </w:hyperlink>
            </w:p>
            <w:p w14:paraId="4CA82110" w14:textId="02CB9517" w:rsidR="006D27F6" w:rsidRDefault="006D27F6">
              <w:pPr>
                <w:pStyle w:val="TOC2"/>
                <w:tabs>
                  <w:tab w:val="right" w:leader="dot" w:pos="9016"/>
                </w:tabs>
                <w:rPr>
                  <w:rFonts w:eastAsiaTheme="minorEastAsia"/>
                  <w:noProof/>
                  <w:sz w:val="24"/>
                  <w:szCs w:val="24"/>
                  <w:lang w:val="en-IN" w:eastAsia="en-IN"/>
                </w:rPr>
              </w:pPr>
              <w:hyperlink w:anchor="_Toc236583265" w:history="1">
                <w:r w:rsidRPr="005925C6">
                  <w:rPr>
                    <w:rStyle w:val="Hyperlink"/>
                    <w:rFonts w:ascii="Arial" w:hAnsi="Arial" w:cs="Arial"/>
                    <w:b/>
                    <w:bCs/>
                    <w:noProof/>
                    <w:lang w:val="en-IN"/>
                  </w:rPr>
                  <w:t>4.1 Description</w:t>
                </w:r>
                <w:r>
                  <w:rPr>
                    <w:noProof/>
                    <w:webHidden/>
                  </w:rPr>
                  <w:tab/>
                </w:r>
                <w:r>
                  <w:rPr>
                    <w:noProof/>
                    <w:webHidden/>
                  </w:rPr>
                  <w:fldChar w:fldCharType="begin"/>
                </w:r>
                <w:r>
                  <w:rPr>
                    <w:noProof/>
                    <w:webHidden/>
                  </w:rPr>
                  <w:instrText xml:space="preserve"> PAGEREF _Toc236583265 \h </w:instrText>
                </w:r>
                <w:r>
                  <w:rPr>
                    <w:noProof/>
                    <w:webHidden/>
                  </w:rPr>
                </w:r>
                <w:r>
                  <w:rPr>
                    <w:noProof/>
                    <w:webHidden/>
                  </w:rPr>
                  <w:fldChar w:fldCharType="separate"/>
                </w:r>
                <w:r>
                  <w:rPr>
                    <w:noProof/>
                    <w:webHidden/>
                  </w:rPr>
                  <w:t>11</w:t>
                </w:r>
                <w:r>
                  <w:rPr>
                    <w:noProof/>
                    <w:webHidden/>
                  </w:rPr>
                  <w:fldChar w:fldCharType="end"/>
                </w:r>
              </w:hyperlink>
            </w:p>
            <w:p w14:paraId="6909432B" w14:textId="7E4A5798" w:rsidR="006D27F6" w:rsidRDefault="006D27F6">
              <w:pPr>
                <w:pStyle w:val="TOC2"/>
                <w:tabs>
                  <w:tab w:val="right" w:leader="dot" w:pos="9016"/>
                </w:tabs>
                <w:rPr>
                  <w:rFonts w:eastAsiaTheme="minorEastAsia"/>
                  <w:noProof/>
                  <w:sz w:val="24"/>
                  <w:szCs w:val="24"/>
                  <w:lang w:val="en-IN" w:eastAsia="en-IN"/>
                </w:rPr>
              </w:pPr>
              <w:hyperlink w:anchor="_Toc236583266" w:history="1">
                <w:r w:rsidRPr="005925C6">
                  <w:rPr>
                    <w:rStyle w:val="Hyperlink"/>
                    <w:rFonts w:ascii="Arial" w:hAnsi="Arial" w:cs="Arial"/>
                    <w:b/>
                    <w:bCs/>
                    <w:noProof/>
                    <w:lang w:val="en-IN"/>
                  </w:rPr>
                  <w:t>4.2 Feelings</w:t>
                </w:r>
                <w:r>
                  <w:rPr>
                    <w:noProof/>
                    <w:webHidden/>
                  </w:rPr>
                  <w:tab/>
                </w:r>
                <w:r>
                  <w:rPr>
                    <w:noProof/>
                    <w:webHidden/>
                  </w:rPr>
                  <w:fldChar w:fldCharType="begin"/>
                </w:r>
                <w:r>
                  <w:rPr>
                    <w:noProof/>
                    <w:webHidden/>
                  </w:rPr>
                  <w:instrText xml:space="preserve"> PAGEREF _Toc236583266 \h </w:instrText>
                </w:r>
                <w:r>
                  <w:rPr>
                    <w:noProof/>
                    <w:webHidden/>
                  </w:rPr>
                </w:r>
                <w:r>
                  <w:rPr>
                    <w:noProof/>
                    <w:webHidden/>
                  </w:rPr>
                  <w:fldChar w:fldCharType="separate"/>
                </w:r>
                <w:r>
                  <w:rPr>
                    <w:noProof/>
                    <w:webHidden/>
                  </w:rPr>
                  <w:t>11</w:t>
                </w:r>
                <w:r>
                  <w:rPr>
                    <w:noProof/>
                    <w:webHidden/>
                  </w:rPr>
                  <w:fldChar w:fldCharType="end"/>
                </w:r>
              </w:hyperlink>
            </w:p>
            <w:p w14:paraId="2362B917" w14:textId="3A4B1A77" w:rsidR="006D27F6" w:rsidRDefault="006D27F6">
              <w:pPr>
                <w:pStyle w:val="TOC2"/>
                <w:tabs>
                  <w:tab w:val="right" w:leader="dot" w:pos="9016"/>
                </w:tabs>
                <w:rPr>
                  <w:rFonts w:eastAsiaTheme="minorEastAsia"/>
                  <w:noProof/>
                  <w:sz w:val="24"/>
                  <w:szCs w:val="24"/>
                  <w:lang w:val="en-IN" w:eastAsia="en-IN"/>
                </w:rPr>
              </w:pPr>
              <w:hyperlink w:anchor="_Toc236583267" w:history="1">
                <w:r w:rsidRPr="005925C6">
                  <w:rPr>
                    <w:rStyle w:val="Hyperlink"/>
                    <w:rFonts w:ascii="Arial" w:hAnsi="Arial" w:cs="Arial"/>
                    <w:b/>
                    <w:bCs/>
                    <w:noProof/>
                    <w:lang w:val="en-IN"/>
                  </w:rPr>
                  <w:t>4.3 Evaluation</w:t>
                </w:r>
                <w:r>
                  <w:rPr>
                    <w:noProof/>
                    <w:webHidden/>
                  </w:rPr>
                  <w:tab/>
                </w:r>
                <w:r>
                  <w:rPr>
                    <w:noProof/>
                    <w:webHidden/>
                  </w:rPr>
                  <w:fldChar w:fldCharType="begin"/>
                </w:r>
                <w:r>
                  <w:rPr>
                    <w:noProof/>
                    <w:webHidden/>
                  </w:rPr>
                  <w:instrText xml:space="preserve"> PAGEREF _Toc236583267 \h </w:instrText>
                </w:r>
                <w:r>
                  <w:rPr>
                    <w:noProof/>
                    <w:webHidden/>
                  </w:rPr>
                </w:r>
                <w:r>
                  <w:rPr>
                    <w:noProof/>
                    <w:webHidden/>
                  </w:rPr>
                  <w:fldChar w:fldCharType="separate"/>
                </w:r>
                <w:r>
                  <w:rPr>
                    <w:noProof/>
                    <w:webHidden/>
                  </w:rPr>
                  <w:t>11</w:t>
                </w:r>
                <w:r>
                  <w:rPr>
                    <w:noProof/>
                    <w:webHidden/>
                  </w:rPr>
                  <w:fldChar w:fldCharType="end"/>
                </w:r>
              </w:hyperlink>
            </w:p>
            <w:p w14:paraId="1D63737C" w14:textId="1EDA326A" w:rsidR="006D27F6" w:rsidRDefault="006D27F6">
              <w:pPr>
                <w:pStyle w:val="TOC2"/>
                <w:tabs>
                  <w:tab w:val="right" w:leader="dot" w:pos="9016"/>
                </w:tabs>
                <w:rPr>
                  <w:rFonts w:eastAsiaTheme="minorEastAsia"/>
                  <w:noProof/>
                  <w:sz w:val="24"/>
                  <w:szCs w:val="24"/>
                  <w:lang w:val="en-IN" w:eastAsia="en-IN"/>
                </w:rPr>
              </w:pPr>
              <w:hyperlink w:anchor="_Toc236583268" w:history="1">
                <w:r w:rsidRPr="005925C6">
                  <w:rPr>
                    <w:rStyle w:val="Hyperlink"/>
                    <w:rFonts w:ascii="Arial" w:hAnsi="Arial" w:cs="Arial"/>
                    <w:b/>
                    <w:bCs/>
                    <w:noProof/>
                    <w:lang w:val="en-IN"/>
                  </w:rPr>
                  <w:t>4.4 Analysis</w:t>
                </w:r>
                <w:r>
                  <w:rPr>
                    <w:noProof/>
                    <w:webHidden/>
                  </w:rPr>
                  <w:tab/>
                </w:r>
                <w:r>
                  <w:rPr>
                    <w:noProof/>
                    <w:webHidden/>
                  </w:rPr>
                  <w:fldChar w:fldCharType="begin"/>
                </w:r>
                <w:r>
                  <w:rPr>
                    <w:noProof/>
                    <w:webHidden/>
                  </w:rPr>
                  <w:instrText xml:space="preserve"> PAGEREF _Toc236583268 \h </w:instrText>
                </w:r>
                <w:r>
                  <w:rPr>
                    <w:noProof/>
                    <w:webHidden/>
                  </w:rPr>
                </w:r>
                <w:r>
                  <w:rPr>
                    <w:noProof/>
                    <w:webHidden/>
                  </w:rPr>
                  <w:fldChar w:fldCharType="separate"/>
                </w:r>
                <w:r>
                  <w:rPr>
                    <w:noProof/>
                    <w:webHidden/>
                  </w:rPr>
                  <w:t>12</w:t>
                </w:r>
                <w:r>
                  <w:rPr>
                    <w:noProof/>
                    <w:webHidden/>
                  </w:rPr>
                  <w:fldChar w:fldCharType="end"/>
                </w:r>
              </w:hyperlink>
            </w:p>
            <w:p w14:paraId="0B522482" w14:textId="528625DB" w:rsidR="006D27F6" w:rsidRDefault="006D27F6">
              <w:pPr>
                <w:pStyle w:val="TOC2"/>
                <w:tabs>
                  <w:tab w:val="right" w:leader="dot" w:pos="9016"/>
                </w:tabs>
                <w:rPr>
                  <w:rFonts w:eastAsiaTheme="minorEastAsia"/>
                  <w:noProof/>
                  <w:sz w:val="24"/>
                  <w:szCs w:val="24"/>
                  <w:lang w:val="en-IN" w:eastAsia="en-IN"/>
                </w:rPr>
              </w:pPr>
              <w:hyperlink w:anchor="_Toc236583269" w:history="1">
                <w:r w:rsidRPr="005925C6">
                  <w:rPr>
                    <w:rStyle w:val="Hyperlink"/>
                    <w:rFonts w:ascii="Arial" w:hAnsi="Arial" w:cs="Arial"/>
                    <w:b/>
                    <w:bCs/>
                    <w:noProof/>
                    <w:lang w:val="en-IN"/>
                  </w:rPr>
                  <w:t>4.5 Conclusion</w:t>
                </w:r>
                <w:r>
                  <w:rPr>
                    <w:noProof/>
                    <w:webHidden/>
                  </w:rPr>
                  <w:tab/>
                </w:r>
                <w:r>
                  <w:rPr>
                    <w:noProof/>
                    <w:webHidden/>
                  </w:rPr>
                  <w:fldChar w:fldCharType="begin"/>
                </w:r>
                <w:r>
                  <w:rPr>
                    <w:noProof/>
                    <w:webHidden/>
                  </w:rPr>
                  <w:instrText xml:space="preserve"> PAGEREF _Toc236583269 \h </w:instrText>
                </w:r>
                <w:r>
                  <w:rPr>
                    <w:noProof/>
                    <w:webHidden/>
                  </w:rPr>
                </w:r>
                <w:r>
                  <w:rPr>
                    <w:noProof/>
                    <w:webHidden/>
                  </w:rPr>
                  <w:fldChar w:fldCharType="separate"/>
                </w:r>
                <w:r>
                  <w:rPr>
                    <w:noProof/>
                    <w:webHidden/>
                  </w:rPr>
                  <w:t>12</w:t>
                </w:r>
                <w:r>
                  <w:rPr>
                    <w:noProof/>
                    <w:webHidden/>
                  </w:rPr>
                  <w:fldChar w:fldCharType="end"/>
                </w:r>
              </w:hyperlink>
            </w:p>
            <w:p w14:paraId="694F3523" w14:textId="30325851" w:rsidR="006D27F6" w:rsidRDefault="006D27F6">
              <w:pPr>
                <w:pStyle w:val="TOC2"/>
                <w:tabs>
                  <w:tab w:val="right" w:leader="dot" w:pos="9016"/>
                </w:tabs>
                <w:rPr>
                  <w:rFonts w:eastAsiaTheme="minorEastAsia"/>
                  <w:noProof/>
                  <w:sz w:val="24"/>
                  <w:szCs w:val="24"/>
                  <w:lang w:val="en-IN" w:eastAsia="en-IN"/>
                </w:rPr>
              </w:pPr>
              <w:hyperlink w:anchor="_Toc236583270" w:history="1">
                <w:r w:rsidRPr="005925C6">
                  <w:rPr>
                    <w:rStyle w:val="Hyperlink"/>
                    <w:rFonts w:ascii="Arial" w:hAnsi="Arial" w:cs="Arial"/>
                    <w:b/>
                    <w:bCs/>
                    <w:noProof/>
                    <w:lang w:val="en-IN"/>
                  </w:rPr>
                  <w:t>4.6 Action Plan</w:t>
                </w:r>
                <w:r>
                  <w:rPr>
                    <w:noProof/>
                    <w:webHidden/>
                  </w:rPr>
                  <w:tab/>
                </w:r>
                <w:r>
                  <w:rPr>
                    <w:noProof/>
                    <w:webHidden/>
                  </w:rPr>
                  <w:fldChar w:fldCharType="begin"/>
                </w:r>
                <w:r>
                  <w:rPr>
                    <w:noProof/>
                    <w:webHidden/>
                  </w:rPr>
                  <w:instrText xml:space="preserve"> PAGEREF _Toc236583270 \h </w:instrText>
                </w:r>
                <w:r>
                  <w:rPr>
                    <w:noProof/>
                    <w:webHidden/>
                  </w:rPr>
                </w:r>
                <w:r>
                  <w:rPr>
                    <w:noProof/>
                    <w:webHidden/>
                  </w:rPr>
                  <w:fldChar w:fldCharType="separate"/>
                </w:r>
                <w:r>
                  <w:rPr>
                    <w:noProof/>
                    <w:webHidden/>
                  </w:rPr>
                  <w:t>12</w:t>
                </w:r>
                <w:r>
                  <w:rPr>
                    <w:noProof/>
                    <w:webHidden/>
                  </w:rPr>
                  <w:fldChar w:fldCharType="end"/>
                </w:r>
              </w:hyperlink>
            </w:p>
            <w:p w14:paraId="1EB67C79" w14:textId="50ED9DC2" w:rsidR="006D27F6" w:rsidRDefault="006D27F6">
              <w:pPr>
                <w:pStyle w:val="TOC1"/>
                <w:tabs>
                  <w:tab w:val="right" w:leader="dot" w:pos="9016"/>
                </w:tabs>
                <w:rPr>
                  <w:rFonts w:eastAsiaTheme="minorEastAsia"/>
                  <w:noProof/>
                  <w:sz w:val="24"/>
                  <w:szCs w:val="24"/>
                  <w:lang w:val="en-IN" w:eastAsia="en-IN"/>
                </w:rPr>
              </w:pPr>
              <w:hyperlink w:anchor="_Toc236583271" w:history="1">
                <w:r w:rsidRPr="005925C6">
                  <w:rPr>
                    <w:rStyle w:val="Hyperlink"/>
                    <w:rFonts w:ascii="Arial" w:hAnsi="Arial" w:cs="Arial"/>
                    <w:b/>
                    <w:bCs/>
                    <w:noProof/>
                    <w:lang w:val="en-IN"/>
                  </w:rPr>
                  <w:t>References</w:t>
                </w:r>
                <w:r>
                  <w:rPr>
                    <w:noProof/>
                    <w:webHidden/>
                  </w:rPr>
                  <w:tab/>
                </w:r>
                <w:r>
                  <w:rPr>
                    <w:noProof/>
                    <w:webHidden/>
                  </w:rPr>
                  <w:fldChar w:fldCharType="begin"/>
                </w:r>
                <w:r>
                  <w:rPr>
                    <w:noProof/>
                    <w:webHidden/>
                  </w:rPr>
                  <w:instrText xml:space="preserve"> PAGEREF _Toc236583271 \h </w:instrText>
                </w:r>
                <w:r>
                  <w:rPr>
                    <w:noProof/>
                    <w:webHidden/>
                  </w:rPr>
                </w:r>
                <w:r>
                  <w:rPr>
                    <w:noProof/>
                    <w:webHidden/>
                  </w:rPr>
                  <w:fldChar w:fldCharType="separate"/>
                </w:r>
                <w:r>
                  <w:rPr>
                    <w:noProof/>
                    <w:webHidden/>
                  </w:rPr>
                  <w:t>13</w:t>
                </w:r>
                <w:r>
                  <w:rPr>
                    <w:noProof/>
                    <w:webHidden/>
                  </w:rPr>
                  <w:fldChar w:fldCharType="end"/>
                </w:r>
              </w:hyperlink>
            </w:p>
            <w:p w14:paraId="35321525" w14:textId="59D1F1FE" w:rsidR="00A409A3" w:rsidRDefault="00A409A3">
              <w:r>
                <w:rPr>
                  <w:b/>
                  <w:bCs/>
                  <w:noProof/>
                </w:rPr>
                <w:fldChar w:fldCharType="end"/>
              </w:r>
            </w:p>
          </w:sdtContent>
        </w:sdt>
        <w:p w14:paraId="2FA4673F" w14:textId="024CF5CF" w:rsidR="00A409A3" w:rsidRDefault="00A409A3"/>
        <w:p w14:paraId="49154F61" w14:textId="33CE0F39" w:rsidR="00A409A3" w:rsidRDefault="00A409A3">
          <w:r>
            <w:br w:type="page"/>
          </w:r>
        </w:p>
      </w:sdtContent>
    </w:sdt>
    <w:p w14:paraId="49A8FAA6" w14:textId="287C715A" w:rsidR="00CA3330" w:rsidRPr="001315A8" w:rsidRDefault="00CA3330" w:rsidP="001315A8">
      <w:pPr>
        <w:pStyle w:val="Heading1"/>
        <w:spacing w:line="360" w:lineRule="auto"/>
        <w:rPr>
          <w:rFonts w:ascii="Arial" w:hAnsi="Arial" w:cs="Arial"/>
          <w:b/>
          <w:bCs/>
          <w:sz w:val="24"/>
          <w:szCs w:val="24"/>
          <w:lang w:val="en-IN"/>
        </w:rPr>
      </w:pPr>
      <w:bookmarkStart w:id="0" w:name="_Toc236583248"/>
      <w:r w:rsidRPr="001315A8">
        <w:rPr>
          <w:rFonts w:ascii="Arial" w:hAnsi="Arial" w:cs="Arial"/>
          <w:b/>
          <w:bCs/>
          <w:sz w:val="24"/>
          <w:szCs w:val="24"/>
          <w:lang w:val="en-IN"/>
        </w:rPr>
        <w:lastRenderedPageBreak/>
        <w:t>Element 2</w:t>
      </w:r>
      <w:bookmarkEnd w:id="0"/>
    </w:p>
    <w:p w14:paraId="6F2A615C" w14:textId="3CA7400A" w:rsidR="00BA6844" w:rsidRP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The analytical basis for transforming Toyota Circular Battery+ from a sustainability idea into a profitable brand extension is provided by segmentation, targeting, differentiation, and positioning (Kotler and Keller, 2016). The addressable market is divided using geographic, demographic, psychographic, and </w:t>
      </w:r>
      <w:r w:rsidR="001315A8" w:rsidRPr="001315A8">
        <w:rPr>
          <w:rFonts w:ascii="Arial" w:hAnsi="Arial" w:cs="Arial"/>
          <w:sz w:val="24"/>
          <w:szCs w:val="24"/>
          <w:lang w:val="en-IN"/>
        </w:rPr>
        <w:t>behavioural</w:t>
      </w:r>
      <w:r w:rsidRPr="001315A8">
        <w:rPr>
          <w:rFonts w:ascii="Arial" w:hAnsi="Arial" w:cs="Arial"/>
          <w:sz w:val="24"/>
          <w:szCs w:val="24"/>
          <w:lang w:val="en-IN"/>
        </w:rPr>
        <w:t xml:space="preserve"> factors below, building on Smith's (1956) fundamental difference between market segmentation and product differentiation.</w:t>
      </w:r>
    </w:p>
    <w:p w14:paraId="449BEAFB" w14:textId="5BB1FB35" w:rsidR="00CA3330" w:rsidRPr="001315A8" w:rsidRDefault="001315A8" w:rsidP="001315A8">
      <w:pPr>
        <w:pStyle w:val="Heading2"/>
        <w:spacing w:line="360" w:lineRule="auto"/>
        <w:rPr>
          <w:rFonts w:ascii="Arial" w:hAnsi="Arial" w:cs="Arial"/>
          <w:b/>
          <w:bCs/>
          <w:color w:val="auto"/>
          <w:sz w:val="24"/>
          <w:szCs w:val="24"/>
          <w:lang w:val="en-IN"/>
        </w:rPr>
      </w:pPr>
      <w:bookmarkStart w:id="1" w:name="_Toc236583249"/>
      <w:r w:rsidRPr="001315A8">
        <w:rPr>
          <w:rFonts w:ascii="Arial" w:hAnsi="Arial" w:cs="Arial"/>
          <w:b/>
          <w:bCs/>
          <w:color w:val="auto"/>
          <w:sz w:val="24"/>
          <w:szCs w:val="24"/>
          <w:lang w:val="en-IN"/>
        </w:rPr>
        <w:t xml:space="preserve">2.1 </w:t>
      </w:r>
      <w:r w:rsidR="00CA3330" w:rsidRPr="001315A8">
        <w:rPr>
          <w:rFonts w:ascii="Arial" w:hAnsi="Arial" w:cs="Arial"/>
          <w:b/>
          <w:bCs/>
          <w:color w:val="auto"/>
          <w:sz w:val="24"/>
          <w:szCs w:val="24"/>
          <w:lang w:val="en-IN"/>
        </w:rPr>
        <w:t xml:space="preserve">Geographic </w:t>
      </w:r>
      <w:r w:rsidR="00A409A3">
        <w:rPr>
          <w:rFonts w:ascii="Arial" w:hAnsi="Arial" w:cs="Arial"/>
          <w:b/>
          <w:bCs/>
          <w:color w:val="auto"/>
          <w:sz w:val="24"/>
          <w:szCs w:val="24"/>
          <w:lang w:val="en-IN"/>
        </w:rPr>
        <w:t>S</w:t>
      </w:r>
      <w:r w:rsidR="00CA3330" w:rsidRPr="001315A8">
        <w:rPr>
          <w:rFonts w:ascii="Arial" w:hAnsi="Arial" w:cs="Arial"/>
          <w:b/>
          <w:bCs/>
          <w:color w:val="auto"/>
          <w:sz w:val="24"/>
          <w:szCs w:val="24"/>
          <w:lang w:val="en-IN"/>
        </w:rPr>
        <w:t>egmentation</w:t>
      </w:r>
      <w:bookmarkEnd w:id="1"/>
    </w:p>
    <w:p w14:paraId="67034203" w14:textId="77777777" w:rsid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With over 10.8 million automobiles sold worldwide in 2024, Toyota has a production and retail presence in over 170 countries (Toyota Motor Corporation, 2025a). Geographic segmentation should provide priority to markets like Japan, Western Europe, and North America that have a large density of electric vehicles (EVs), established dealership infrastructure, and supporting end-of-life battery regulations, as opposed to a simultaneous global launch. </w:t>
      </w:r>
    </w:p>
    <w:p w14:paraId="2BB89F18" w14:textId="3319D1A1" w:rsidR="00ED3F4B" w:rsidRPr="00C1193E" w:rsidRDefault="00ED3F4B" w:rsidP="00ED3F4B">
      <w:pPr>
        <w:spacing w:line="360" w:lineRule="auto"/>
        <w:jc w:val="center"/>
        <w:rPr>
          <w:rFonts w:ascii="Arial" w:hAnsi="Arial" w:cs="Arial"/>
          <w:i/>
          <w:iCs/>
          <w:sz w:val="20"/>
          <w:szCs w:val="20"/>
          <w:lang w:val="en-IN"/>
        </w:rPr>
      </w:pPr>
      <w:r w:rsidRPr="00C1193E">
        <w:rPr>
          <w:i/>
          <w:iCs/>
          <w:noProof/>
          <w:sz w:val="20"/>
          <w:szCs w:val="20"/>
        </w:rPr>
        <w:drawing>
          <wp:inline distT="0" distB="0" distL="0" distR="0" wp14:anchorId="68674E35" wp14:editId="3DD28B5B">
            <wp:extent cx="5731510" cy="3550920"/>
            <wp:effectExtent l="0" t="0" r="2540" b="0"/>
            <wp:docPr id="280372336" name="Picture 1" descr="Global EV sales on track for new highs despite slowing momentum | EVBoos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Global EV sales on track for new highs despite slowing momentum | EVBoost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550920"/>
                    </a:xfrm>
                    <a:prstGeom prst="rect">
                      <a:avLst/>
                    </a:prstGeom>
                    <a:noFill/>
                    <a:ln>
                      <a:noFill/>
                    </a:ln>
                  </pic:spPr>
                </pic:pic>
              </a:graphicData>
            </a:graphic>
          </wp:inline>
        </w:drawing>
      </w:r>
    </w:p>
    <w:p w14:paraId="11D9BB98" w14:textId="6BB1D008" w:rsidR="00ED3F4B" w:rsidRPr="00C1193E" w:rsidRDefault="00ED3F4B" w:rsidP="00ED3F4B">
      <w:pPr>
        <w:spacing w:line="360" w:lineRule="auto"/>
        <w:jc w:val="center"/>
        <w:rPr>
          <w:rFonts w:ascii="Arial" w:hAnsi="Arial" w:cs="Arial"/>
          <w:i/>
          <w:iCs/>
          <w:sz w:val="20"/>
          <w:szCs w:val="20"/>
          <w:lang w:val="en-IN"/>
        </w:rPr>
      </w:pPr>
      <w:r w:rsidRPr="00C1193E">
        <w:rPr>
          <w:rFonts w:ascii="Arial" w:hAnsi="Arial" w:cs="Arial"/>
          <w:i/>
          <w:iCs/>
          <w:sz w:val="20"/>
          <w:szCs w:val="20"/>
          <w:lang w:val="en-IN"/>
        </w:rPr>
        <w:t>Source: https://evboosters.com/ev-charging-news/global-ev-sales-on-track-for-new-highs-despite-slowing-momentum/</w:t>
      </w:r>
    </w:p>
    <w:p w14:paraId="7F0008CD" w14:textId="1B109A7C" w:rsidR="00BA6844" w:rsidRP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Global EV sales exceeded 17 million units in 2024, accounting for over 20% of new car sales, according to the International Energy Agency (2024; 2025). Adoption was </w:t>
      </w:r>
      <w:r w:rsidRPr="001315A8">
        <w:rPr>
          <w:rFonts w:ascii="Arial" w:hAnsi="Arial" w:cs="Arial"/>
          <w:sz w:val="24"/>
          <w:szCs w:val="24"/>
          <w:lang w:val="en-IN"/>
        </w:rPr>
        <w:lastRenderedPageBreak/>
        <w:t>primarily concentrated in these areas, so segment prioritization should reflect the geographic concentration of EV parc growth to maximize near-term battery-return volumes.</w:t>
      </w:r>
    </w:p>
    <w:p w14:paraId="3A253202" w14:textId="32F82EF1" w:rsidR="00CA3330" w:rsidRPr="001315A8" w:rsidRDefault="001315A8" w:rsidP="001315A8">
      <w:pPr>
        <w:pStyle w:val="Heading2"/>
        <w:spacing w:line="360" w:lineRule="auto"/>
        <w:rPr>
          <w:rFonts w:ascii="Arial" w:hAnsi="Arial" w:cs="Arial"/>
          <w:b/>
          <w:bCs/>
          <w:color w:val="auto"/>
          <w:sz w:val="24"/>
          <w:szCs w:val="24"/>
          <w:lang w:val="en-IN"/>
        </w:rPr>
      </w:pPr>
      <w:bookmarkStart w:id="2" w:name="_Toc236583250"/>
      <w:r w:rsidRPr="001315A8">
        <w:rPr>
          <w:rFonts w:ascii="Arial" w:hAnsi="Arial" w:cs="Arial"/>
          <w:b/>
          <w:bCs/>
          <w:color w:val="auto"/>
          <w:sz w:val="24"/>
          <w:szCs w:val="24"/>
          <w:lang w:val="en-IN"/>
        </w:rPr>
        <w:t xml:space="preserve">2.2 </w:t>
      </w:r>
      <w:r w:rsidR="00CA3330" w:rsidRPr="00CA3330">
        <w:rPr>
          <w:rFonts w:ascii="Arial" w:hAnsi="Arial" w:cs="Arial"/>
          <w:b/>
          <w:bCs/>
          <w:color w:val="auto"/>
          <w:sz w:val="24"/>
          <w:szCs w:val="24"/>
          <w:lang w:val="en-IN"/>
        </w:rPr>
        <w:t xml:space="preserve">Demographic </w:t>
      </w:r>
      <w:r w:rsidR="00A409A3">
        <w:rPr>
          <w:rFonts w:ascii="Arial" w:hAnsi="Arial" w:cs="Arial"/>
          <w:b/>
          <w:bCs/>
          <w:color w:val="auto"/>
          <w:sz w:val="24"/>
          <w:szCs w:val="24"/>
          <w:lang w:val="en-IN"/>
        </w:rPr>
        <w:t>S</w:t>
      </w:r>
      <w:r w:rsidR="00CA3330" w:rsidRPr="00CA3330">
        <w:rPr>
          <w:rFonts w:ascii="Arial" w:hAnsi="Arial" w:cs="Arial"/>
          <w:b/>
          <w:bCs/>
          <w:color w:val="auto"/>
          <w:sz w:val="24"/>
          <w:szCs w:val="24"/>
          <w:lang w:val="en-IN"/>
        </w:rPr>
        <w:t>egmentation</w:t>
      </w:r>
      <w:bookmarkEnd w:id="2"/>
    </w:p>
    <w:p w14:paraId="750DCB26" w14:textId="77777777" w:rsidR="001315A8" w:rsidRDefault="00CA3330" w:rsidP="001315A8">
      <w:pPr>
        <w:spacing w:line="360" w:lineRule="auto"/>
        <w:jc w:val="both"/>
        <w:rPr>
          <w:rFonts w:ascii="Arial" w:hAnsi="Arial" w:cs="Arial"/>
          <w:sz w:val="24"/>
          <w:szCs w:val="24"/>
          <w:lang w:val="en-IN"/>
        </w:rPr>
      </w:pPr>
      <w:r w:rsidRPr="00CA3330">
        <w:rPr>
          <w:rFonts w:ascii="Arial" w:hAnsi="Arial" w:cs="Arial"/>
          <w:sz w:val="24"/>
          <w:szCs w:val="24"/>
          <w:lang w:val="en-IN"/>
        </w:rPr>
        <w:t xml:space="preserve">The primary demographic comprises Toyota and Lexus hybrid or battery-electric vehicle (BEV) owners aged approximately 30–55, with above-average disposable income and urban or suburban homeownership (relevant to residential energy storage adoption). </w:t>
      </w:r>
    </w:p>
    <w:p w14:paraId="677C2C57" w14:textId="6FB23D1B" w:rsidR="00ED3F4B" w:rsidRPr="00C1193E" w:rsidRDefault="00ED3F4B" w:rsidP="00C1193E">
      <w:pPr>
        <w:spacing w:line="360" w:lineRule="auto"/>
        <w:jc w:val="center"/>
        <w:rPr>
          <w:rFonts w:ascii="Arial" w:hAnsi="Arial" w:cs="Arial"/>
          <w:i/>
          <w:iCs/>
          <w:sz w:val="20"/>
          <w:szCs w:val="20"/>
          <w:lang w:val="en-IN"/>
        </w:rPr>
      </w:pPr>
      <w:r w:rsidRPr="00C1193E">
        <w:rPr>
          <w:i/>
          <w:iCs/>
          <w:noProof/>
          <w:sz w:val="20"/>
          <w:szCs w:val="20"/>
        </w:rPr>
        <w:drawing>
          <wp:inline distT="0" distB="0" distL="0" distR="0" wp14:anchorId="30EBF15B" wp14:editId="692947BE">
            <wp:extent cx="5280660" cy="5280660"/>
            <wp:effectExtent l="0" t="0" r="0" b="0"/>
            <wp:docPr id="1636825831" name="Picture 2" descr="Chart: Who Owns Electric Car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hart: Who Owns Electric Cars? | Statis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80660" cy="5280660"/>
                    </a:xfrm>
                    <a:prstGeom prst="rect">
                      <a:avLst/>
                    </a:prstGeom>
                    <a:noFill/>
                    <a:ln>
                      <a:noFill/>
                    </a:ln>
                  </pic:spPr>
                </pic:pic>
              </a:graphicData>
            </a:graphic>
          </wp:inline>
        </w:drawing>
      </w:r>
    </w:p>
    <w:p w14:paraId="424FA4E0" w14:textId="45A2A4D6" w:rsidR="00ED3F4B" w:rsidRPr="00C1193E" w:rsidRDefault="00ED3F4B" w:rsidP="00C1193E">
      <w:pPr>
        <w:spacing w:line="360" w:lineRule="auto"/>
        <w:jc w:val="center"/>
        <w:rPr>
          <w:rFonts w:ascii="Arial" w:hAnsi="Arial" w:cs="Arial"/>
          <w:i/>
          <w:iCs/>
          <w:sz w:val="20"/>
          <w:szCs w:val="20"/>
          <w:lang w:val="en-IN"/>
        </w:rPr>
      </w:pPr>
      <w:r w:rsidRPr="00C1193E">
        <w:rPr>
          <w:rFonts w:ascii="Arial" w:hAnsi="Arial" w:cs="Arial"/>
          <w:i/>
          <w:iCs/>
          <w:sz w:val="20"/>
          <w:szCs w:val="20"/>
          <w:lang w:val="en-IN"/>
        </w:rPr>
        <w:t>Source: https://tinyurl.com/pkun3v9h</w:t>
      </w:r>
    </w:p>
    <w:p w14:paraId="6DDF0B13" w14:textId="03086B6C" w:rsidR="00CA3330" w:rsidRPr="00CA3330" w:rsidRDefault="00CA3330" w:rsidP="001315A8">
      <w:pPr>
        <w:spacing w:line="360" w:lineRule="auto"/>
        <w:jc w:val="both"/>
        <w:rPr>
          <w:rFonts w:ascii="Arial" w:hAnsi="Arial" w:cs="Arial"/>
          <w:sz w:val="24"/>
          <w:szCs w:val="24"/>
          <w:lang w:val="en-IN"/>
        </w:rPr>
      </w:pPr>
      <w:r w:rsidRPr="00CA3330">
        <w:rPr>
          <w:rFonts w:ascii="Arial" w:hAnsi="Arial" w:cs="Arial"/>
          <w:sz w:val="24"/>
          <w:szCs w:val="24"/>
          <w:lang w:val="en-IN"/>
        </w:rPr>
        <w:t xml:space="preserve">This cohort intersects with vehicles reaching 8–15 years of age, the point at which batteries typically retain 70–80% of original capacity and become suitable for second-life applications (International Energy Agency, 2024; Harper </w:t>
      </w:r>
      <w:r w:rsidRPr="00CA3330">
        <w:rPr>
          <w:rFonts w:ascii="Arial" w:hAnsi="Arial" w:cs="Arial"/>
          <w:i/>
          <w:iCs/>
          <w:sz w:val="24"/>
          <w:szCs w:val="24"/>
          <w:lang w:val="en-IN"/>
        </w:rPr>
        <w:t>et al.</w:t>
      </w:r>
      <w:r w:rsidRPr="00CA3330">
        <w:rPr>
          <w:rFonts w:ascii="Arial" w:hAnsi="Arial" w:cs="Arial"/>
          <w:sz w:val="24"/>
          <w:szCs w:val="24"/>
          <w:lang w:val="en-IN"/>
        </w:rPr>
        <w:t xml:space="preserve">, 2019). A secondary </w:t>
      </w:r>
      <w:r w:rsidRPr="00CA3330">
        <w:rPr>
          <w:rFonts w:ascii="Arial" w:hAnsi="Arial" w:cs="Arial"/>
          <w:sz w:val="24"/>
          <w:szCs w:val="24"/>
          <w:lang w:val="en-IN"/>
        </w:rPr>
        <w:lastRenderedPageBreak/>
        <w:t>demographic comprises B2B procurement managers within utilities, renewable energy developers and commercial property firms.</w:t>
      </w:r>
    </w:p>
    <w:p w14:paraId="57714D82" w14:textId="50537328" w:rsidR="00CA3330" w:rsidRPr="001315A8" w:rsidRDefault="001315A8" w:rsidP="001315A8">
      <w:pPr>
        <w:pStyle w:val="Heading2"/>
        <w:spacing w:line="360" w:lineRule="auto"/>
        <w:rPr>
          <w:rFonts w:ascii="Arial" w:hAnsi="Arial" w:cs="Arial"/>
          <w:b/>
          <w:bCs/>
          <w:color w:val="auto"/>
          <w:sz w:val="24"/>
          <w:szCs w:val="24"/>
          <w:lang w:val="en-IN"/>
        </w:rPr>
      </w:pPr>
      <w:bookmarkStart w:id="3" w:name="_Toc236583251"/>
      <w:r w:rsidRPr="001315A8">
        <w:rPr>
          <w:rFonts w:ascii="Arial" w:hAnsi="Arial" w:cs="Arial"/>
          <w:b/>
          <w:bCs/>
          <w:color w:val="auto"/>
          <w:sz w:val="24"/>
          <w:szCs w:val="24"/>
          <w:lang w:val="en-IN"/>
        </w:rPr>
        <w:t xml:space="preserve">2.3 </w:t>
      </w:r>
      <w:r w:rsidR="00CA3330" w:rsidRPr="00CA3330">
        <w:rPr>
          <w:rFonts w:ascii="Arial" w:hAnsi="Arial" w:cs="Arial"/>
          <w:b/>
          <w:bCs/>
          <w:color w:val="auto"/>
          <w:sz w:val="24"/>
          <w:szCs w:val="24"/>
          <w:lang w:val="en-IN"/>
        </w:rPr>
        <w:t xml:space="preserve">Psychographic </w:t>
      </w:r>
      <w:r w:rsidR="00A409A3">
        <w:rPr>
          <w:rFonts w:ascii="Arial" w:hAnsi="Arial" w:cs="Arial"/>
          <w:b/>
          <w:bCs/>
          <w:color w:val="auto"/>
          <w:sz w:val="24"/>
          <w:szCs w:val="24"/>
          <w:lang w:val="en-IN"/>
        </w:rPr>
        <w:t>S</w:t>
      </w:r>
      <w:r w:rsidR="00CA3330" w:rsidRPr="001315A8">
        <w:rPr>
          <w:rFonts w:ascii="Arial" w:hAnsi="Arial" w:cs="Arial"/>
          <w:b/>
          <w:bCs/>
          <w:color w:val="auto"/>
          <w:sz w:val="24"/>
          <w:szCs w:val="24"/>
          <w:lang w:val="en-IN"/>
        </w:rPr>
        <w:t>egmentation</w:t>
      </w:r>
      <w:bookmarkEnd w:id="3"/>
    </w:p>
    <w:p w14:paraId="41173813" w14:textId="77777777" w:rsid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According to Solomon's (2020) examination of self-concept and green buying motives, consumers are divided based on sustainability principles and environmental self-identity rather than just income. </w:t>
      </w:r>
    </w:p>
    <w:p w14:paraId="63BC0DDA" w14:textId="79730DE2" w:rsidR="00ED3F4B" w:rsidRPr="00C1193E" w:rsidRDefault="00ED3F4B" w:rsidP="00C1193E">
      <w:pPr>
        <w:spacing w:line="360" w:lineRule="auto"/>
        <w:jc w:val="center"/>
        <w:rPr>
          <w:rFonts w:ascii="Arial" w:hAnsi="Arial" w:cs="Arial"/>
          <w:i/>
          <w:iCs/>
          <w:sz w:val="20"/>
          <w:szCs w:val="20"/>
          <w:lang w:val="en-IN"/>
        </w:rPr>
      </w:pPr>
      <w:r w:rsidRPr="00C1193E">
        <w:rPr>
          <w:rFonts w:ascii="Arial" w:hAnsi="Arial" w:cs="Arial"/>
          <w:i/>
          <w:iCs/>
          <w:noProof/>
          <w:sz w:val="20"/>
          <w:szCs w:val="20"/>
          <w:lang w:val="en-IN"/>
        </w:rPr>
        <w:drawing>
          <wp:inline distT="0" distB="0" distL="0" distR="0" wp14:anchorId="4DE897D4" wp14:editId="6F157C40">
            <wp:extent cx="5578323" cy="5692633"/>
            <wp:effectExtent l="0" t="0" r="3810" b="3810"/>
            <wp:docPr id="166150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50247" name=""/>
                    <pic:cNvPicPr/>
                  </pic:nvPicPr>
                  <pic:blipFill>
                    <a:blip r:embed="rId11"/>
                    <a:stretch>
                      <a:fillRect/>
                    </a:stretch>
                  </pic:blipFill>
                  <pic:spPr>
                    <a:xfrm>
                      <a:off x="0" y="0"/>
                      <a:ext cx="5578323" cy="5692633"/>
                    </a:xfrm>
                    <a:prstGeom prst="rect">
                      <a:avLst/>
                    </a:prstGeom>
                  </pic:spPr>
                </pic:pic>
              </a:graphicData>
            </a:graphic>
          </wp:inline>
        </w:drawing>
      </w:r>
    </w:p>
    <w:p w14:paraId="62DA2579" w14:textId="64B7E2E6" w:rsidR="00ED3F4B" w:rsidRPr="00C1193E" w:rsidRDefault="00ED3F4B" w:rsidP="00C1193E">
      <w:pPr>
        <w:spacing w:line="360" w:lineRule="auto"/>
        <w:jc w:val="center"/>
        <w:rPr>
          <w:rFonts w:ascii="Arial" w:hAnsi="Arial" w:cs="Arial"/>
          <w:i/>
          <w:iCs/>
          <w:sz w:val="20"/>
          <w:szCs w:val="20"/>
          <w:lang w:val="en-IN"/>
        </w:rPr>
      </w:pPr>
      <w:r w:rsidRPr="00C1193E">
        <w:rPr>
          <w:rFonts w:ascii="Arial" w:hAnsi="Arial" w:cs="Arial"/>
          <w:i/>
          <w:iCs/>
          <w:sz w:val="20"/>
          <w:szCs w:val="20"/>
          <w:lang w:val="en-IN"/>
        </w:rPr>
        <w:t>Source: https://www.esource.com/report/1352404ob7/which-customers-are-likely-buy-ev-within-next-five-years</w:t>
      </w:r>
    </w:p>
    <w:p w14:paraId="22886E35" w14:textId="4A7DF0C3" w:rsidR="00BA6844" w:rsidRP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However, Peattie and Crane (2005) warn that in order to prevent greenwashing </w:t>
      </w:r>
      <w:r w:rsidR="001315A8" w:rsidRPr="001315A8">
        <w:rPr>
          <w:rFonts w:ascii="Arial" w:hAnsi="Arial" w:cs="Arial"/>
          <w:sz w:val="24"/>
          <w:szCs w:val="24"/>
          <w:lang w:val="en-IN"/>
        </w:rPr>
        <w:t>scepticism</w:t>
      </w:r>
      <w:r w:rsidRPr="001315A8">
        <w:rPr>
          <w:rFonts w:ascii="Arial" w:hAnsi="Arial" w:cs="Arial"/>
          <w:sz w:val="24"/>
          <w:szCs w:val="24"/>
          <w:lang w:val="en-IN"/>
        </w:rPr>
        <w:t xml:space="preserve">, environmentally framed segments must be truly values-driven rather than </w:t>
      </w:r>
      <w:r w:rsidRPr="001315A8">
        <w:rPr>
          <w:rFonts w:ascii="Arial" w:hAnsi="Arial" w:cs="Arial"/>
          <w:sz w:val="24"/>
          <w:szCs w:val="24"/>
          <w:lang w:val="en-IN"/>
        </w:rPr>
        <w:lastRenderedPageBreak/>
        <w:t>just eco-</w:t>
      </w:r>
      <w:r w:rsidR="001315A8" w:rsidRPr="001315A8">
        <w:rPr>
          <w:rFonts w:ascii="Arial" w:hAnsi="Arial" w:cs="Arial"/>
          <w:sz w:val="24"/>
          <w:szCs w:val="24"/>
          <w:lang w:val="en-IN"/>
        </w:rPr>
        <w:t>labelled</w:t>
      </w:r>
      <w:r w:rsidRPr="001315A8">
        <w:rPr>
          <w:rFonts w:ascii="Arial" w:hAnsi="Arial" w:cs="Arial"/>
          <w:sz w:val="24"/>
          <w:szCs w:val="24"/>
          <w:lang w:val="en-IN"/>
        </w:rPr>
        <w:t>. This risk is particularly pertinent given Toyota's dual identity as a mass-market manufacturer entering a sustainability-branded space.</w:t>
      </w:r>
    </w:p>
    <w:p w14:paraId="3E5B9E8F" w14:textId="37EE4B7E" w:rsidR="00CA3330" w:rsidRPr="001315A8" w:rsidRDefault="001315A8" w:rsidP="001315A8">
      <w:pPr>
        <w:pStyle w:val="Heading2"/>
        <w:spacing w:line="360" w:lineRule="auto"/>
        <w:rPr>
          <w:rFonts w:ascii="Arial" w:hAnsi="Arial" w:cs="Arial"/>
          <w:b/>
          <w:bCs/>
          <w:color w:val="auto"/>
          <w:sz w:val="24"/>
          <w:szCs w:val="24"/>
          <w:lang w:val="en-IN"/>
        </w:rPr>
      </w:pPr>
      <w:bookmarkStart w:id="4" w:name="_Toc236583252"/>
      <w:r w:rsidRPr="001315A8">
        <w:rPr>
          <w:rFonts w:ascii="Arial" w:hAnsi="Arial" w:cs="Arial"/>
          <w:b/>
          <w:bCs/>
          <w:color w:val="auto"/>
          <w:sz w:val="24"/>
          <w:szCs w:val="24"/>
          <w:lang w:val="en-IN"/>
        </w:rPr>
        <w:t xml:space="preserve">2.4 </w:t>
      </w:r>
      <w:r w:rsidR="00CA3330" w:rsidRPr="00CA3330">
        <w:rPr>
          <w:rFonts w:ascii="Arial" w:hAnsi="Arial" w:cs="Arial"/>
          <w:b/>
          <w:bCs/>
          <w:color w:val="auto"/>
          <w:sz w:val="24"/>
          <w:szCs w:val="24"/>
          <w:lang w:val="en-IN"/>
        </w:rPr>
        <w:t xml:space="preserve">Behavioural </w:t>
      </w:r>
      <w:r w:rsidR="00A409A3">
        <w:rPr>
          <w:rFonts w:ascii="Arial" w:hAnsi="Arial" w:cs="Arial"/>
          <w:b/>
          <w:bCs/>
          <w:color w:val="auto"/>
          <w:sz w:val="24"/>
          <w:szCs w:val="24"/>
          <w:lang w:val="en-IN"/>
        </w:rPr>
        <w:t>S</w:t>
      </w:r>
      <w:r w:rsidR="00CA3330" w:rsidRPr="00CA3330">
        <w:rPr>
          <w:rFonts w:ascii="Arial" w:hAnsi="Arial" w:cs="Arial"/>
          <w:b/>
          <w:bCs/>
          <w:color w:val="auto"/>
          <w:sz w:val="24"/>
          <w:szCs w:val="24"/>
          <w:lang w:val="en-IN"/>
        </w:rPr>
        <w:t>egmentation</w:t>
      </w:r>
      <w:bookmarkEnd w:id="4"/>
    </w:p>
    <w:p w14:paraId="5E6E8F9B" w14:textId="4A31352F" w:rsidR="00BA6844" w:rsidRP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Three distinct </w:t>
      </w:r>
      <w:r w:rsidR="001315A8" w:rsidRPr="001315A8">
        <w:rPr>
          <w:rFonts w:ascii="Arial" w:hAnsi="Arial" w:cs="Arial"/>
          <w:sz w:val="24"/>
          <w:szCs w:val="24"/>
          <w:lang w:val="en-IN"/>
        </w:rPr>
        <w:t>behavioural</w:t>
      </w:r>
      <w:r w:rsidRPr="001315A8">
        <w:rPr>
          <w:rFonts w:ascii="Arial" w:hAnsi="Arial" w:cs="Arial"/>
          <w:sz w:val="24"/>
          <w:szCs w:val="24"/>
          <w:lang w:val="en-IN"/>
        </w:rPr>
        <w:t xml:space="preserve"> subgroups can be identified: early technology adopters driven by novelty and innovation; brand loyalists with high repurchase intent who will engage through trust in the Toyota name; and functionally driven customers responding primarily to the financial trade-in incentive rather than environmental motivation. Kotler and Keller's (2016) usage- and attitude-based </w:t>
      </w:r>
      <w:r w:rsidR="001315A8" w:rsidRPr="001315A8">
        <w:rPr>
          <w:rFonts w:ascii="Arial" w:hAnsi="Arial" w:cs="Arial"/>
          <w:sz w:val="24"/>
          <w:szCs w:val="24"/>
          <w:lang w:val="en-IN"/>
        </w:rPr>
        <w:t>behavioural</w:t>
      </w:r>
      <w:r w:rsidRPr="001315A8">
        <w:rPr>
          <w:rFonts w:ascii="Arial" w:hAnsi="Arial" w:cs="Arial"/>
          <w:sz w:val="24"/>
          <w:szCs w:val="24"/>
          <w:lang w:val="en-IN"/>
        </w:rPr>
        <w:t xml:space="preserve"> segmentation reasoning is reflected in this tripartite framework.</w:t>
      </w:r>
    </w:p>
    <w:p w14:paraId="3467EEED" w14:textId="79665960" w:rsidR="00CA3330" w:rsidRPr="001315A8" w:rsidRDefault="001315A8" w:rsidP="001315A8">
      <w:pPr>
        <w:pStyle w:val="Heading2"/>
        <w:spacing w:line="360" w:lineRule="auto"/>
        <w:rPr>
          <w:rFonts w:ascii="Arial" w:hAnsi="Arial" w:cs="Arial"/>
          <w:b/>
          <w:bCs/>
          <w:color w:val="auto"/>
          <w:sz w:val="24"/>
          <w:szCs w:val="24"/>
          <w:lang w:val="en-IN"/>
        </w:rPr>
      </w:pPr>
      <w:bookmarkStart w:id="5" w:name="_Toc236583253"/>
      <w:r w:rsidRPr="001315A8">
        <w:rPr>
          <w:rFonts w:ascii="Arial" w:hAnsi="Arial" w:cs="Arial"/>
          <w:b/>
          <w:bCs/>
          <w:color w:val="auto"/>
          <w:sz w:val="24"/>
          <w:szCs w:val="24"/>
          <w:lang w:val="en-IN"/>
        </w:rPr>
        <w:t xml:space="preserve">2.5 </w:t>
      </w:r>
      <w:r w:rsidR="00CA3330" w:rsidRPr="00CA3330">
        <w:rPr>
          <w:rFonts w:ascii="Arial" w:hAnsi="Arial" w:cs="Arial"/>
          <w:b/>
          <w:bCs/>
          <w:color w:val="auto"/>
          <w:sz w:val="24"/>
          <w:szCs w:val="24"/>
          <w:lang w:val="en-IN"/>
        </w:rPr>
        <w:t xml:space="preserve">Target </w:t>
      </w:r>
      <w:r w:rsidR="00A409A3">
        <w:rPr>
          <w:rFonts w:ascii="Arial" w:hAnsi="Arial" w:cs="Arial"/>
          <w:b/>
          <w:bCs/>
          <w:color w:val="auto"/>
          <w:sz w:val="24"/>
          <w:szCs w:val="24"/>
          <w:lang w:val="en-IN"/>
        </w:rPr>
        <w:t>A</w:t>
      </w:r>
      <w:r w:rsidR="00CA3330" w:rsidRPr="00CA3330">
        <w:rPr>
          <w:rFonts w:ascii="Arial" w:hAnsi="Arial" w:cs="Arial"/>
          <w:b/>
          <w:bCs/>
          <w:color w:val="auto"/>
          <w:sz w:val="24"/>
          <w:szCs w:val="24"/>
          <w:lang w:val="en-IN"/>
        </w:rPr>
        <w:t>udience</w:t>
      </w:r>
      <w:bookmarkEnd w:id="5"/>
    </w:p>
    <w:p w14:paraId="4B21151A" w14:textId="77777777" w:rsid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The main focus is current owners of BEVs and Toyota/Lexus hybrids in developed EV markets whose batteries are getting close to the 8–15-year automotive-life threshold, especially those who have already used Toyota's repair network. This is a "captive base" that significantly reduces the cost of acquiring new clients in comparison to bringing in new ones. </w:t>
      </w:r>
    </w:p>
    <w:p w14:paraId="1B9DCACF" w14:textId="7E7CFAA8" w:rsidR="00ED3F4B" w:rsidRPr="00C1193E" w:rsidRDefault="00ED3F4B" w:rsidP="00ED3F4B">
      <w:pPr>
        <w:spacing w:line="360" w:lineRule="auto"/>
        <w:jc w:val="center"/>
        <w:rPr>
          <w:rFonts w:ascii="Arial" w:hAnsi="Arial" w:cs="Arial"/>
          <w:i/>
          <w:iCs/>
          <w:sz w:val="20"/>
          <w:szCs w:val="20"/>
          <w:lang w:val="en-IN"/>
        </w:rPr>
      </w:pPr>
      <w:r w:rsidRPr="00C1193E">
        <w:rPr>
          <w:i/>
          <w:iCs/>
          <w:noProof/>
          <w:sz w:val="20"/>
          <w:szCs w:val="20"/>
        </w:rPr>
        <w:drawing>
          <wp:inline distT="0" distB="0" distL="0" distR="0" wp14:anchorId="663174D6" wp14:editId="3C6A2D0C">
            <wp:extent cx="4305300" cy="3550920"/>
            <wp:effectExtent l="0" t="0" r="0" b="0"/>
            <wp:docPr id="1701576499" name="Picture 5" descr="New twists in the electric vehicle (EV) market | McKins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New twists in the electric vehicle (EV) market | McKinsey"/>
                    <pic:cNvPicPr>
                      <a:picLocks noChangeAspect="1" noChangeArrowheads="1"/>
                    </pic:cNvPicPr>
                  </pic:nvPicPr>
                  <pic:blipFill rotWithShape="1">
                    <a:blip r:embed="rId12">
                      <a:extLst>
                        <a:ext uri="{28A0092B-C50C-407E-A947-70E740481C1C}">
                          <a14:useLocalDpi xmlns:a14="http://schemas.microsoft.com/office/drawing/2010/main" val="0"/>
                        </a:ext>
                      </a:extLst>
                    </a:blip>
                    <a:srcRect b="15733"/>
                    <a:stretch>
                      <a:fillRect/>
                    </a:stretch>
                  </pic:blipFill>
                  <pic:spPr bwMode="auto">
                    <a:xfrm>
                      <a:off x="0" y="0"/>
                      <a:ext cx="4305300" cy="3550920"/>
                    </a:xfrm>
                    <a:prstGeom prst="rect">
                      <a:avLst/>
                    </a:prstGeom>
                    <a:noFill/>
                    <a:ln>
                      <a:noFill/>
                    </a:ln>
                    <a:extLst>
                      <a:ext uri="{53640926-AAD7-44D8-BBD7-CCE9431645EC}">
                        <a14:shadowObscured xmlns:a14="http://schemas.microsoft.com/office/drawing/2010/main"/>
                      </a:ext>
                    </a:extLst>
                  </pic:spPr>
                </pic:pic>
              </a:graphicData>
            </a:graphic>
          </wp:inline>
        </w:drawing>
      </w:r>
    </w:p>
    <w:p w14:paraId="00ACC432" w14:textId="0D7585C2" w:rsidR="00ED3F4B" w:rsidRPr="00C1193E" w:rsidRDefault="00ED3F4B" w:rsidP="00ED3F4B">
      <w:pPr>
        <w:spacing w:line="360" w:lineRule="auto"/>
        <w:jc w:val="center"/>
        <w:rPr>
          <w:rFonts w:ascii="Arial" w:hAnsi="Arial" w:cs="Arial"/>
          <w:i/>
          <w:iCs/>
          <w:sz w:val="20"/>
          <w:szCs w:val="20"/>
          <w:lang w:val="en-IN"/>
        </w:rPr>
      </w:pPr>
      <w:r w:rsidRPr="00C1193E">
        <w:rPr>
          <w:rFonts w:ascii="Arial" w:hAnsi="Arial" w:cs="Arial"/>
          <w:i/>
          <w:iCs/>
          <w:sz w:val="20"/>
          <w:szCs w:val="20"/>
          <w:lang w:val="en-IN"/>
        </w:rPr>
        <w:t>Source: https://tinyurl.com/cch8vzyf</w:t>
      </w:r>
    </w:p>
    <w:p w14:paraId="7C81A0DB" w14:textId="32CF05DF" w:rsidR="00BA6844" w:rsidRP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B2B purchasers of stationary storage, such as utilities, renewable energy developers, and commercial operators, are the secondary target because they are in a position to </w:t>
      </w:r>
      <w:r w:rsidRPr="001315A8">
        <w:rPr>
          <w:rFonts w:ascii="Arial" w:hAnsi="Arial" w:cs="Arial"/>
          <w:sz w:val="24"/>
          <w:szCs w:val="24"/>
          <w:lang w:val="en-IN"/>
        </w:rPr>
        <w:lastRenderedPageBreak/>
        <w:t>profit from the global EV battery recycling and second-life market, which is expected to increase from USD 28.1 billion in 2025 to over USD 95 billion by 2034 (Precedence Research, 2025).</w:t>
      </w:r>
    </w:p>
    <w:p w14:paraId="01585D98" w14:textId="1D395240" w:rsidR="00CA3330" w:rsidRPr="001315A8" w:rsidRDefault="001315A8" w:rsidP="001315A8">
      <w:pPr>
        <w:pStyle w:val="Heading2"/>
        <w:spacing w:line="360" w:lineRule="auto"/>
        <w:rPr>
          <w:rFonts w:ascii="Arial" w:hAnsi="Arial" w:cs="Arial"/>
          <w:b/>
          <w:bCs/>
          <w:color w:val="auto"/>
          <w:sz w:val="24"/>
          <w:szCs w:val="24"/>
          <w:lang w:val="en-IN"/>
        </w:rPr>
      </w:pPr>
      <w:bookmarkStart w:id="6" w:name="_Toc236583254"/>
      <w:r w:rsidRPr="001315A8">
        <w:rPr>
          <w:rFonts w:ascii="Arial" w:hAnsi="Arial" w:cs="Arial"/>
          <w:b/>
          <w:bCs/>
          <w:color w:val="auto"/>
          <w:sz w:val="24"/>
          <w:szCs w:val="24"/>
          <w:lang w:val="en-IN"/>
        </w:rPr>
        <w:t xml:space="preserve">2.6 </w:t>
      </w:r>
      <w:r w:rsidR="00CA3330" w:rsidRPr="00CA3330">
        <w:rPr>
          <w:rFonts w:ascii="Arial" w:hAnsi="Arial" w:cs="Arial"/>
          <w:b/>
          <w:bCs/>
          <w:color w:val="auto"/>
          <w:sz w:val="24"/>
          <w:szCs w:val="24"/>
          <w:lang w:val="en-IN"/>
        </w:rPr>
        <w:t>Differentiation</w:t>
      </w:r>
      <w:bookmarkEnd w:id="6"/>
    </w:p>
    <w:p w14:paraId="00D68423" w14:textId="77777777" w:rsid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Because Toyota alone controls the entire lifecycle from original manufacture through dealership take-back to certified refurbishment, it sets itself apart from competing manufacturer schemes like Nissan's 4R Energy and independent recyclers like Redwood Materials and Li-Cycle through OEM-certified provenance and closed-loop traceability. </w:t>
      </w:r>
    </w:p>
    <w:p w14:paraId="1C1971FD" w14:textId="77777777" w:rsid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According to Aaker and Keller (1990) and Volckner and Sattler (2006), brand-extension success relies on perceived fit and quality transfer from the parent brand; Toyota's manufacturing history and current warranty infrastructure directly lend credibility to the refurbished-battery offer in a manner that pure-play recyclers cannot match. </w:t>
      </w:r>
    </w:p>
    <w:p w14:paraId="73EF7007" w14:textId="4097D6D5" w:rsidR="00BA6844" w:rsidRP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Therefore, differentiation is based on three pillars: (1) warranty assurance and certification; (2) seamless integration with current dealership infrastructure; and (3) a genuine, full-lifecycle circularity story that addresses Peattie and Crane's (2005) concerns about trustworthiness.</w:t>
      </w:r>
    </w:p>
    <w:p w14:paraId="4FF2915F" w14:textId="2BD48927" w:rsidR="00CA3330" w:rsidRPr="001315A8" w:rsidRDefault="001315A8" w:rsidP="001315A8">
      <w:pPr>
        <w:pStyle w:val="Heading2"/>
        <w:spacing w:line="360" w:lineRule="auto"/>
        <w:rPr>
          <w:rFonts w:ascii="Arial" w:hAnsi="Arial" w:cs="Arial"/>
          <w:b/>
          <w:bCs/>
          <w:color w:val="auto"/>
          <w:sz w:val="24"/>
          <w:szCs w:val="24"/>
          <w:lang w:val="en-IN"/>
        </w:rPr>
      </w:pPr>
      <w:bookmarkStart w:id="7" w:name="_Toc236583255"/>
      <w:r w:rsidRPr="001315A8">
        <w:rPr>
          <w:rFonts w:ascii="Arial" w:hAnsi="Arial" w:cs="Arial"/>
          <w:b/>
          <w:bCs/>
          <w:color w:val="auto"/>
          <w:sz w:val="24"/>
          <w:szCs w:val="24"/>
          <w:lang w:val="en-IN"/>
        </w:rPr>
        <w:t xml:space="preserve">2.7 </w:t>
      </w:r>
      <w:r w:rsidR="00CA3330" w:rsidRPr="00CA3330">
        <w:rPr>
          <w:rFonts w:ascii="Arial" w:hAnsi="Arial" w:cs="Arial"/>
          <w:b/>
          <w:bCs/>
          <w:color w:val="auto"/>
          <w:sz w:val="24"/>
          <w:szCs w:val="24"/>
          <w:lang w:val="en-IN"/>
        </w:rPr>
        <w:t>Positioning</w:t>
      </w:r>
      <w:bookmarkEnd w:id="7"/>
    </w:p>
    <w:p w14:paraId="28F99534" w14:textId="77777777" w:rsid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In contrast to non-circular OEM competitors (high brand equity, low visible circularity) and low-trust independent recyclers (high sustainability claim, low brand equity), Toyota Circular Battery+ is situated in the "high sustainability credibility × high brand trust" quadrant. </w:t>
      </w:r>
    </w:p>
    <w:p w14:paraId="1C0E6793" w14:textId="77777777" w:rsid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Toyota Circular Battery+ is the only manufacturer-certified circular battery ecosystem that converts end-of-life EV batteries into trusted second-life value for environmentally conscious Toyota owners and sustainability-focused organizations. Unlike third-party recyclers, Toyota's global manufacturing heritage and 10.8 million vehicles installed annually (Toyota Motor Corporation, 2025a) guarantee certified quality and full traceability.</w:t>
      </w:r>
    </w:p>
    <w:p w14:paraId="0BD1C1BB" w14:textId="09DDC655" w:rsidR="00BA6844" w:rsidRP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In addition to advancing SDGs 7, 9, 12, and 13, this posture directly supports Toyota's declared objective to becoming carbon neutral by 2050 (Toyota Motor Corporation, </w:t>
      </w:r>
      <w:r w:rsidRPr="001315A8">
        <w:rPr>
          <w:rFonts w:ascii="Arial" w:hAnsi="Arial" w:cs="Arial"/>
          <w:sz w:val="24"/>
          <w:szCs w:val="24"/>
          <w:lang w:val="en-IN"/>
        </w:rPr>
        <w:lastRenderedPageBreak/>
        <w:t>2025b) and integrates sustainability credentials within a competitive market that can be defended commercially.</w:t>
      </w:r>
    </w:p>
    <w:p w14:paraId="6F185EBD" w14:textId="6FA82AD2" w:rsidR="00CA3330" w:rsidRPr="00CA3330" w:rsidRDefault="00CA3330" w:rsidP="001315A8">
      <w:pPr>
        <w:pStyle w:val="Heading1"/>
        <w:spacing w:line="360" w:lineRule="auto"/>
        <w:rPr>
          <w:rFonts w:ascii="Arial" w:hAnsi="Arial" w:cs="Arial"/>
          <w:b/>
          <w:bCs/>
          <w:sz w:val="24"/>
          <w:szCs w:val="24"/>
          <w:lang w:val="en-IN"/>
        </w:rPr>
      </w:pPr>
      <w:bookmarkStart w:id="8" w:name="_Toc236583256"/>
      <w:r w:rsidRPr="00CA3330">
        <w:rPr>
          <w:rFonts w:ascii="Arial" w:hAnsi="Arial" w:cs="Arial"/>
          <w:b/>
          <w:bCs/>
          <w:sz w:val="24"/>
          <w:szCs w:val="24"/>
          <w:lang w:val="en-IN"/>
        </w:rPr>
        <w:t>Element 3</w:t>
      </w:r>
      <w:bookmarkEnd w:id="8"/>
    </w:p>
    <w:p w14:paraId="3AD7B452" w14:textId="77777777" w:rsid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The extended services marketing mix of 7Ps (Booms and Bitner, 1981) is more appropriate than McCarthy's original four-element framework first conceived by Borden (1964) because Toyota Circular Battery+ combines a physical product (refurbished batteries, second-life storage units) with an intangible service layer (collection, certification, monitoring). </w:t>
      </w:r>
    </w:p>
    <w:p w14:paraId="589EE27D" w14:textId="4DC417BB" w:rsidR="00BA6844" w:rsidRP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Zeithaml, Bitner, and Gremler (2018) </w:t>
      </w:r>
      <w:r w:rsidR="001315A8">
        <w:rPr>
          <w:rFonts w:ascii="Arial" w:hAnsi="Arial" w:cs="Arial"/>
          <w:sz w:val="24"/>
          <w:szCs w:val="24"/>
          <w:lang w:val="en-IN"/>
        </w:rPr>
        <w:t>suggested</w:t>
      </w:r>
      <w:r w:rsidRPr="001315A8">
        <w:rPr>
          <w:rFonts w:ascii="Arial" w:hAnsi="Arial" w:cs="Arial"/>
          <w:sz w:val="24"/>
          <w:szCs w:val="24"/>
          <w:lang w:val="en-IN"/>
        </w:rPr>
        <w:t xml:space="preserve"> that in addition to the conventional Product, Price, Place, and Promotion, servitized or hybrid offerings necessitate the explicit management of People, Process, and Physical Evidence. This reasoning directly applies to a circular ecosystem where trust and traceability are just as crucial as the actual battery.</w:t>
      </w:r>
    </w:p>
    <w:p w14:paraId="69005500" w14:textId="32CFE77D" w:rsidR="00CA3330" w:rsidRPr="001315A8" w:rsidRDefault="001315A8" w:rsidP="001315A8">
      <w:pPr>
        <w:pStyle w:val="Heading2"/>
        <w:spacing w:line="360" w:lineRule="auto"/>
        <w:rPr>
          <w:rFonts w:ascii="Arial" w:hAnsi="Arial" w:cs="Arial"/>
          <w:b/>
          <w:bCs/>
          <w:color w:val="auto"/>
          <w:sz w:val="24"/>
          <w:szCs w:val="24"/>
          <w:lang w:val="en-IN"/>
        </w:rPr>
      </w:pPr>
      <w:bookmarkStart w:id="9" w:name="_Toc236583257"/>
      <w:r w:rsidRPr="001315A8">
        <w:rPr>
          <w:rFonts w:ascii="Arial" w:hAnsi="Arial" w:cs="Arial"/>
          <w:b/>
          <w:bCs/>
          <w:color w:val="auto"/>
          <w:sz w:val="24"/>
          <w:szCs w:val="24"/>
          <w:lang w:val="en-IN"/>
        </w:rPr>
        <w:t xml:space="preserve">3.1 </w:t>
      </w:r>
      <w:r w:rsidR="00CA3330" w:rsidRPr="00CA3330">
        <w:rPr>
          <w:rFonts w:ascii="Arial" w:hAnsi="Arial" w:cs="Arial"/>
          <w:b/>
          <w:bCs/>
          <w:color w:val="auto"/>
          <w:sz w:val="24"/>
          <w:szCs w:val="24"/>
          <w:lang w:val="en-IN"/>
        </w:rPr>
        <w:t>Product</w:t>
      </w:r>
      <w:bookmarkEnd w:id="9"/>
    </w:p>
    <w:p w14:paraId="08985DE3" w14:textId="77777777" w:rsid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The primary product is a certified circular ecosystem bundle that includes second-life stationary storage systems, reconditioned batteries for vehicle reuse, and a warranty and monitoring service. </w:t>
      </w:r>
    </w:p>
    <w:p w14:paraId="0B2FDD1F" w14:textId="77777777" w:rsid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Using Kotler and Keller's (2016) three-level product model, the certified refurbished battery itself is the actual product; traceability data, digital health monitoring, and warranty assurance are the augmented product; and sustainable, reasonably priced energy storage and mobility is the core benefit. </w:t>
      </w:r>
    </w:p>
    <w:p w14:paraId="3386D4FC" w14:textId="58568B6E" w:rsidR="00BA6844" w:rsidRP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Since certified provenance serves as an intangible quality that boosts green brand confidence, this enhanced layer is the main difference (Chen, 2010).</w:t>
      </w:r>
    </w:p>
    <w:p w14:paraId="186EC7F4" w14:textId="6F079339" w:rsidR="00CA3330" w:rsidRPr="001315A8" w:rsidRDefault="001315A8" w:rsidP="001315A8">
      <w:pPr>
        <w:pStyle w:val="Heading2"/>
        <w:spacing w:line="360" w:lineRule="auto"/>
        <w:rPr>
          <w:rFonts w:ascii="Arial" w:hAnsi="Arial" w:cs="Arial"/>
          <w:b/>
          <w:bCs/>
          <w:color w:val="auto"/>
          <w:sz w:val="24"/>
          <w:szCs w:val="24"/>
          <w:lang w:val="en-IN"/>
        </w:rPr>
      </w:pPr>
      <w:bookmarkStart w:id="10" w:name="_Toc236583258"/>
      <w:r w:rsidRPr="001315A8">
        <w:rPr>
          <w:rFonts w:ascii="Arial" w:hAnsi="Arial" w:cs="Arial"/>
          <w:b/>
          <w:bCs/>
          <w:color w:val="auto"/>
          <w:sz w:val="24"/>
          <w:szCs w:val="24"/>
          <w:lang w:val="en-IN"/>
        </w:rPr>
        <w:t xml:space="preserve">3.2 </w:t>
      </w:r>
      <w:r w:rsidR="00CA3330" w:rsidRPr="00CA3330">
        <w:rPr>
          <w:rFonts w:ascii="Arial" w:hAnsi="Arial" w:cs="Arial"/>
          <w:b/>
          <w:bCs/>
          <w:color w:val="auto"/>
          <w:sz w:val="24"/>
          <w:szCs w:val="24"/>
          <w:lang w:val="en-IN"/>
        </w:rPr>
        <w:t>Price</w:t>
      </w:r>
      <w:bookmarkEnd w:id="10"/>
    </w:p>
    <w:p w14:paraId="7ECD4BEC" w14:textId="77777777" w:rsid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Value-based pricing is used instead of cost-plus pricing. As a loyalty-reinforcing incentive rather than a stand-alone price point, the trade-in credit model lowers the effective cost of a new Toyota EV or of servicing for customers. By utilizing the reduced input cost of used cells, second-life systems are priced competitively versus new lithium-ion storage for B2B storage clients</w:t>
      </w:r>
      <w:r w:rsidR="001315A8">
        <w:rPr>
          <w:rFonts w:ascii="Arial" w:hAnsi="Arial" w:cs="Arial"/>
          <w:sz w:val="24"/>
          <w:szCs w:val="24"/>
          <w:lang w:val="en-IN"/>
        </w:rPr>
        <w:t xml:space="preserve">. </w:t>
      </w:r>
    </w:p>
    <w:p w14:paraId="63A79414" w14:textId="14BA62A5" w:rsidR="00ED3F4B" w:rsidRPr="00C1193E" w:rsidRDefault="00ED3F4B" w:rsidP="00C1193E">
      <w:pPr>
        <w:spacing w:line="360" w:lineRule="auto"/>
        <w:jc w:val="center"/>
        <w:rPr>
          <w:rFonts w:ascii="Arial" w:hAnsi="Arial" w:cs="Arial"/>
          <w:i/>
          <w:iCs/>
          <w:sz w:val="20"/>
          <w:szCs w:val="20"/>
          <w:lang w:val="en-IN"/>
        </w:rPr>
      </w:pPr>
      <w:r w:rsidRPr="00C1193E">
        <w:rPr>
          <w:i/>
          <w:iCs/>
          <w:noProof/>
          <w:sz w:val="20"/>
          <w:szCs w:val="20"/>
        </w:rPr>
        <w:lastRenderedPageBreak/>
        <w:drawing>
          <wp:inline distT="0" distB="0" distL="0" distR="0" wp14:anchorId="25C9FF85" wp14:editId="21762A30">
            <wp:extent cx="5731510" cy="3223895"/>
            <wp:effectExtent l="0" t="0" r="2540" b="0"/>
            <wp:docPr id="1361890278" name="Picture 6" descr="High-purchase cost and convenience of charging logistics remains barriers  to owning an EV for Americans | Ips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igh-purchase cost and convenience of charging logistics remains barriers  to owning an EV for Americans | Ipso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DF3B1B7" w14:textId="2BF941AE" w:rsidR="00ED3F4B" w:rsidRPr="00C1193E" w:rsidRDefault="00ED3F4B" w:rsidP="00C1193E">
      <w:pPr>
        <w:spacing w:line="360" w:lineRule="auto"/>
        <w:jc w:val="center"/>
        <w:rPr>
          <w:rFonts w:ascii="Arial" w:hAnsi="Arial" w:cs="Arial"/>
          <w:i/>
          <w:iCs/>
          <w:sz w:val="20"/>
          <w:szCs w:val="20"/>
          <w:lang w:val="en-IN"/>
        </w:rPr>
      </w:pPr>
      <w:r w:rsidRPr="00C1193E">
        <w:rPr>
          <w:rFonts w:ascii="Arial" w:hAnsi="Arial" w:cs="Arial"/>
          <w:i/>
          <w:iCs/>
          <w:sz w:val="20"/>
          <w:szCs w:val="20"/>
          <w:lang w:val="en-IN"/>
        </w:rPr>
        <w:t>Source: https://www.ipsos.com/en-us/high-purchase-cost-and-convenience-charging-logistics-remains-barriers-owning-ev-americans</w:t>
      </w:r>
    </w:p>
    <w:p w14:paraId="2A83BB14" w14:textId="6A66A4CD" w:rsidR="00BA6844" w:rsidRPr="001315A8" w:rsidRDefault="001315A8" w:rsidP="001315A8">
      <w:pPr>
        <w:spacing w:line="360" w:lineRule="auto"/>
        <w:jc w:val="both"/>
        <w:rPr>
          <w:rFonts w:ascii="Arial" w:hAnsi="Arial" w:cs="Arial"/>
          <w:sz w:val="24"/>
          <w:szCs w:val="24"/>
          <w:lang w:val="en-IN"/>
        </w:rPr>
      </w:pPr>
      <w:r>
        <w:rPr>
          <w:rFonts w:ascii="Arial" w:hAnsi="Arial" w:cs="Arial"/>
          <w:sz w:val="24"/>
          <w:szCs w:val="24"/>
          <w:lang w:val="en-IN"/>
        </w:rPr>
        <w:t>This</w:t>
      </w:r>
      <w:r w:rsidR="00BA6844" w:rsidRPr="001315A8">
        <w:rPr>
          <w:rFonts w:ascii="Arial" w:hAnsi="Arial" w:cs="Arial"/>
          <w:sz w:val="24"/>
          <w:szCs w:val="24"/>
          <w:lang w:val="en-IN"/>
        </w:rPr>
        <w:t xml:space="preserve"> support</w:t>
      </w:r>
      <w:r>
        <w:rPr>
          <w:rFonts w:ascii="Arial" w:hAnsi="Arial" w:cs="Arial"/>
          <w:sz w:val="24"/>
          <w:szCs w:val="24"/>
          <w:lang w:val="en-IN"/>
        </w:rPr>
        <w:t xml:space="preserve">s </w:t>
      </w:r>
      <w:r w:rsidR="00BA6844" w:rsidRPr="001315A8">
        <w:rPr>
          <w:rFonts w:ascii="Arial" w:hAnsi="Arial" w:cs="Arial"/>
          <w:sz w:val="24"/>
          <w:szCs w:val="24"/>
          <w:lang w:val="en-IN"/>
        </w:rPr>
        <w:t>a penetration strategy into a market predicted to grow from USD 28.1 billion to USD 95 billion by 2034 (Precedence Research, 2025). In comparison to uncertified used batteries on the open market, a small certification premium is applied, which reflects the brand-equity value determined by Aaker and Keller (1990).</w:t>
      </w:r>
    </w:p>
    <w:p w14:paraId="2CB08C50" w14:textId="166C3674" w:rsidR="00CA3330" w:rsidRPr="001315A8" w:rsidRDefault="001315A8" w:rsidP="001315A8">
      <w:pPr>
        <w:pStyle w:val="Heading2"/>
        <w:spacing w:line="360" w:lineRule="auto"/>
        <w:rPr>
          <w:rFonts w:ascii="Arial" w:hAnsi="Arial" w:cs="Arial"/>
          <w:b/>
          <w:bCs/>
          <w:color w:val="auto"/>
          <w:sz w:val="24"/>
          <w:szCs w:val="24"/>
          <w:lang w:val="en-IN"/>
        </w:rPr>
      </w:pPr>
      <w:bookmarkStart w:id="11" w:name="_Toc236583259"/>
      <w:r w:rsidRPr="001315A8">
        <w:rPr>
          <w:rFonts w:ascii="Arial" w:hAnsi="Arial" w:cs="Arial"/>
          <w:b/>
          <w:bCs/>
          <w:color w:val="auto"/>
          <w:sz w:val="24"/>
          <w:szCs w:val="24"/>
          <w:lang w:val="en-IN"/>
        </w:rPr>
        <w:t xml:space="preserve">3.3 </w:t>
      </w:r>
      <w:r w:rsidR="00CA3330" w:rsidRPr="00CA3330">
        <w:rPr>
          <w:rFonts w:ascii="Arial" w:hAnsi="Arial" w:cs="Arial"/>
          <w:b/>
          <w:bCs/>
          <w:color w:val="auto"/>
          <w:sz w:val="24"/>
          <w:szCs w:val="24"/>
          <w:lang w:val="en-IN"/>
        </w:rPr>
        <w:t>Place</w:t>
      </w:r>
      <w:bookmarkEnd w:id="11"/>
    </w:p>
    <w:p w14:paraId="3DF456CD" w14:textId="77777777" w:rsid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By utilizing Toyota's current dealership network in more than 170 countries, distribution avoids the significant fixed costs associated with constructing new physical infrastructure (Toyota Motor Corporation, 2025a). An omni-channel strategy includes a direct B2B channel for the distribution of second-life storage through collaborations with utilities and renewable energy installers, in-person dealership drop-off, and app-based scheduling of battery collection. </w:t>
      </w:r>
    </w:p>
    <w:p w14:paraId="36125DC0" w14:textId="24E69BD1" w:rsidR="00BA6844" w:rsidRP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This efficiency in reverse logistics is crucial: According to Geissdoerfer et al. (2016), return volumes and refurbishment economics would not be feasible without effective reverse supply chains, which are a key component of circular economy business models.</w:t>
      </w:r>
    </w:p>
    <w:p w14:paraId="7C9E26B8" w14:textId="149A02D5" w:rsidR="00CA3330" w:rsidRPr="001315A8" w:rsidRDefault="001315A8" w:rsidP="001315A8">
      <w:pPr>
        <w:pStyle w:val="Heading2"/>
        <w:spacing w:line="360" w:lineRule="auto"/>
        <w:rPr>
          <w:rFonts w:ascii="Arial" w:hAnsi="Arial" w:cs="Arial"/>
          <w:b/>
          <w:bCs/>
          <w:color w:val="auto"/>
          <w:sz w:val="24"/>
          <w:szCs w:val="24"/>
          <w:lang w:val="en-IN"/>
        </w:rPr>
      </w:pPr>
      <w:bookmarkStart w:id="12" w:name="_Toc236583260"/>
      <w:r w:rsidRPr="001315A8">
        <w:rPr>
          <w:rFonts w:ascii="Arial" w:hAnsi="Arial" w:cs="Arial"/>
          <w:b/>
          <w:bCs/>
          <w:color w:val="auto"/>
          <w:sz w:val="24"/>
          <w:szCs w:val="24"/>
          <w:lang w:val="en-IN"/>
        </w:rPr>
        <w:lastRenderedPageBreak/>
        <w:t xml:space="preserve">3.4 </w:t>
      </w:r>
      <w:r w:rsidR="00CA3330" w:rsidRPr="00CA3330">
        <w:rPr>
          <w:rFonts w:ascii="Arial" w:hAnsi="Arial" w:cs="Arial"/>
          <w:b/>
          <w:bCs/>
          <w:color w:val="auto"/>
          <w:sz w:val="24"/>
          <w:szCs w:val="24"/>
          <w:lang w:val="en-IN"/>
        </w:rPr>
        <w:t>Promotion</w:t>
      </w:r>
      <w:bookmarkEnd w:id="12"/>
    </w:p>
    <w:p w14:paraId="1BFE2669" w14:textId="05CBAAC3" w:rsid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To overcome the greenwashing </w:t>
      </w:r>
      <w:r w:rsidR="001315A8" w:rsidRPr="001315A8">
        <w:rPr>
          <w:rFonts w:ascii="Arial" w:hAnsi="Arial" w:cs="Arial"/>
          <w:sz w:val="24"/>
          <w:szCs w:val="24"/>
          <w:lang w:val="en-IN"/>
        </w:rPr>
        <w:t>scepticism</w:t>
      </w:r>
      <w:r w:rsidRPr="001315A8">
        <w:rPr>
          <w:rFonts w:ascii="Arial" w:hAnsi="Arial" w:cs="Arial"/>
          <w:sz w:val="24"/>
          <w:szCs w:val="24"/>
          <w:lang w:val="en-IN"/>
        </w:rPr>
        <w:t xml:space="preserve"> noted by Peattie and Crane (2005), communications must strike a balance between authenticity and sustainability storytelling. Verifiable facts, such as the 70–80% capacity retention reported by Harper et al. (2019) and alignment with SDGs 7, 9, 12, and 13, should be prioritized over general environmental claims in promotion. </w:t>
      </w:r>
    </w:p>
    <w:p w14:paraId="2924685A" w14:textId="4B8EF1E8" w:rsidR="00C1193E" w:rsidRPr="00C1193E" w:rsidRDefault="00C1193E" w:rsidP="00C1193E">
      <w:pPr>
        <w:spacing w:line="360" w:lineRule="auto"/>
        <w:jc w:val="center"/>
        <w:rPr>
          <w:rFonts w:ascii="Arial" w:hAnsi="Arial" w:cs="Arial"/>
          <w:i/>
          <w:iCs/>
          <w:sz w:val="20"/>
          <w:szCs w:val="20"/>
          <w:lang w:val="en-IN"/>
        </w:rPr>
      </w:pPr>
      <w:r w:rsidRPr="00C1193E">
        <w:rPr>
          <w:i/>
          <w:iCs/>
          <w:noProof/>
          <w:sz w:val="20"/>
          <w:szCs w:val="20"/>
        </w:rPr>
        <w:drawing>
          <wp:inline distT="0" distB="0" distL="0" distR="0" wp14:anchorId="44BAD095" wp14:editId="29DAD7A1">
            <wp:extent cx="4251960" cy="4267200"/>
            <wp:effectExtent l="0" t="0" r="0" b="0"/>
            <wp:docPr id="1717446108" name="Picture 8" descr="New twists in the electric vehicle (EV) market | McKins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New twists in the electric vehicle (EV) market | McKinse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51960" cy="4267200"/>
                    </a:xfrm>
                    <a:prstGeom prst="rect">
                      <a:avLst/>
                    </a:prstGeom>
                    <a:noFill/>
                    <a:ln>
                      <a:noFill/>
                    </a:ln>
                  </pic:spPr>
                </pic:pic>
              </a:graphicData>
            </a:graphic>
          </wp:inline>
        </w:drawing>
      </w:r>
    </w:p>
    <w:p w14:paraId="350E8C0D" w14:textId="070560B4" w:rsidR="00C1193E" w:rsidRPr="00C1193E" w:rsidRDefault="00C1193E" w:rsidP="00C1193E">
      <w:pPr>
        <w:spacing w:line="360" w:lineRule="auto"/>
        <w:jc w:val="center"/>
        <w:rPr>
          <w:rFonts w:ascii="Arial" w:hAnsi="Arial" w:cs="Arial"/>
          <w:i/>
          <w:iCs/>
          <w:sz w:val="20"/>
          <w:szCs w:val="20"/>
          <w:lang w:val="en-IN"/>
        </w:rPr>
      </w:pPr>
      <w:r w:rsidRPr="00C1193E">
        <w:rPr>
          <w:rFonts w:ascii="Arial" w:hAnsi="Arial" w:cs="Arial"/>
          <w:i/>
          <w:iCs/>
          <w:sz w:val="20"/>
          <w:szCs w:val="20"/>
          <w:lang w:val="en-IN"/>
        </w:rPr>
        <w:tab/>
        <w:t>Source: https://tinyurl.com/cch8vzyf</w:t>
      </w:r>
    </w:p>
    <w:p w14:paraId="0DF2516F" w14:textId="2A29ADD2" w:rsidR="00BA6844" w:rsidRP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Dealership point-of-sale materials, in-app trade-in reminders for the primary consumer category, and ESG-focused thought-leadership content targeted at the B2B investor and procurement market found in the STDP research are examples of channels.</w:t>
      </w:r>
    </w:p>
    <w:p w14:paraId="225CC436" w14:textId="25DF526D" w:rsidR="00CA3330" w:rsidRPr="001315A8" w:rsidRDefault="001315A8" w:rsidP="001315A8">
      <w:pPr>
        <w:pStyle w:val="Heading2"/>
        <w:spacing w:line="360" w:lineRule="auto"/>
        <w:rPr>
          <w:rFonts w:ascii="Arial" w:hAnsi="Arial" w:cs="Arial"/>
          <w:b/>
          <w:bCs/>
          <w:color w:val="auto"/>
          <w:sz w:val="24"/>
          <w:szCs w:val="24"/>
          <w:lang w:val="en-IN"/>
        </w:rPr>
      </w:pPr>
      <w:bookmarkStart w:id="13" w:name="_Toc236583261"/>
      <w:r w:rsidRPr="001315A8">
        <w:rPr>
          <w:rFonts w:ascii="Arial" w:hAnsi="Arial" w:cs="Arial"/>
          <w:b/>
          <w:bCs/>
          <w:color w:val="auto"/>
          <w:sz w:val="24"/>
          <w:szCs w:val="24"/>
          <w:lang w:val="en-IN"/>
        </w:rPr>
        <w:t xml:space="preserve">3.5 </w:t>
      </w:r>
      <w:r w:rsidR="00CA3330" w:rsidRPr="00CA3330">
        <w:rPr>
          <w:rFonts w:ascii="Arial" w:hAnsi="Arial" w:cs="Arial"/>
          <w:b/>
          <w:bCs/>
          <w:color w:val="auto"/>
          <w:sz w:val="24"/>
          <w:szCs w:val="24"/>
          <w:lang w:val="en-IN"/>
        </w:rPr>
        <w:t>People</w:t>
      </w:r>
      <w:bookmarkEnd w:id="13"/>
    </w:p>
    <w:p w14:paraId="7B5ABD9C" w14:textId="77777777" w:rsidR="00BA6844" w:rsidRP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In order to reduce the brand-extension fit risk identified by Volckner and Sattler (2006), certified, specially qualified personnel are crucial; subpar refurbishment would immediately harm parent-brand equity. Due to their role as brand ambassadors in </w:t>
      </w:r>
      <w:r w:rsidRPr="001315A8">
        <w:rPr>
          <w:rFonts w:ascii="Arial" w:hAnsi="Arial" w:cs="Arial"/>
          <w:sz w:val="24"/>
          <w:szCs w:val="24"/>
          <w:lang w:val="en-IN"/>
        </w:rPr>
        <w:lastRenderedPageBreak/>
        <w:t>customer interactions, dealership personnel also need to be trained in the circularity narrative itself (Zeithaml, Bitner, and Gremler, 2018).</w:t>
      </w:r>
    </w:p>
    <w:p w14:paraId="24386784" w14:textId="1024B51B" w:rsidR="00CA3330" w:rsidRPr="001315A8" w:rsidRDefault="001315A8" w:rsidP="001315A8">
      <w:pPr>
        <w:pStyle w:val="Heading2"/>
        <w:spacing w:line="360" w:lineRule="auto"/>
        <w:rPr>
          <w:rFonts w:ascii="Arial" w:hAnsi="Arial" w:cs="Arial"/>
          <w:b/>
          <w:bCs/>
          <w:color w:val="auto"/>
          <w:sz w:val="24"/>
          <w:szCs w:val="24"/>
          <w:lang w:val="en-IN"/>
        </w:rPr>
      </w:pPr>
      <w:bookmarkStart w:id="14" w:name="_Toc236583262"/>
      <w:r w:rsidRPr="001315A8">
        <w:rPr>
          <w:rFonts w:ascii="Arial" w:hAnsi="Arial" w:cs="Arial"/>
          <w:b/>
          <w:bCs/>
          <w:color w:val="auto"/>
          <w:sz w:val="24"/>
          <w:szCs w:val="24"/>
          <w:lang w:val="en-IN"/>
        </w:rPr>
        <w:t xml:space="preserve">3.6 </w:t>
      </w:r>
      <w:r w:rsidR="00CA3330" w:rsidRPr="00CA3330">
        <w:rPr>
          <w:rFonts w:ascii="Arial" w:hAnsi="Arial" w:cs="Arial"/>
          <w:b/>
          <w:bCs/>
          <w:color w:val="auto"/>
          <w:sz w:val="24"/>
          <w:szCs w:val="24"/>
          <w:lang w:val="en-IN"/>
        </w:rPr>
        <w:t>Process</w:t>
      </w:r>
      <w:bookmarkEnd w:id="14"/>
    </w:p>
    <w:p w14:paraId="7482687A" w14:textId="77777777" w:rsidR="00BA6844" w:rsidRP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The "Process" component of the mix is operationalized by the four-stage closed-loop process shown in the Element 1 poster: Return, Incentive, Refurbish, and Second-Life. Customer friction at the point of return, a crucial barrier in circular business models, is decreased by a standardized, digitally recorded procedure (via app-based scheduling and QR-coded battery tracking) (Geissdoerfer et al., 2016).</w:t>
      </w:r>
    </w:p>
    <w:p w14:paraId="3490A969" w14:textId="4A6FC3E9" w:rsidR="00CA3330" w:rsidRPr="001315A8" w:rsidRDefault="001315A8" w:rsidP="001315A8">
      <w:pPr>
        <w:pStyle w:val="Heading2"/>
        <w:spacing w:line="360" w:lineRule="auto"/>
        <w:rPr>
          <w:rFonts w:ascii="Arial" w:hAnsi="Arial" w:cs="Arial"/>
          <w:b/>
          <w:bCs/>
          <w:color w:val="auto"/>
          <w:sz w:val="24"/>
          <w:szCs w:val="24"/>
          <w:lang w:val="en-IN"/>
        </w:rPr>
      </w:pPr>
      <w:bookmarkStart w:id="15" w:name="_Toc236583263"/>
      <w:r w:rsidRPr="001315A8">
        <w:rPr>
          <w:rFonts w:ascii="Arial" w:hAnsi="Arial" w:cs="Arial"/>
          <w:b/>
          <w:bCs/>
          <w:color w:val="auto"/>
          <w:sz w:val="24"/>
          <w:szCs w:val="24"/>
          <w:lang w:val="en-IN"/>
        </w:rPr>
        <w:t xml:space="preserve">3.7 </w:t>
      </w:r>
      <w:r w:rsidR="00CA3330" w:rsidRPr="00CA3330">
        <w:rPr>
          <w:rFonts w:ascii="Arial" w:hAnsi="Arial" w:cs="Arial"/>
          <w:b/>
          <w:bCs/>
          <w:color w:val="auto"/>
          <w:sz w:val="24"/>
          <w:szCs w:val="24"/>
          <w:lang w:val="en-IN"/>
        </w:rPr>
        <w:t xml:space="preserve">Physical </w:t>
      </w:r>
      <w:r w:rsidR="00A409A3">
        <w:rPr>
          <w:rFonts w:ascii="Arial" w:hAnsi="Arial" w:cs="Arial"/>
          <w:b/>
          <w:bCs/>
          <w:color w:val="auto"/>
          <w:sz w:val="24"/>
          <w:szCs w:val="24"/>
          <w:lang w:val="en-IN"/>
        </w:rPr>
        <w:t>E</w:t>
      </w:r>
      <w:r w:rsidR="00CA3330" w:rsidRPr="00CA3330">
        <w:rPr>
          <w:rFonts w:ascii="Arial" w:hAnsi="Arial" w:cs="Arial"/>
          <w:b/>
          <w:bCs/>
          <w:color w:val="auto"/>
          <w:sz w:val="24"/>
          <w:szCs w:val="24"/>
          <w:lang w:val="en-IN"/>
        </w:rPr>
        <w:t>vidence</w:t>
      </w:r>
      <w:bookmarkEnd w:id="15"/>
    </w:p>
    <w:p w14:paraId="0A30C090" w14:textId="6245FE53" w:rsidR="00BA6844"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The "certified and trustworthy" positioning established in Element 2 is reinforced by tangible cues, such as dealership take-back </w:t>
      </w:r>
      <w:r w:rsidR="00F0662D" w:rsidRPr="001315A8">
        <w:rPr>
          <w:rFonts w:ascii="Arial" w:hAnsi="Arial" w:cs="Arial"/>
          <w:sz w:val="24"/>
          <w:szCs w:val="24"/>
          <w:lang w:val="en-IN"/>
        </w:rPr>
        <w:t>centres</w:t>
      </w:r>
      <w:r w:rsidRPr="001315A8">
        <w:rPr>
          <w:rFonts w:ascii="Arial" w:hAnsi="Arial" w:cs="Arial"/>
          <w:sz w:val="24"/>
          <w:szCs w:val="24"/>
          <w:lang w:val="en-IN"/>
        </w:rPr>
        <w:t xml:space="preserve">, certification </w:t>
      </w:r>
      <w:r w:rsidR="00F0662D" w:rsidRPr="001315A8">
        <w:rPr>
          <w:rFonts w:ascii="Arial" w:hAnsi="Arial" w:cs="Arial"/>
          <w:sz w:val="24"/>
          <w:szCs w:val="24"/>
          <w:lang w:val="en-IN"/>
        </w:rPr>
        <w:t>labelling</w:t>
      </w:r>
      <w:r w:rsidRPr="001315A8">
        <w:rPr>
          <w:rFonts w:ascii="Arial" w:hAnsi="Arial" w:cs="Arial"/>
          <w:sz w:val="24"/>
          <w:szCs w:val="24"/>
          <w:lang w:val="en-IN"/>
        </w:rPr>
        <w:t>, QR traceability codes, and an app dashboard showing battery health and carbon savings, which lower the inherent intangibility risk of a service-based green offering (Zeithaml, Bitner, and Gremler, 2018).</w:t>
      </w:r>
    </w:p>
    <w:p w14:paraId="6A029052" w14:textId="77777777" w:rsidR="00ED3F4B" w:rsidRPr="00C1193E" w:rsidRDefault="00ED3F4B" w:rsidP="00C1193E">
      <w:pPr>
        <w:spacing w:line="360" w:lineRule="auto"/>
        <w:jc w:val="center"/>
        <w:rPr>
          <w:rFonts w:ascii="Arial" w:hAnsi="Arial" w:cs="Arial"/>
          <w:i/>
          <w:iCs/>
          <w:sz w:val="20"/>
          <w:szCs w:val="20"/>
          <w:lang w:val="en-IN"/>
        </w:rPr>
      </w:pPr>
      <w:r w:rsidRPr="00C1193E">
        <w:rPr>
          <w:i/>
          <w:iCs/>
          <w:noProof/>
          <w:sz w:val="20"/>
          <w:szCs w:val="20"/>
        </w:rPr>
        <w:drawing>
          <wp:inline distT="0" distB="0" distL="0" distR="0" wp14:anchorId="3F6CB1EB" wp14:editId="47F25D50">
            <wp:extent cx="5731510" cy="3825240"/>
            <wp:effectExtent l="0" t="0" r="2540" b="3810"/>
            <wp:docPr id="406566336" name="Picture 7" descr="EV Survey: Consumer Expectations Clash With Market Rea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EV Survey: Consumer Expectations Clash With Market Realiti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825240"/>
                    </a:xfrm>
                    <a:prstGeom prst="rect">
                      <a:avLst/>
                    </a:prstGeom>
                    <a:noFill/>
                    <a:ln>
                      <a:noFill/>
                    </a:ln>
                  </pic:spPr>
                </pic:pic>
              </a:graphicData>
            </a:graphic>
          </wp:inline>
        </w:drawing>
      </w:r>
    </w:p>
    <w:p w14:paraId="7F6777D2" w14:textId="77777777" w:rsidR="00ED3F4B" w:rsidRPr="00C1193E" w:rsidRDefault="00ED3F4B" w:rsidP="00C1193E">
      <w:pPr>
        <w:spacing w:line="360" w:lineRule="auto"/>
        <w:jc w:val="center"/>
        <w:rPr>
          <w:rFonts w:ascii="Arial" w:hAnsi="Arial" w:cs="Arial"/>
          <w:i/>
          <w:iCs/>
          <w:sz w:val="20"/>
          <w:szCs w:val="20"/>
          <w:lang w:val="en-IN"/>
        </w:rPr>
      </w:pPr>
      <w:r w:rsidRPr="00C1193E">
        <w:rPr>
          <w:rFonts w:ascii="Arial" w:hAnsi="Arial" w:cs="Arial"/>
          <w:i/>
          <w:iCs/>
          <w:sz w:val="20"/>
          <w:szCs w:val="20"/>
          <w:lang w:val="en-IN"/>
        </w:rPr>
        <w:t>Source: https://www.edmunds.com/car-news/consumer-expectations-of-evs-clash-with-market-realities.html</w:t>
      </w:r>
    </w:p>
    <w:p w14:paraId="0B5806E5" w14:textId="77777777" w:rsidR="00BA6844" w:rsidRPr="001315A8" w:rsidRDefault="00BA6844" w:rsidP="001315A8">
      <w:pPr>
        <w:spacing w:line="360" w:lineRule="auto"/>
        <w:jc w:val="both"/>
        <w:rPr>
          <w:rFonts w:ascii="Arial" w:hAnsi="Arial" w:cs="Arial"/>
          <w:sz w:val="24"/>
          <w:szCs w:val="24"/>
          <w:lang w:val="en-IN"/>
        </w:rPr>
      </w:pPr>
      <w:r w:rsidRPr="001315A8">
        <w:rPr>
          <w:rFonts w:ascii="Arial" w:hAnsi="Arial" w:cs="Arial"/>
          <w:sz w:val="24"/>
          <w:szCs w:val="24"/>
          <w:lang w:val="en-IN"/>
        </w:rPr>
        <w:lastRenderedPageBreak/>
        <w:t>When taken as a whole, the seven components support a single, cohesive strategy: utilizing Toyota's current scale and trust infrastructure to make circularity low-friction for consumers while establishing a sustainability position that can be defended and supported by data ahead of the 2050 carbon-neutrality target (Toyota Motor Corporation, 2025b).</w:t>
      </w:r>
    </w:p>
    <w:p w14:paraId="2A159E88" w14:textId="57040607" w:rsidR="00CA3330" w:rsidRPr="00CA3330" w:rsidRDefault="00CA3330" w:rsidP="001315A8">
      <w:pPr>
        <w:pStyle w:val="Heading1"/>
        <w:spacing w:line="360" w:lineRule="auto"/>
        <w:rPr>
          <w:rFonts w:ascii="Arial" w:hAnsi="Arial" w:cs="Arial"/>
          <w:b/>
          <w:bCs/>
          <w:sz w:val="24"/>
          <w:szCs w:val="24"/>
          <w:lang w:val="en-IN"/>
        </w:rPr>
      </w:pPr>
      <w:bookmarkStart w:id="16" w:name="_Toc236583264"/>
      <w:r w:rsidRPr="00CA3330">
        <w:rPr>
          <w:rFonts w:ascii="Arial" w:hAnsi="Arial" w:cs="Arial"/>
          <w:b/>
          <w:bCs/>
          <w:sz w:val="24"/>
          <w:szCs w:val="24"/>
          <w:lang w:val="en-IN"/>
        </w:rPr>
        <w:t>Element 4</w:t>
      </w:r>
      <w:bookmarkEnd w:id="16"/>
    </w:p>
    <w:p w14:paraId="33555063" w14:textId="77777777" w:rsidR="001315A8" w:rsidRPr="001315A8" w:rsidRDefault="001315A8" w:rsidP="001315A8">
      <w:pPr>
        <w:spacing w:line="360" w:lineRule="auto"/>
        <w:jc w:val="both"/>
        <w:rPr>
          <w:rFonts w:ascii="Arial" w:hAnsi="Arial" w:cs="Arial"/>
          <w:sz w:val="24"/>
          <w:szCs w:val="24"/>
          <w:lang w:val="en-IN"/>
        </w:rPr>
      </w:pPr>
      <w:r w:rsidRPr="001315A8">
        <w:rPr>
          <w:rFonts w:ascii="Arial" w:hAnsi="Arial" w:cs="Arial"/>
          <w:sz w:val="24"/>
          <w:szCs w:val="24"/>
          <w:lang w:val="en-IN"/>
        </w:rPr>
        <w:t>This reflection examines my experience creating the Toyota Circular Battery+ approach and creating the accompanying poster presentation using Gibbs' (1988) six-stage reflective cycle: description, feelings, evaluation, analysis, conclusion and action plan.</w:t>
      </w:r>
    </w:p>
    <w:p w14:paraId="056EE2DE" w14:textId="69C18A9F" w:rsidR="00CA3330" w:rsidRPr="001315A8" w:rsidRDefault="001315A8" w:rsidP="001315A8">
      <w:pPr>
        <w:pStyle w:val="Heading2"/>
        <w:spacing w:line="360" w:lineRule="auto"/>
        <w:rPr>
          <w:rFonts w:ascii="Arial" w:hAnsi="Arial" w:cs="Arial"/>
          <w:b/>
          <w:bCs/>
          <w:color w:val="auto"/>
          <w:sz w:val="24"/>
          <w:szCs w:val="24"/>
          <w:lang w:val="en-IN"/>
        </w:rPr>
      </w:pPr>
      <w:bookmarkStart w:id="17" w:name="_Toc236583265"/>
      <w:r w:rsidRPr="001315A8">
        <w:rPr>
          <w:rFonts w:ascii="Arial" w:hAnsi="Arial" w:cs="Arial"/>
          <w:b/>
          <w:bCs/>
          <w:color w:val="auto"/>
          <w:sz w:val="24"/>
          <w:szCs w:val="24"/>
          <w:lang w:val="en-IN"/>
        </w:rPr>
        <w:t xml:space="preserve">4.1 </w:t>
      </w:r>
      <w:r w:rsidR="00CA3330" w:rsidRPr="00CA3330">
        <w:rPr>
          <w:rFonts w:ascii="Arial" w:hAnsi="Arial" w:cs="Arial"/>
          <w:b/>
          <w:bCs/>
          <w:color w:val="auto"/>
          <w:sz w:val="24"/>
          <w:szCs w:val="24"/>
          <w:lang w:val="en-IN"/>
        </w:rPr>
        <w:t>Description</w:t>
      </w:r>
      <w:bookmarkEnd w:id="17"/>
    </w:p>
    <w:p w14:paraId="35421850" w14:textId="21B06B7A" w:rsidR="001315A8" w:rsidRPr="001315A8" w:rsidRDefault="001315A8" w:rsidP="001315A8">
      <w:pPr>
        <w:spacing w:line="360" w:lineRule="auto"/>
        <w:jc w:val="both"/>
        <w:rPr>
          <w:rFonts w:ascii="Arial" w:hAnsi="Arial" w:cs="Arial"/>
          <w:sz w:val="24"/>
          <w:szCs w:val="24"/>
          <w:lang w:val="en-IN"/>
        </w:rPr>
      </w:pPr>
      <w:r w:rsidRPr="001315A8">
        <w:rPr>
          <w:rFonts w:ascii="Arial" w:hAnsi="Arial" w:cs="Arial"/>
          <w:sz w:val="24"/>
          <w:szCs w:val="24"/>
          <w:lang w:val="en-IN"/>
        </w:rPr>
        <w:t>Through this project, I created a sustainable brand extension concept, carried out an STP analysis, used the 7Ps marketing mix, and translated the resulting strategy into an A0 poster synthesizing data like Toyota's 10.8 million vehicle sales in 2024 (Toyota Motor Corporation, 2025a), the 70–80% battery capacity retention window (Harper et al., 2019), and the estimated USD 28.1 billion–95 billion battery recycling market (Precedence Research, 2025).</w:t>
      </w:r>
    </w:p>
    <w:p w14:paraId="451831BA" w14:textId="44B7A02C" w:rsidR="00CA3330" w:rsidRPr="001315A8" w:rsidRDefault="001315A8" w:rsidP="001315A8">
      <w:pPr>
        <w:pStyle w:val="Heading2"/>
        <w:spacing w:line="360" w:lineRule="auto"/>
        <w:rPr>
          <w:rFonts w:ascii="Arial" w:hAnsi="Arial" w:cs="Arial"/>
          <w:b/>
          <w:bCs/>
          <w:color w:val="auto"/>
          <w:sz w:val="24"/>
          <w:szCs w:val="24"/>
          <w:lang w:val="en-IN"/>
        </w:rPr>
      </w:pPr>
      <w:bookmarkStart w:id="18" w:name="_Toc236583266"/>
      <w:r w:rsidRPr="001315A8">
        <w:rPr>
          <w:rFonts w:ascii="Arial" w:hAnsi="Arial" w:cs="Arial"/>
          <w:b/>
          <w:bCs/>
          <w:color w:val="auto"/>
          <w:sz w:val="24"/>
          <w:szCs w:val="24"/>
          <w:lang w:val="en-IN"/>
        </w:rPr>
        <w:t xml:space="preserve">4.2 </w:t>
      </w:r>
      <w:r w:rsidR="00CA3330" w:rsidRPr="00CA3330">
        <w:rPr>
          <w:rFonts w:ascii="Arial" w:hAnsi="Arial" w:cs="Arial"/>
          <w:b/>
          <w:bCs/>
          <w:color w:val="auto"/>
          <w:sz w:val="24"/>
          <w:szCs w:val="24"/>
          <w:lang w:val="en-IN"/>
        </w:rPr>
        <w:t>Feelings</w:t>
      </w:r>
      <w:bookmarkEnd w:id="18"/>
    </w:p>
    <w:p w14:paraId="5526ADCF" w14:textId="77777777" w:rsidR="001315A8" w:rsidRPr="001315A8" w:rsidRDefault="001315A8" w:rsidP="001315A8">
      <w:pPr>
        <w:spacing w:line="360" w:lineRule="auto"/>
        <w:jc w:val="both"/>
        <w:rPr>
          <w:rFonts w:ascii="Arial" w:hAnsi="Arial" w:cs="Arial"/>
          <w:sz w:val="24"/>
          <w:szCs w:val="24"/>
          <w:lang w:val="en-IN"/>
        </w:rPr>
      </w:pPr>
      <w:r w:rsidRPr="001315A8">
        <w:rPr>
          <w:rFonts w:ascii="Arial" w:hAnsi="Arial" w:cs="Arial"/>
          <w:sz w:val="24"/>
          <w:szCs w:val="24"/>
          <w:lang w:val="en-IN"/>
        </w:rPr>
        <w:t>Since any error in the "People" or "Process" components of the mix could undermine parent-brand trust, I was initially unsure of how to translate a broad sustainability ambition into a commercially credible strategy. The size of Toyota's current brand equity felt as much a constraint as an asset (Volckner and Sattler, 2006). But as the segmentation study went on, my confidence increased when I realized that the "captive base" of current Toyota owners was a low-acquisition-cost primary target.</w:t>
      </w:r>
    </w:p>
    <w:p w14:paraId="38ADF3DF" w14:textId="2EFBCC48" w:rsidR="00CA3330" w:rsidRPr="001315A8" w:rsidRDefault="001315A8" w:rsidP="001315A8">
      <w:pPr>
        <w:pStyle w:val="Heading2"/>
        <w:spacing w:line="360" w:lineRule="auto"/>
        <w:rPr>
          <w:rFonts w:ascii="Arial" w:hAnsi="Arial" w:cs="Arial"/>
          <w:b/>
          <w:bCs/>
          <w:color w:val="auto"/>
          <w:sz w:val="24"/>
          <w:szCs w:val="24"/>
          <w:lang w:val="en-IN"/>
        </w:rPr>
      </w:pPr>
      <w:bookmarkStart w:id="19" w:name="_Toc236583267"/>
      <w:r w:rsidRPr="001315A8">
        <w:rPr>
          <w:rFonts w:ascii="Arial" w:hAnsi="Arial" w:cs="Arial"/>
          <w:b/>
          <w:bCs/>
          <w:color w:val="auto"/>
          <w:sz w:val="24"/>
          <w:szCs w:val="24"/>
          <w:lang w:val="en-IN"/>
        </w:rPr>
        <w:t xml:space="preserve">4.3 </w:t>
      </w:r>
      <w:r w:rsidR="00CA3330" w:rsidRPr="00CA3330">
        <w:rPr>
          <w:rFonts w:ascii="Arial" w:hAnsi="Arial" w:cs="Arial"/>
          <w:b/>
          <w:bCs/>
          <w:color w:val="auto"/>
          <w:sz w:val="24"/>
          <w:szCs w:val="24"/>
          <w:lang w:val="en-IN"/>
        </w:rPr>
        <w:t>Evaluation</w:t>
      </w:r>
      <w:bookmarkEnd w:id="19"/>
    </w:p>
    <w:p w14:paraId="28890319" w14:textId="6F566729" w:rsidR="001315A8" w:rsidRDefault="001315A8" w:rsidP="001315A8">
      <w:pPr>
        <w:spacing w:line="360" w:lineRule="auto"/>
        <w:jc w:val="both"/>
        <w:rPr>
          <w:rFonts w:ascii="Arial" w:hAnsi="Arial" w:cs="Arial"/>
          <w:sz w:val="24"/>
          <w:szCs w:val="24"/>
          <w:lang w:val="en-IN"/>
        </w:rPr>
      </w:pPr>
      <w:r w:rsidRPr="001315A8">
        <w:rPr>
          <w:rFonts w:ascii="Arial" w:hAnsi="Arial" w:cs="Arial"/>
          <w:sz w:val="24"/>
          <w:szCs w:val="24"/>
          <w:lang w:val="en-IN"/>
        </w:rPr>
        <w:t>In response to Peattie and Crane's (2005) caution about greenwashing scepticism, it was effective to base each strategic assertion on verified evidence rather than generic sustainability rhetoric. It was also successful to organize the marketing mix around Booms and Bitner's (1981) 7Ps instead of the conventional 4Ps since it made trust-building components (People, Process, Physical Evidence) clear</w:t>
      </w:r>
      <w:r>
        <w:rPr>
          <w:rFonts w:ascii="Arial" w:hAnsi="Arial" w:cs="Arial"/>
          <w:sz w:val="24"/>
          <w:szCs w:val="24"/>
          <w:lang w:val="en-IN"/>
        </w:rPr>
        <w:t xml:space="preserve">. </w:t>
      </w:r>
    </w:p>
    <w:p w14:paraId="67DF99AF" w14:textId="749C3ACF" w:rsidR="001315A8" w:rsidRPr="001315A8" w:rsidRDefault="001315A8" w:rsidP="001315A8">
      <w:pPr>
        <w:spacing w:line="360" w:lineRule="auto"/>
        <w:jc w:val="both"/>
        <w:rPr>
          <w:rFonts w:ascii="Arial" w:hAnsi="Arial" w:cs="Arial"/>
          <w:sz w:val="24"/>
          <w:szCs w:val="24"/>
          <w:lang w:val="en-IN"/>
        </w:rPr>
      </w:pPr>
      <w:r>
        <w:rPr>
          <w:rFonts w:ascii="Arial" w:hAnsi="Arial" w:cs="Arial"/>
          <w:sz w:val="24"/>
          <w:szCs w:val="24"/>
          <w:lang w:val="en-IN"/>
        </w:rPr>
        <w:lastRenderedPageBreak/>
        <w:t>It is</w:t>
      </w:r>
      <w:r w:rsidRPr="001315A8">
        <w:rPr>
          <w:rFonts w:ascii="Arial" w:hAnsi="Arial" w:cs="Arial"/>
          <w:sz w:val="24"/>
          <w:szCs w:val="24"/>
          <w:lang w:val="en-IN"/>
        </w:rPr>
        <w:t xml:space="preserve"> something that a framework that was only product-focused would have missed. The process-flow portion overflowed onto the footer band in the first iteration of the poster due to a three-column structure, which made it necessary to repeatedly adjust the card heights and vertical spacing until the design reached visual balance.</w:t>
      </w:r>
    </w:p>
    <w:p w14:paraId="0673A4DF" w14:textId="23D82D18" w:rsidR="00CA3330" w:rsidRPr="001315A8" w:rsidRDefault="001315A8" w:rsidP="001315A8">
      <w:pPr>
        <w:pStyle w:val="Heading2"/>
        <w:spacing w:line="360" w:lineRule="auto"/>
        <w:rPr>
          <w:rFonts w:ascii="Arial" w:hAnsi="Arial" w:cs="Arial"/>
          <w:b/>
          <w:bCs/>
          <w:color w:val="auto"/>
          <w:sz w:val="24"/>
          <w:szCs w:val="24"/>
          <w:lang w:val="en-IN"/>
        </w:rPr>
      </w:pPr>
      <w:bookmarkStart w:id="20" w:name="_Toc236583268"/>
      <w:r w:rsidRPr="001315A8">
        <w:rPr>
          <w:rFonts w:ascii="Arial" w:hAnsi="Arial" w:cs="Arial"/>
          <w:b/>
          <w:bCs/>
          <w:color w:val="auto"/>
          <w:sz w:val="24"/>
          <w:szCs w:val="24"/>
          <w:lang w:val="en-IN"/>
        </w:rPr>
        <w:t xml:space="preserve">4.4 </w:t>
      </w:r>
      <w:r w:rsidR="00CA3330" w:rsidRPr="00CA3330">
        <w:rPr>
          <w:rFonts w:ascii="Arial" w:hAnsi="Arial" w:cs="Arial"/>
          <w:b/>
          <w:bCs/>
          <w:color w:val="auto"/>
          <w:sz w:val="24"/>
          <w:szCs w:val="24"/>
          <w:lang w:val="en-IN"/>
        </w:rPr>
        <w:t>Analysis</w:t>
      </w:r>
      <w:bookmarkEnd w:id="20"/>
    </w:p>
    <w:p w14:paraId="1C0DDF61" w14:textId="77777777" w:rsidR="001315A8" w:rsidRDefault="001315A8"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The poster's overflow problem serves as an example of a more general lesson on the connection between strategic content and communication format: even a technically sound strategy may fall short if it is presented in an imbalanced or cluttered manner. </w:t>
      </w:r>
    </w:p>
    <w:p w14:paraId="24C6DDCB" w14:textId="0BEF323C" w:rsidR="001315A8" w:rsidRDefault="001315A8" w:rsidP="001315A8">
      <w:pPr>
        <w:spacing w:line="360" w:lineRule="auto"/>
        <w:jc w:val="both"/>
        <w:rPr>
          <w:rFonts w:ascii="Arial" w:hAnsi="Arial" w:cs="Arial"/>
          <w:sz w:val="24"/>
          <w:szCs w:val="24"/>
          <w:lang w:val="en-IN"/>
        </w:rPr>
      </w:pPr>
      <w:r w:rsidRPr="001315A8">
        <w:rPr>
          <w:rFonts w:ascii="Arial" w:hAnsi="Arial" w:cs="Arial"/>
          <w:sz w:val="24"/>
          <w:szCs w:val="24"/>
          <w:lang w:val="en-IN"/>
        </w:rPr>
        <w:t xml:space="preserve">This is similar to the "Physical Evidence" approach used in Element 3, which states that audiences evaluate credibility based on tangible, </w:t>
      </w:r>
      <w:r w:rsidR="00F0662D" w:rsidRPr="001315A8">
        <w:rPr>
          <w:rFonts w:ascii="Arial" w:hAnsi="Arial" w:cs="Arial"/>
          <w:sz w:val="24"/>
          <w:szCs w:val="24"/>
          <w:lang w:val="en-IN"/>
        </w:rPr>
        <w:t>skilfully</w:t>
      </w:r>
      <w:r w:rsidRPr="001315A8">
        <w:rPr>
          <w:rFonts w:ascii="Arial" w:hAnsi="Arial" w:cs="Arial"/>
          <w:sz w:val="24"/>
          <w:szCs w:val="24"/>
          <w:lang w:val="en-IN"/>
        </w:rPr>
        <w:t xml:space="preserve"> produced artifacts rather than only content quality (Zeithaml, Bitner, and Gremler, 2018). </w:t>
      </w:r>
    </w:p>
    <w:p w14:paraId="16196555" w14:textId="4099F084" w:rsidR="001315A8" w:rsidRPr="001315A8" w:rsidRDefault="001315A8" w:rsidP="001315A8">
      <w:pPr>
        <w:spacing w:line="360" w:lineRule="auto"/>
        <w:jc w:val="both"/>
        <w:rPr>
          <w:rFonts w:ascii="Arial" w:hAnsi="Arial" w:cs="Arial"/>
          <w:sz w:val="24"/>
          <w:szCs w:val="24"/>
          <w:lang w:val="en-IN"/>
        </w:rPr>
      </w:pPr>
      <w:r w:rsidRPr="001315A8">
        <w:rPr>
          <w:rFonts w:ascii="Arial" w:hAnsi="Arial" w:cs="Arial"/>
          <w:sz w:val="24"/>
          <w:szCs w:val="24"/>
          <w:lang w:val="en-IN"/>
        </w:rPr>
        <w:t>Geographical prioritization (IEA, 2024; 2025) had to be cross-checked against demographic and behavioural segments to prevent targeting a market with no feasible acquisition channel. The STP and 7Ps exercises also demonstrated analytically that segmentation variables cannot be treated in isolation.</w:t>
      </w:r>
    </w:p>
    <w:p w14:paraId="15CC7289" w14:textId="1EC96475" w:rsidR="00CA3330" w:rsidRPr="001315A8" w:rsidRDefault="001315A8" w:rsidP="001315A8">
      <w:pPr>
        <w:pStyle w:val="Heading2"/>
        <w:spacing w:line="360" w:lineRule="auto"/>
        <w:rPr>
          <w:rFonts w:ascii="Arial" w:hAnsi="Arial" w:cs="Arial"/>
          <w:b/>
          <w:bCs/>
          <w:color w:val="auto"/>
          <w:sz w:val="24"/>
          <w:szCs w:val="24"/>
          <w:lang w:val="en-IN"/>
        </w:rPr>
      </w:pPr>
      <w:bookmarkStart w:id="21" w:name="_Toc236583269"/>
      <w:r w:rsidRPr="001315A8">
        <w:rPr>
          <w:rFonts w:ascii="Arial" w:hAnsi="Arial" w:cs="Arial"/>
          <w:b/>
          <w:bCs/>
          <w:color w:val="auto"/>
          <w:sz w:val="24"/>
          <w:szCs w:val="24"/>
          <w:lang w:val="en-IN"/>
        </w:rPr>
        <w:t xml:space="preserve">4.5 </w:t>
      </w:r>
      <w:r w:rsidR="00CA3330" w:rsidRPr="00CA3330">
        <w:rPr>
          <w:rFonts w:ascii="Arial" w:hAnsi="Arial" w:cs="Arial"/>
          <w:b/>
          <w:bCs/>
          <w:color w:val="auto"/>
          <w:sz w:val="24"/>
          <w:szCs w:val="24"/>
          <w:lang w:val="en-IN"/>
        </w:rPr>
        <w:t>Conclusion</w:t>
      </w:r>
      <w:bookmarkEnd w:id="21"/>
    </w:p>
    <w:p w14:paraId="395F14D9" w14:textId="4EED1D74" w:rsidR="00CA3330" w:rsidRPr="00CA3330" w:rsidRDefault="00CA3330" w:rsidP="001315A8">
      <w:pPr>
        <w:spacing w:line="360" w:lineRule="auto"/>
        <w:jc w:val="both"/>
        <w:rPr>
          <w:rFonts w:ascii="Arial" w:hAnsi="Arial" w:cs="Arial"/>
          <w:sz w:val="24"/>
          <w:szCs w:val="24"/>
          <w:lang w:val="en-IN"/>
        </w:rPr>
      </w:pPr>
      <w:r w:rsidRPr="00CA3330">
        <w:rPr>
          <w:rFonts w:ascii="Arial" w:hAnsi="Arial" w:cs="Arial"/>
          <w:sz w:val="24"/>
          <w:szCs w:val="24"/>
          <w:lang w:val="en-IN"/>
        </w:rPr>
        <w:t>Overall, I could have engaged earlier with the visual design constraints of the poster rather than treating it as a final-stage translation exercise; doing so would have saved revision time. I could also have triangulated the STDP segments against a wider range of academic positioning literature earlier in the process, rather than retrofitting theory after the segmentation structure was largely fixed.</w:t>
      </w:r>
    </w:p>
    <w:p w14:paraId="283A3205" w14:textId="5077AD77" w:rsidR="00CA3330" w:rsidRPr="001315A8" w:rsidRDefault="001315A8" w:rsidP="001315A8">
      <w:pPr>
        <w:pStyle w:val="Heading2"/>
        <w:spacing w:line="360" w:lineRule="auto"/>
        <w:rPr>
          <w:rFonts w:ascii="Arial" w:hAnsi="Arial" w:cs="Arial"/>
          <w:b/>
          <w:bCs/>
          <w:color w:val="auto"/>
          <w:sz w:val="24"/>
          <w:szCs w:val="24"/>
          <w:lang w:val="en-IN"/>
        </w:rPr>
      </w:pPr>
      <w:bookmarkStart w:id="22" w:name="_Toc236583270"/>
      <w:r w:rsidRPr="001315A8">
        <w:rPr>
          <w:rFonts w:ascii="Arial" w:hAnsi="Arial" w:cs="Arial"/>
          <w:b/>
          <w:bCs/>
          <w:color w:val="auto"/>
          <w:sz w:val="24"/>
          <w:szCs w:val="24"/>
          <w:lang w:val="en-IN"/>
        </w:rPr>
        <w:t xml:space="preserve">4.6 </w:t>
      </w:r>
      <w:r w:rsidR="00CA3330" w:rsidRPr="00CA3330">
        <w:rPr>
          <w:rFonts w:ascii="Arial" w:hAnsi="Arial" w:cs="Arial"/>
          <w:b/>
          <w:bCs/>
          <w:color w:val="auto"/>
          <w:sz w:val="24"/>
          <w:szCs w:val="24"/>
          <w:lang w:val="en-IN"/>
        </w:rPr>
        <w:t xml:space="preserve">Action </w:t>
      </w:r>
      <w:r w:rsidR="00A409A3">
        <w:rPr>
          <w:rFonts w:ascii="Arial" w:hAnsi="Arial" w:cs="Arial"/>
          <w:b/>
          <w:bCs/>
          <w:color w:val="auto"/>
          <w:sz w:val="24"/>
          <w:szCs w:val="24"/>
          <w:lang w:val="en-IN"/>
        </w:rPr>
        <w:t>P</w:t>
      </w:r>
      <w:r w:rsidR="00CA3330" w:rsidRPr="00CA3330">
        <w:rPr>
          <w:rFonts w:ascii="Arial" w:hAnsi="Arial" w:cs="Arial"/>
          <w:b/>
          <w:bCs/>
          <w:color w:val="auto"/>
          <w:sz w:val="24"/>
          <w:szCs w:val="24"/>
          <w:lang w:val="en-IN"/>
        </w:rPr>
        <w:t>lan</w:t>
      </w:r>
      <w:bookmarkEnd w:id="22"/>
    </w:p>
    <w:p w14:paraId="50CA5EF9" w14:textId="65F492A1" w:rsidR="00CA3330" w:rsidRPr="00CA3330" w:rsidRDefault="001315A8" w:rsidP="001315A8">
      <w:pPr>
        <w:spacing w:line="360" w:lineRule="auto"/>
        <w:jc w:val="both"/>
        <w:rPr>
          <w:rFonts w:ascii="Arial" w:hAnsi="Arial" w:cs="Arial"/>
          <w:sz w:val="24"/>
          <w:szCs w:val="24"/>
          <w:lang w:val="en-IN"/>
        </w:rPr>
      </w:pPr>
      <w:r w:rsidRPr="001315A8">
        <w:rPr>
          <w:rFonts w:ascii="Arial" w:hAnsi="Arial" w:cs="Arial"/>
          <w:sz w:val="24"/>
          <w:szCs w:val="24"/>
          <w:lang w:val="en-IN"/>
        </w:rPr>
        <w:t>In future projects, I plan to develop a shared reference framework (segmentation variables, positioning theory, mix framework) at the beginning of the project rather than incrementally, and to prototype visual deliverables (posters, dashboards) alongside written strategy development rather than sequentially. My ability to combine quantitative market data with qualitative brand strategy has improved as a result of this project, which will help me in future roles involving brand management, consulting, or marketing analytics.</w:t>
      </w:r>
    </w:p>
    <w:p w14:paraId="7EAA5863" w14:textId="77777777" w:rsidR="00CA3330" w:rsidRPr="00CA3330" w:rsidRDefault="00CA3330" w:rsidP="00C1193E">
      <w:pPr>
        <w:pStyle w:val="Heading1"/>
        <w:spacing w:line="360" w:lineRule="auto"/>
        <w:rPr>
          <w:rFonts w:ascii="Arial" w:hAnsi="Arial" w:cs="Arial"/>
          <w:b/>
          <w:bCs/>
          <w:sz w:val="24"/>
          <w:szCs w:val="24"/>
          <w:lang w:val="en-IN"/>
        </w:rPr>
      </w:pPr>
      <w:bookmarkStart w:id="23" w:name="_Toc236583271"/>
      <w:r w:rsidRPr="00CA3330">
        <w:rPr>
          <w:rFonts w:ascii="Arial" w:hAnsi="Arial" w:cs="Arial"/>
          <w:b/>
          <w:bCs/>
          <w:sz w:val="24"/>
          <w:szCs w:val="24"/>
          <w:lang w:val="en-IN"/>
        </w:rPr>
        <w:lastRenderedPageBreak/>
        <w:t>References</w:t>
      </w:r>
      <w:bookmarkEnd w:id="23"/>
    </w:p>
    <w:p w14:paraId="00D7F9FF" w14:textId="77777777" w:rsidR="00C1193E" w:rsidRPr="00C1193E" w:rsidRDefault="00C1193E" w:rsidP="00C1193E">
      <w:pPr>
        <w:spacing w:line="360" w:lineRule="auto"/>
        <w:rPr>
          <w:rFonts w:ascii="Arial" w:hAnsi="Arial" w:cs="Arial"/>
          <w:sz w:val="24"/>
          <w:szCs w:val="24"/>
          <w:lang w:val="en-IN"/>
        </w:rPr>
      </w:pPr>
      <w:r w:rsidRPr="00C1193E">
        <w:rPr>
          <w:rFonts w:ascii="Arial" w:hAnsi="Arial" w:cs="Arial"/>
          <w:sz w:val="24"/>
          <w:szCs w:val="24"/>
          <w:lang w:val="en-IN"/>
        </w:rPr>
        <w:t xml:space="preserve">Aaker, D.A. and Keller, K.L. (1990) 'Consumer evaluations of brand extensions,' </w:t>
      </w:r>
      <w:r w:rsidRPr="00C1193E">
        <w:rPr>
          <w:rFonts w:ascii="Arial" w:hAnsi="Arial" w:cs="Arial"/>
          <w:i/>
          <w:iCs/>
          <w:sz w:val="24"/>
          <w:szCs w:val="24"/>
          <w:lang w:val="en-IN"/>
        </w:rPr>
        <w:t>Journal of Marketing</w:t>
      </w:r>
      <w:r w:rsidRPr="00C1193E">
        <w:rPr>
          <w:rFonts w:ascii="Arial" w:hAnsi="Arial" w:cs="Arial"/>
          <w:sz w:val="24"/>
          <w:szCs w:val="24"/>
          <w:lang w:val="en-IN"/>
        </w:rPr>
        <w:t>, 54(1), p. 27. https://doi.org/10.2307/1252171.</w:t>
      </w:r>
    </w:p>
    <w:p w14:paraId="789E5D29" w14:textId="77777777" w:rsidR="00C1193E" w:rsidRPr="00C1193E" w:rsidRDefault="00C1193E" w:rsidP="00C1193E">
      <w:pPr>
        <w:spacing w:line="360" w:lineRule="auto"/>
        <w:rPr>
          <w:rFonts w:ascii="Arial" w:hAnsi="Arial" w:cs="Arial"/>
          <w:sz w:val="24"/>
          <w:szCs w:val="24"/>
        </w:rPr>
      </w:pPr>
      <w:r w:rsidRPr="00C1193E">
        <w:rPr>
          <w:rFonts w:ascii="Arial" w:hAnsi="Arial" w:cs="Arial"/>
          <w:sz w:val="24"/>
          <w:szCs w:val="24"/>
        </w:rPr>
        <w:t>Booms, B.H. and Bitner, M.J. (1981) Marketing Strategies and Organization Structures for Service Firms. In: Marketing of Services, American Marketing Association, Chicago, 47-51.</w:t>
      </w:r>
    </w:p>
    <w:p w14:paraId="6E68F091" w14:textId="77777777" w:rsidR="00C1193E" w:rsidRPr="00C1193E" w:rsidRDefault="00C1193E" w:rsidP="00C1193E">
      <w:pPr>
        <w:spacing w:line="360" w:lineRule="auto"/>
        <w:rPr>
          <w:rFonts w:ascii="Arial" w:hAnsi="Arial" w:cs="Arial"/>
          <w:sz w:val="24"/>
          <w:szCs w:val="24"/>
        </w:rPr>
      </w:pPr>
      <w:r w:rsidRPr="00C1193E">
        <w:rPr>
          <w:rFonts w:ascii="Arial" w:hAnsi="Arial" w:cs="Arial"/>
          <w:sz w:val="24"/>
          <w:szCs w:val="24"/>
        </w:rPr>
        <w:t xml:space="preserve">Borden, N.H. (1964) The Concept of the Marketing Mix. Journal of Advertising Research, 4, 2-7. </w:t>
      </w:r>
      <w:r w:rsidRPr="00C1193E">
        <w:rPr>
          <w:rFonts w:ascii="Arial" w:hAnsi="Arial" w:cs="Arial"/>
          <w:sz w:val="24"/>
          <w:szCs w:val="24"/>
        </w:rPr>
        <w:br/>
        <w:t>http://www.jar.warc.com</w:t>
      </w:r>
    </w:p>
    <w:p w14:paraId="4AE1EE06" w14:textId="77777777" w:rsidR="00C1193E" w:rsidRPr="00C1193E" w:rsidRDefault="00C1193E" w:rsidP="00C1193E">
      <w:pPr>
        <w:spacing w:line="360" w:lineRule="auto"/>
        <w:rPr>
          <w:rFonts w:ascii="Arial" w:hAnsi="Arial" w:cs="Arial"/>
          <w:sz w:val="24"/>
          <w:szCs w:val="24"/>
          <w:lang w:val="en-IN"/>
        </w:rPr>
      </w:pPr>
      <w:r w:rsidRPr="00C1193E">
        <w:rPr>
          <w:rFonts w:ascii="Arial" w:hAnsi="Arial" w:cs="Arial"/>
          <w:sz w:val="24"/>
          <w:szCs w:val="24"/>
          <w:lang w:val="en-IN"/>
        </w:rPr>
        <w:t xml:space="preserve">Chen, Y.-S. (2009) 'The drivers of green brand equity: green brand image, green satisfaction, and green trust,' </w:t>
      </w:r>
      <w:r w:rsidRPr="00C1193E">
        <w:rPr>
          <w:rFonts w:ascii="Arial" w:hAnsi="Arial" w:cs="Arial"/>
          <w:i/>
          <w:iCs/>
          <w:sz w:val="24"/>
          <w:szCs w:val="24"/>
          <w:lang w:val="en-IN"/>
        </w:rPr>
        <w:t>Journal of Business Ethics</w:t>
      </w:r>
      <w:r w:rsidRPr="00C1193E">
        <w:rPr>
          <w:rFonts w:ascii="Arial" w:hAnsi="Arial" w:cs="Arial"/>
          <w:sz w:val="24"/>
          <w:szCs w:val="24"/>
          <w:lang w:val="en-IN"/>
        </w:rPr>
        <w:t>, 93(2), pp. 307–319. https://doi.org/10.1007/s10551-009-0223-9.</w:t>
      </w:r>
    </w:p>
    <w:p w14:paraId="5875460D" w14:textId="77777777" w:rsidR="00C1193E" w:rsidRPr="00C1193E" w:rsidRDefault="00C1193E" w:rsidP="00C1193E">
      <w:pPr>
        <w:spacing w:line="360" w:lineRule="auto"/>
        <w:rPr>
          <w:rFonts w:ascii="Arial" w:hAnsi="Arial" w:cs="Arial"/>
          <w:sz w:val="24"/>
          <w:szCs w:val="24"/>
          <w:lang w:val="en-IN"/>
        </w:rPr>
      </w:pPr>
      <w:r w:rsidRPr="00C1193E">
        <w:rPr>
          <w:rFonts w:ascii="Arial" w:hAnsi="Arial" w:cs="Arial"/>
          <w:sz w:val="24"/>
          <w:szCs w:val="24"/>
          <w:lang w:val="en-IN"/>
        </w:rPr>
        <w:t xml:space="preserve">Geissdoerfer, M. </w:t>
      </w:r>
      <w:r w:rsidRPr="00C1193E">
        <w:rPr>
          <w:rFonts w:ascii="Arial" w:hAnsi="Arial" w:cs="Arial"/>
          <w:i/>
          <w:iCs/>
          <w:sz w:val="24"/>
          <w:szCs w:val="24"/>
          <w:lang w:val="en-IN"/>
        </w:rPr>
        <w:t>et al.</w:t>
      </w:r>
      <w:r w:rsidRPr="00C1193E">
        <w:rPr>
          <w:rFonts w:ascii="Arial" w:hAnsi="Arial" w:cs="Arial"/>
          <w:sz w:val="24"/>
          <w:szCs w:val="24"/>
          <w:lang w:val="en-IN"/>
        </w:rPr>
        <w:t xml:space="preserve"> (2016) 'The Circular Economy – A new sustainability paradigm?' </w:t>
      </w:r>
      <w:r w:rsidRPr="00C1193E">
        <w:rPr>
          <w:rFonts w:ascii="Arial" w:hAnsi="Arial" w:cs="Arial"/>
          <w:i/>
          <w:iCs/>
          <w:sz w:val="24"/>
          <w:szCs w:val="24"/>
          <w:lang w:val="en-IN"/>
        </w:rPr>
        <w:t>Journal of Cleaner Production</w:t>
      </w:r>
      <w:r w:rsidRPr="00C1193E">
        <w:rPr>
          <w:rFonts w:ascii="Arial" w:hAnsi="Arial" w:cs="Arial"/>
          <w:sz w:val="24"/>
          <w:szCs w:val="24"/>
          <w:lang w:val="en-IN"/>
        </w:rPr>
        <w:t>, 143, pp. 757–768. https://doi.org/10.1016/j.jclepro.2016.12.048.</w:t>
      </w:r>
    </w:p>
    <w:p w14:paraId="260D53D0" w14:textId="77777777" w:rsidR="00C1193E" w:rsidRPr="00C1193E" w:rsidRDefault="00C1193E" w:rsidP="00C1193E">
      <w:pPr>
        <w:spacing w:line="360" w:lineRule="auto"/>
        <w:rPr>
          <w:rFonts w:ascii="Arial" w:hAnsi="Arial" w:cs="Arial"/>
          <w:sz w:val="24"/>
          <w:szCs w:val="24"/>
          <w:lang w:val="en-IN"/>
        </w:rPr>
      </w:pPr>
      <w:r w:rsidRPr="00C1193E">
        <w:rPr>
          <w:rFonts w:ascii="Arial" w:hAnsi="Arial" w:cs="Arial"/>
          <w:sz w:val="24"/>
          <w:szCs w:val="24"/>
          <w:lang w:val="en-IN"/>
        </w:rPr>
        <w:t xml:space="preserve">Gibbs, G. (1988) </w:t>
      </w:r>
      <w:r w:rsidRPr="00C1193E">
        <w:rPr>
          <w:rFonts w:ascii="Arial" w:hAnsi="Arial" w:cs="Arial"/>
          <w:i/>
          <w:iCs/>
          <w:sz w:val="24"/>
          <w:szCs w:val="24"/>
          <w:lang w:val="en-IN"/>
        </w:rPr>
        <w:t>Learning by Doing: A Guide to Teaching and Learning Methods</w:t>
      </w:r>
      <w:r w:rsidRPr="00C1193E">
        <w:rPr>
          <w:rFonts w:ascii="Arial" w:hAnsi="Arial" w:cs="Arial"/>
          <w:sz w:val="24"/>
          <w:szCs w:val="24"/>
          <w:lang w:val="en-IN"/>
        </w:rPr>
        <w:t>. Oxford: Further Education Unit, Oxford Polytechnic.</w:t>
      </w:r>
    </w:p>
    <w:p w14:paraId="68552C66" w14:textId="77777777" w:rsidR="00C1193E" w:rsidRPr="00C1193E" w:rsidRDefault="00C1193E" w:rsidP="00C1193E">
      <w:pPr>
        <w:spacing w:line="360" w:lineRule="auto"/>
        <w:rPr>
          <w:rFonts w:ascii="Arial" w:hAnsi="Arial" w:cs="Arial"/>
          <w:sz w:val="24"/>
          <w:szCs w:val="24"/>
          <w:lang w:val="en-IN"/>
        </w:rPr>
      </w:pPr>
      <w:r w:rsidRPr="00C1193E">
        <w:rPr>
          <w:rFonts w:ascii="Arial" w:hAnsi="Arial" w:cs="Arial"/>
          <w:sz w:val="24"/>
          <w:szCs w:val="24"/>
          <w:lang w:val="en-IN"/>
        </w:rPr>
        <w:t xml:space="preserve">Harper, G. </w:t>
      </w:r>
      <w:r w:rsidRPr="00C1193E">
        <w:rPr>
          <w:rFonts w:ascii="Arial" w:hAnsi="Arial" w:cs="Arial"/>
          <w:i/>
          <w:iCs/>
          <w:sz w:val="24"/>
          <w:szCs w:val="24"/>
          <w:lang w:val="en-IN"/>
        </w:rPr>
        <w:t>et al.</w:t>
      </w:r>
      <w:r w:rsidRPr="00C1193E">
        <w:rPr>
          <w:rFonts w:ascii="Arial" w:hAnsi="Arial" w:cs="Arial"/>
          <w:sz w:val="24"/>
          <w:szCs w:val="24"/>
          <w:lang w:val="en-IN"/>
        </w:rPr>
        <w:t xml:space="preserve"> (2019) 'Recycling lithium-ion batteries from electric vehicles,' </w:t>
      </w:r>
      <w:r w:rsidRPr="00C1193E">
        <w:rPr>
          <w:rFonts w:ascii="Arial" w:hAnsi="Arial" w:cs="Arial"/>
          <w:i/>
          <w:iCs/>
          <w:sz w:val="24"/>
          <w:szCs w:val="24"/>
          <w:lang w:val="en-IN"/>
        </w:rPr>
        <w:t>Nature</w:t>
      </w:r>
      <w:r w:rsidRPr="00C1193E">
        <w:rPr>
          <w:rFonts w:ascii="Arial" w:hAnsi="Arial" w:cs="Arial"/>
          <w:sz w:val="24"/>
          <w:szCs w:val="24"/>
          <w:lang w:val="en-IN"/>
        </w:rPr>
        <w:t>, 575(7781), pp. 75–86. https://doi.org/10.1038/s41586-019-1682-5.</w:t>
      </w:r>
    </w:p>
    <w:p w14:paraId="26953D17" w14:textId="77777777" w:rsidR="00C1193E" w:rsidRPr="00C1193E" w:rsidRDefault="00C1193E" w:rsidP="00C1193E">
      <w:pPr>
        <w:spacing w:line="360" w:lineRule="auto"/>
        <w:rPr>
          <w:rFonts w:ascii="Arial" w:hAnsi="Arial" w:cs="Arial"/>
          <w:sz w:val="24"/>
          <w:szCs w:val="24"/>
          <w:lang w:val="en-IN"/>
        </w:rPr>
      </w:pPr>
      <w:r w:rsidRPr="00C1193E">
        <w:rPr>
          <w:rFonts w:ascii="Arial" w:hAnsi="Arial" w:cs="Arial"/>
          <w:sz w:val="24"/>
          <w:szCs w:val="24"/>
          <w:lang w:val="en-IN"/>
        </w:rPr>
        <w:t xml:space="preserve">IEA (2024) </w:t>
      </w:r>
      <w:r w:rsidRPr="00C1193E">
        <w:rPr>
          <w:rFonts w:ascii="Arial" w:hAnsi="Arial" w:cs="Arial"/>
          <w:i/>
          <w:iCs/>
          <w:sz w:val="24"/>
          <w:szCs w:val="24"/>
          <w:lang w:val="en-IN"/>
        </w:rPr>
        <w:t>Global Critical Minerals Outlook 2024</w:t>
      </w:r>
      <w:r w:rsidRPr="00C1193E">
        <w:rPr>
          <w:rFonts w:ascii="Arial" w:hAnsi="Arial" w:cs="Arial"/>
          <w:sz w:val="24"/>
          <w:szCs w:val="24"/>
          <w:lang w:val="en-IN"/>
        </w:rPr>
        <w:t>. https://www.iea.org/reports/global-critical-minerals-outlook-2024 (Accessed: August 2, 2026).</w:t>
      </w:r>
    </w:p>
    <w:p w14:paraId="465574BF" w14:textId="77777777" w:rsidR="00C1193E" w:rsidRPr="00C1193E" w:rsidRDefault="00C1193E" w:rsidP="00C1193E">
      <w:pPr>
        <w:spacing w:line="360" w:lineRule="auto"/>
        <w:rPr>
          <w:rFonts w:ascii="Arial" w:hAnsi="Arial" w:cs="Arial"/>
          <w:sz w:val="24"/>
          <w:szCs w:val="24"/>
          <w:lang w:val="en-IN"/>
        </w:rPr>
      </w:pPr>
      <w:r w:rsidRPr="00C1193E">
        <w:rPr>
          <w:rFonts w:ascii="Arial" w:hAnsi="Arial" w:cs="Arial"/>
          <w:sz w:val="24"/>
          <w:szCs w:val="24"/>
          <w:lang w:val="en-IN"/>
        </w:rPr>
        <w:t xml:space="preserve">IEA (2025) </w:t>
      </w:r>
      <w:r w:rsidRPr="00C1193E">
        <w:rPr>
          <w:rFonts w:ascii="Arial" w:hAnsi="Arial" w:cs="Arial"/>
          <w:i/>
          <w:iCs/>
          <w:sz w:val="24"/>
          <w:szCs w:val="24"/>
          <w:lang w:val="en-IN"/>
        </w:rPr>
        <w:t>Global EV Outlook 2025</w:t>
      </w:r>
      <w:r w:rsidRPr="00C1193E">
        <w:rPr>
          <w:rFonts w:ascii="Arial" w:hAnsi="Arial" w:cs="Arial"/>
          <w:sz w:val="24"/>
          <w:szCs w:val="24"/>
          <w:lang w:val="en-IN"/>
        </w:rPr>
        <w:t>. https://www.iea.org/reports/global-ev-outlook-2025 (Accessed: August 2, 2026).</w:t>
      </w:r>
    </w:p>
    <w:p w14:paraId="576C919C" w14:textId="77777777" w:rsidR="00C1193E" w:rsidRPr="00C1193E" w:rsidRDefault="00C1193E" w:rsidP="00C1193E">
      <w:pPr>
        <w:spacing w:line="360" w:lineRule="auto"/>
        <w:rPr>
          <w:rFonts w:ascii="Arial" w:hAnsi="Arial" w:cs="Arial"/>
          <w:sz w:val="24"/>
          <w:szCs w:val="24"/>
          <w:lang w:val="en-IN"/>
        </w:rPr>
      </w:pPr>
      <w:r w:rsidRPr="00C1193E">
        <w:rPr>
          <w:rFonts w:ascii="Arial" w:hAnsi="Arial" w:cs="Arial"/>
          <w:sz w:val="24"/>
          <w:szCs w:val="24"/>
          <w:lang w:val="en-IN"/>
        </w:rPr>
        <w:t xml:space="preserve">Kotler, P. and Keller, K.L. (2016) </w:t>
      </w:r>
      <w:r w:rsidRPr="00C1193E">
        <w:rPr>
          <w:rFonts w:ascii="Arial" w:hAnsi="Arial" w:cs="Arial"/>
          <w:i/>
          <w:iCs/>
          <w:sz w:val="24"/>
          <w:szCs w:val="24"/>
          <w:lang w:val="en-IN"/>
        </w:rPr>
        <w:t>Marketing Management</w:t>
      </w:r>
      <w:r w:rsidRPr="00C1193E">
        <w:rPr>
          <w:rFonts w:ascii="Arial" w:hAnsi="Arial" w:cs="Arial"/>
          <w:sz w:val="24"/>
          <w:szCs w:val="24"/>
          <w:lang w:val="en-IN"/>
        </w:rPr>
        <w:t>. 15th edn. Harlow: Pearson Education.</w:t>
      </w:r>
    </w:p>
    <w:p w14:paraId="7B1AFFC9" w14:textId="77777777" w:rsidR="00C1193E" w:rsidRPr="00C1193E" w:rsidRDefault="00C1193E" w:rsidP="00C1193E">
      <w:pPr>
        <w:spacing w:line="360" w:lineRule="auto"/>
        <w:rPr>
          <w:rFonts w:ascii="Arial" w:hAnsi="Arial" w:cs="Arial"/>
          <w:sz w:val="24"/>
          <w:szCs w:val="24"/>
          <w:lang w:val="en-IN"/>
        </w:rPr>
      </w:pPr>
      <w:r w:rsidRPr="00C1193E">
        <w:rPr>
          <w:rFonts w:ascii="Arial" w:hAnsi="Arial" w:cs="Arial"/>
          <w:sz w:val="24"/>
          <w:szCs w:val="24"/>
          <w:lang w:val="en-IN"/>
        </w:rPr>
        <w:t xml:space="preserve">Peattie, K. and Crane, A. (2005) 'Green marketing: legend, myth, farce or prophesy?' </w:t>
      </w:r>
      <w:r w:rsidRPr="00C1193E">
        <w:rPr>
          <w:rFonts w:ascii="Arial" w:hAnsi="Arial" w:cs="Arial"/>
          <w:i/>
          <w:iCs/>
          <w:sz w:val="24"/>
          <w:szCs w:val="24"/>
          <w:lang w:val="en-IN"/>
        </w:rPr>
        <w:t>Qualitative Market Research an International Journal</w:t>
      </w:r>
      <w:r w:rsidRPr="00C1193E">
        <w:rPr>
          <w:rFonts w:ascii="Arial" w:hAnsi="Arial" w:cs="Arial"/>
          <w:sz w:val="24"/>
          <w:szCs w:val="24"/>
          <w:lang w:val="en-IN"/>
        </w:rPr>
        <w:t>, 8(4), pp. 357–370. https://doi.org/10.1108/13522750510619733.</w:t>
      </w:r>
    </w:p>
    <w:p w14:paraId="55D3B45C" w14:textId="77777777" w:rsidR="00C1193E" w:rsidRPr="00C1193E" w:rsidRDefault="00C1193E" w:rsidP="00C1193E">
      <w:pPr>
        <w:spacing w:line="360" w:lineRule="auto"/>
        <w:rPr>
          <w:rFonts w:ascii="Arial" w:hAnsi="Arial" w:cs="Arial"/>
          <w:sz w:val="24"/>
          <w:szCs w:val="24"/>
          <w:lang w:val="en-IN"/>
        </w:rPr>
      </w:pPr>
      <w:r w:rsidRPr="00C1193E">
        <w:rPr>
          <w:rFonts w:ascii="Arial" w:hAnsi="Arial" w:cs="Arial"/>
          <w:sz w:val="24"/>
          <w:szCs w:val="24"/>
          <w:lang w:val="en-IN"/>
        </w:rPr>
        <w:lastRenderedPageBreak/>
        <w:t xml:space="preserve">Precedence Research (2026) </w:t>
      </w:r>
      <w:r w:rsidRPr="00C1193E">
        <w:rPr>
          <w:rFonts w:ascii="Arial" w:hAnsi="Arial" w:cs="Arial"/>
          <w:i/>
          <w:iCs/>
          <w:sz w:val="24"/>
          <w:szCs w:val="24"/>
          <w:lang w:val="en-IN"/>
        </w:rPr>
        <w:t>Electric vehicle battery Recycling market Size, report by 2035</w:t>
      </w:r>
      <w:r w:rsidRPr="00C1193E">
        <w:rPr>
          <w:rFonts w:ascii="Arial" w:hAnsi="Arial" w:cs="Arial"/>
          <w:sz w:val="24"/>
          <w:szCs w:val="24"/>
          <w:lang w:val="en-IN"/>
        </w:rPr>
        <w:t>. https://www.precedenceresearch.com/electric-vehicle-battery-recycling-market (Accessed: August 2, 2026).</w:t>
      </w:r>
    </w:p>
    <w:p w14:paraId="35BB0E74" w14:textId="77777777" w:rsidR="00C1193E" w:rsidRPr="00C1193E" w:rsidRDefault="00C1193E" w:rsidP="00C1193E">
      <w:pPr>
        <w:spacing w:line="360" w:lineRule="auto"/>
        <w:rPr>
          <w:rFonts w:ascii="Arial" w:hAnsi="Arial" w:cs="Arial"/>
          <w:sz w:val="24"/>
          <w:szCs w:val="24"/>
          <w:lang w:val="en-IN"/>
        </w:rPr>
      </w:pPr>
      <w:r w:rsidRPr="00C1193E">
        <w:rPr>
          <w:rFonts w:ascii="Arial" w:hAnsi="Arial" w:cs="Arial"/>
          <w:sz w:val="24"/>
          <w:szCs w:val="24"/>
          <w:lang w:val="en-IN"/>
        </w:rPr>
        <w:t xml:space="preserve">Smith, W.R. (1956) 'Product differentiation and market segmentation as alternative marketing strategies,' </w:t>
      </w:r>
      <w:r w:rsidRPr="00C1193E">
        <w:rPr>
          <w:rFonts w:ascii="Arial" w:hAnsi="Arial" w:cs="Arial"/>
          <w:i/>
          <w:iCs/>
          <w:sz w:val="24"/>
          <w:szCs w:val="24"/>
          <w:lang w:val="en-IN"/>
        </w:rPr>
        <w:t>Journal of Marketing</w:t>
      </w:r>
      <w:r w:rsidRPr="00C1193E">
        <w:rPr>
          <w:rFonts w:ascii="Arial" w:hAnsi="Arial" w:cs="Arial"/>
          <w:sz w:val="24"/>
          <w:szCs w:val="24"/>
          <w:lang w:val="en-IN"/>
        </w:rPr>
        <w:t>, 21(1), p. 3. https://doi.org/10.2307/1247695.</w:t>
      </w:r>
    </w:p>
    <w:p w14:paraId="64265A98" w14:textId="77777777" w:rsidR="00C1193E" w:rsidRPr="00C1193E" w:rsidRDefault="00C1193E" w:rsidP="00C1193E">
      <w:pPr>
        <w:spacing w:line="360" w:lineRule="auto"/>
        <w:rPr>
          <w:rFonts w:ascii="Arial" w:hAnsi="Arial" w:cs="Arial"/>
          <w:sz w:val="24"/>
          <w:szCs w:val="24"/>
        </w:rPr>
      </w:pPr>
      <w:r w:rsidRPr="00C1193E">
        <w:rPr>
          <w:rFonts w:ascii="Arial" w:hAnsi="Arial" w:cs="Arial"/>
          <w:sz w:val="24"/>
          <w:szCs w:val="24"/>
        </w:rPr>
        <w:t xml:space="preserve">Solomon, M.R. (2020) </w:t>
      </w:r>
      <w:r w:rsidRPr="00C1193E">
        <w:rPr>
          <w:rFonts w:ascii="Arial" w:hAnsi="Arial" w:cs="Arial"/>
          <w:i/>
          <w:iCs/>
          <w:sz w:val="24"/>
          <w:szCs w:val="24"/>
        </w:rPr>
        <w:t>Consumer Behaviour: Buying, Having, and Being</w:t>
      </w:r>
      <w:r w:rsidRPr="00C1193E">
        <w:rPr>
          <w:rFonts w:ascii="Arial" w:hAnsi="Arial" w:cs="Arial"/>
          <w:sz w:val="24"/>
          <w:szCs w:val="24"/>
        </w:rPr>
        <w:t>. 13th edn. Harlow: Pearson Education.</w:t>
      </w:r>
    </w:p>
    <w:p w14:paraId="2E6E6CFC" w14:textId="77777777" w:rsidR="00C1193E" w:rsidRPr="00C1193E" w:rsidRDefault="00C1193E" w:rsidP="00C1193E">
      <w:pPr>
        <w:spacing w:line="360" w:lineRule="auto"/>
        <w:rPr>
          <w:rFonts w:ascii="Arial" w:hAnsi="Arial" w:cs="Arial"/>
          <w:sz w:val="24"/>
          <w:szCs w:val="24"/>
          <w:lang w:val="en-IN"/>
        </w:rPr>
      </w:pPr>
      <w:r w:rsidRPr="00C1193E">
        <w:rPr>
          <w:rFonts w:ascii="Arial" w:hAnsi="Arial" w:cs="Arial"/>
          <w:sz w:val="24"/>
          <w:szCs w:val="24"/>
          <w:lang w:val="en-IN"/>
        </w:rPr>
        <w:t xml:space="preserve">Toyota Motor Corporation (2025a) </w:t>
      </w:r>
      <w:r w:rsidRPr="00C1193E">
        <w:rPr>
          <w:rFonts w:ascii="Arial" w:hAnsi="Arial" w:cs="Arial"/>
          <w:i/>
          <w:iCs/>
          <w:sz w:val="24"/>
          <w:szCs w:val="24"/>
          <w:lang w:val="en-IN"/>
        </w:rPr>
        <w:t>Global Sales Results</w:t>
      </w:r>
      <w:r w:rsidRPr="00C1193E">
        <w:rPr>
          <w:rFonts w:ascii="Arial" w:hAnsi="Arial" w:cs="Arial"/>
          <w:sz w:val="24"/>
          <w:szCs w:val="24"/>
          <w:lang w:val="en-IN"/>
        </w:rPr>
        <w:t>. Tokyo: Toyota Motor Corporation. https://global.toyota/en/company/profile/production-sales-figures/202512.html (Accessed: 2 August 2026).</w:t>
      </w:r>
    </w:p>
    <w:p w14:paraId="5D57CB5F" w14:textId="77777777" w:rsidR="00C1193E" w:rsidRPr="00C1193E" w:rsidRDefault="00C1193E" w:rsidP="00C1193E">
      <w:pPr>
        <w:spacing w:line="360" w:lineRule="auto"/>
        <w:rPr>
          <w:rFonts w:ascii="Arial" w:hAnsi="Arial" w:cs="Arial"/>
          <w:sz w:val="24"/>
          <w:szCs w:val="24"/>
          <w:lang w:val="en-IN"/>
        </w:rPr>
      </w:pPr>
      <w:r w:rsidRPr="00C1193E">
        <w:rPr>
          <w:rFonts w:ascii="Arial" w:hAnsi="Arial" w:cs="Arial"/>
          <w:sz w:val="24"/>
          <w:szCs w:val="24"/>
          <w:lang w:val="en-IN"/>
        </w:rPr>
        <w:t xml:space="preserve">Toyota Motor Corporation (2025a) </w:t>
      </w:r>
      <w:r w:rsidRPr="00C1193E">
        <w:rPr>
          <w:rFonts w:ascii="Arial" w:hAnsi="Arial" w:cs="Arial"/>
          <w:i/>
          <w:iCs/>
          <w:sz w:val="24"/>
          <w:szCs w:val="24"/>
          <w:lang w:val="en-IN"/>
        </w:rPr>
        <w:t>Toyota Integrated Report 2025</w:t>
      </w:r>
      <w:r w:rsidRPr="00C1193E">
        <w:rPr>
          <w:rFonts w:ascii="Arial" w:hAnsi="Arial" w:cs="Arial"/>
          <w:sz w:val="24"/>
          <w:szCs w:val="24"/>
          <w:lang w:val="en-IN"/>
        </w:rPr>
        <w:t>. Toyota Motor Corporation.</w:t>
      </w:r>
    </w:p>
    <w:p w14:paraId="0C21F4D3" w14:textId="77777777" w:rsidR="00C1193E" w:rsidRPr="00C1193E" w:rsidRDefault="00C1193E" w:rsidP="00C1193E">
      <w:pPr>
        <w:spacing w:line="360" w:lineRule="auto"/>
        <w:rPr>
          <w:rFonts w:ascii="Arial" w:hAnsi="Arial" w:cs="Arial"/>
          <w:sz w:val="24"/>
          <w:szCs w:val="24"/>
          <w:lang w:val="en-IN"/>
        </w:rPr>
      </w:pPr>
      <w:r w:rsidRPr="00C1193E">
        <w:rPr>
          <w:rFonts w:ascii="Arial" w:hAnsi="Arial" w:cs="Arial"/>
          <w:sz w:val="24"/>
          <w:szCs w:val="24"/>
          <w:lang w:val="en-IN"/>
        </w:rPr>
        <w:t xml:space="preserve">Toyota Motor Corporation (2025b) </w:t>
      </w:r>
      <w:r w:rsidRPr="00C1193E">
        <w:rPr>
          <w:rFonts w:ascii="Arial" w:hAnsi="Arial" w:cs="Arial"/>
          <w:i/>
          <w:iCs/>
          <w:sz w:val="24"/>
          <w:szCs w:val="24"/>
          <w:lang w:val="en-IN"/>
        </w:rPr>
        <w:t>Toyota Environmental Challenge 2050</w:t>
      </w:r>
      <w:r w:rsidRPr="00C1193E">
        <w:rPr>
          <w:rFonts w:ascii="Arial" w:hAnsi="Arial" w:cs="Arial"/>
          <w:sz w:val="24"/>
          <w:szCs w:val="24"/>
          <w:lang w:val="en-IN"/>
        </w:rPr>
        <w:t>. Tokyo: Toyota Motor Corporation. https://www.toyotaeffect.com/stories-of-impact/toyota-environmental-challenge-2050/ (Accessed: 2 August 2026).</w:t>
      </w:r>
    </w:p>
    <w:p w14:paraId="0DB9F90E" w14:textId="77777777" w:rsidR="00C1193E" w:rsidRPr="00C1193E" w:rsidRDefault="00C1193E" w:rsidP="00C1193E">
      <w:pPr>
        <w:spacing w:line="360" w:lineRule="auto"/>
        <w:rPr>
          <w:rFonts w:ascii="Arial" w:hAnsi="Arial" w:cs="Arial"/>
          <w:sz w:val="24"/>
          <w:szCs w:val="24"/>
          <w:lang w:val="en-IN"/>
        </w:rPr>
      </w:pPr>
      <w:r w:rsidRPr="00C1193E">
        <w:rPr>
          <w:rFonts w:ascii="Arial" w:hAnsi="Arial" w:cs="Arial"/>
          <w:sz w:val="24"/>
          <w:szCs w:val="24"/>
          <w:lang w:val="en-IN"/>
        </w:rPr>
        <w:t xml:space="preserve">Völckner, F. and Sattler, H. (2006) 'Drivers of brand extension success,' </w:t>
      </w:r>
      <w:r w:rsidRPr="00C1193E">
        <w:rPr>
          <w:rFonts w:ascii="Arial" w:hAnsi="Arial" w:cs="Arial"/>
          <w:i/>
          <w:iCs/>
          <w:sz w:val="24"/>
          <w:szCs w:val="24"/>
          <w:lang w:val="en-IN"/>
        </w:rPr>
        <w:t>Journal of Marketing</w:t>
      </w:r>
      <w:r w:rsidRPr="00C1193E">
        <w:rPr>
          <w:rFonts w:ascii="Arial" w:hAnsi="Arial" w:cs="Arial"/>
          <w:sz w:val="24"/>
          <w:szCs w:val="24"/>
          <w:lang w:val="en-IN"/>
        </w:rPr>
        <w:t>, 70(2), pp. 18–34. https://doi.org/10.1509/jmkg.70.2.18.</w:t>
      </w:r>
    </w:p>
    <w:p w14:paraId="32943C9E" w14:textId="77777777" w:rsidR="00C1193E" w:rsidRPr="00C1193E" w:rsidRDefault="00C1193E" w:rsidP="00C1193E">
      <w:pPr>
        <w:spacing w:line="360" w:lineRule="auto"/>
        <w:rPr>
          <w:rFonts w:ascii="Arial" w:hAnsi="Arial" w:cs="Arial"/>
          <w:sz w:val="24"/>
          <w:szCs w:val="24"/>
          <w:lang w:val="en-IN"/>
        </w:rPr>
      </w:pPr>
      <w:r w:rsidRPr="00C1193E">
        <w:rPr>
          <w:rFonts w:ascii="Arial" w:hAnsi="Arial" w:cs="Arial"/>
          <w:sz w:val="24"/>
          <w:szCs w:val="24"/>
          <w:lang w:val="en-IN"/>
        </w:rPr>
        <w:t xml:space="preserve">Zeithaml, V.A., Bitner, M.J. and Gremler, D.D. (2018) 'Services Marketing Integrating Customer Focus Across the Firm 7th Edition,' </w:t>
      </w:r>
      <w:r w:rsidRPr="00C1193E">
        <w:rPr>
          <w:rFonts w:ascii="Arial" w:hAnsi="Arial" w:cs="Arial"/>
          <w:i/>
          <w:iCs/>
          <w:sz w:val="24"/>
          <w:szCs w:val="24"/>
          <w:lang w:val="en-IN"/>
        </w:rPr>
        <w:t>EBOOK</w:t>
      </w:r>
      <w:r w:rsidRPr="00C1193E">
        <w:rPr>
          <w:rFonts w:ascii="Arial" w:hAnsi="Arial" w:cs="Arial"/>
          <w:sz w:val="24"/>
          <w:szCs w:val="24"/>
          <w:lang w:val="en-IN"/>
        </w:rPr>
        <w:t xml:space="preserve"> [Preprint]. https://opaclib.inaba.ac.id/index.php?p=show_detail&amp;id=1416.</w:t>
      </w:r>
    </w:p>
    <w:p w14:paraId="437952D9" w14:textId="77777777" w:rsidR="00BA6844" w:rsidRDefault="00BA6844" w:rsidP="00BA6844"/>
    <w:p w14:paraId="7123E6C7" w14:textId="77777777" w:rsidR="00BA6844" w:rsidRPr="007B33F6" w:rsidRDefault="00BA6844" w:rsidP="007B33F6">
      <w:pPr>
        <w:rPr>
          <w:lang w:val="en-IN"/>
        </w:rPr>
      </w:pPr>
    </w:p>
    <w:p w14:paraId="21DCF6E4" w14:textId="77777777" w:rsidR="00442C71" w:rsidRDefault="00442C71"/>
    <w:sectPr w:rsidR="00442C71" w:rsidSect="00A409A3">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BAD9C" w14:textId="77777777" w:rsidR="000309D6" w:rsidRDefault="000309D6" w:rsidP="00A409A3">
      <w:pPr>
        <w:spacing w:after="0" w:line="240" w:lineRule="auto"/>
      </w:pPr>
      <w:r>
        <w:separator/>
      </w:r>
    </w:p>
  </w:endnote>
  <w:endnote w:type="continuationSeparator" w:id="0">
    <w:p w14:paraId="029AF083" w14:textId="77777777" w:rsidR="000309D6" w:rsidRDefault="000309D6" w:rsidP="00A40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9255238"/>
      <w:docPartObj>
        <w:docPartGallery w:val="Page Numbers (Bottom of Page)"/>
        <w:docPartUnique/>
      </w:docPartObj>
    </w:sdtPr>
    <w:sdtContent>
      <w:p w14:paraId="4042AB70" w14:textId="195394EB" w:rsidR="00A409A3" w:rsidRDefault="00A409A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FF01F06" w14:textId="77777777" w:rsidR="00A409A3" w:rsidRDefault="00A409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27929" w14:textId="77777777" w:rsidR="000309D6" w:rsidRDefault="000309D6" w:rsidP="00A409A3">
      <w:pPr>
        <w:spacing w:after="0" w:line="240" w:lineRule="auto"/>
      </w:pPr>
      <w:r>
        <w:separator/>
      </w:r>
    </w:p>
  </w:footnote>
  <w:footnote w:type="continuationSeparator" w:id="0">
    <w:p w14:paraId="24776402" w14:textId="77777777" w:rsidR="000309D6" w:rsidRDefault="000309D6" w:rsidP="00A409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EA56A" w14:textId="214CB065" w:rsidR="00437D21" w:rsidRDefault="00437D21">
    <w:pPr>
      <w:pStyle w:val="Header"/>
    </w:pPr>
    <w:r w:rsidRPr="00437D21">
      <w:rPr>
        <w:noProof/>
      </w:rPr>
      <w:drawing>
        <wp:anchor distT="0" distB="0" distL="114300" distR="114300" simplePos="0" relativeHeight="251658240" behindDoc="0" locked="0" layoutInCell="1" allowOverlap="1" wp14:anchorId="1617CE90" wp14:editId="514ECB4B">
          <wp:simplePos x="0" y="0"/>
          <wp:positionH relativeFrom="column">
            <wp:posOffset>4937760</wp:posOffset>
          </wp:positionH>
          <wp:positionV relativeFrom="paragraph">
            <wp:posOffset>-375285</wp:posOffset>
          </wp:positionV>
          <wp:extent cx="784860" cy="735330"/>
          <wp:effectExtent l="0" t="0" r="0" b="7620"/>
          <wp:wrapSquare wrapText="bothSides"/>
          <wp:docPr id="918704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704884" name=""/>
                  <pic:cNvPicPr/>
                </pic:nvPicPr>
                <pic:blipFill>
                  <a:blip r:embed="rId1">
                    <a:extLst>
                      <a:ext uri="{28A0092B-C50C-407E-A947-70E740481C1C}">
                        <a14:useLocalDpi xmlns:a14="http://schemas.microsoft.com/office/drawing/2010/main" val="0"/>
                      </a:ext>
                    </a:extLst>
                  </a:blip>
                  <a:stretch>
                    <a:fillRect/>
                  </a:stretch>
                </pic:blipFill>
                <pic:spPr>
                  <a:xfrm>
                    <a:off x="0" y="0"/>
                    <a:ext cx="784860" cy="73533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0E5B"/>
    <w:multiLevelType w:val="hybridMultilevel"/>
    <w:tmpl w:val="C938073C"/>
    <w:lvl w:ilvl="0" w:tplc="27A08E00">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12091B"/>
    <w:multiLevelType w:val="hybridMultilevel"/>
    <w:tmpl w:val="3DE86B0C"/>
    <w:lvl w:ilvl="0" w:tplc="27A08E00">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44662F8"/>
    <w:multiLevelType w:val="hybridMultilevel"/>
    <w:tmpl w:val="41EA1F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C7C703E"/>
    <w:multiLevelType w:val="hybridMultilevel"/>
    <w:tmpl w:val="A8DEE888"/>
    <w:lvl w:ilvl="0" w:tplc="27A08E00">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DD35AC5"/>
    <w:multiLevelType w:val="hybridMultilevel"/>
    <w:tmpl w:val="DBF49A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20134B4"/>
    <w:multiLevelType w:val="hybridMultilevel"/>
    <w:tmpl w:val="295624A4"/>
    <w:lvl w:ilvl="0" w:tplc="27A08E00">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EC61AED"/>
    <w:multiLevelType w:val="hybridMultilevel"/>
    <w:tmpl w:val="56DA41D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FC37A34"/>
    <w:multiLevelType w:val="hybridMultilevel"/>
    <w:tmpl w:val="BB0C62B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EB175D7"/>
    <w:multiLevelType w:val="multilevel"/>
    <w:tmpl w:val="316EA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B66961"/>
    <w:multiLevelType w:val="hybridMultilevel"/>
    <w:tmpl w:val="0CA0D9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967844">
    <w:abstractNumId w:val="8"/>
  </w:num>
  <w:num w:numId="2" w16cid:durableId="820661480">
    <w:abstractNumId w:val="2"/>
  </w:num>
  <w:num w:numId="3" w16cid:durableId="184909345">
    <w:abstractNumId w:val="9"/>
  </w:num>
  <w:num w:numId="4" w16cid:durableId="755899694">
    <w:abstractNumId w:val="4"/>
  </w:num>
  <w:num w:numId="5" w16cid:durableId="1902129675">
    <w:abstractNumId w:val="1"/>
  </w:num>
  <w:num w:numId="6" w16cid:durableId="2134210427">
    <w:abstractNumId w:val="0"/>
  </w:num>
  <w:num w:numId="7" w16cid:durableId="1015956671">
    <w:abstractNumId w:val="5"/>
  </w:num>
  <w:num w:numId="8" w16cid:durableId="1269004129">
    <w:abstractNumId w:val="3"/>
  </w:num>
  <w:num w:numId="9" w16cid:durableId="819273897">
    <w:abstractNumId w:val="7"/>
  </w:num>
  <w:num w:numId="10" w16cid:durableId="17276033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3F6"/>
    <w:rsid w:val="00003957"/>
    <w:rsid w:val="000309D6"/>
    <w:rsid w:val="00107144"/>
    <w:rsid w:val="001315A8"/>
    <w:rsid w:val="001579E5"/>
    <w:rsid w:val="00215926"/>
    <w:rsid w:val="00216CA0"/>
    <w:rsid w:val="002326BC"/>
    <w:rsid w:val="0029038E"/>
    <w:rsid w:val="002B43BD"/>
    <w:rsid w:val="002F785E"/>
    <w:rsid w:val="00372C20"/>
    <w:rsid w:val="00393241"/>
    <w:rsid w:val="00437D21"/>
    <w:rsid w:val="00442C71"/>
    <w:rsid w:val="0055749F"/>
    <w:rsid w:val="005E4B25"/>
    <w:rsid w:val="006D27F6"/>
    <w:rsid w:val="006E708B"/>
    <w:rsid w:val="007B33F6"/>
    <w:rsid w:val="00843CDB"/>
    <w:rsid w:val="009C2520"/>
    <w:rsid w:val="009E267B"/>
    <w:rsid w:val="00A409A3"/>
    <w:rsid w:val="00A63AD3"/>
    <w:rsid w:val="00AA0E3D"/>
    <w:rsid w:val="00B82891"/>
    <w:rsid w:val="00B8551D"/>
    <w:rsid w:val="00B879B1"/>
    <w:rsid w:val="00BA6844"/>
    <w:rsid w:val="00C1193E"/>
    <w:rsid w:val="00CA3330"/>
    <w:rsid w:val="00D908ED"/>
    <w:rsid w:val="00DF2085"/>
    <w:rsid w:val="00E126FA"/>
    <w:rsid w:val="00EB1AFB"/>
    <w:rsid w:val="00EC0F13"/>
    <w:rsid w:val="00ED3F4B"/>
    <w:rsid w:val="00F01C12"/>
    <w:rsid w:val="00F0662D"/>
    <w:rsid w:val="00F74E1B"/>
    <w:rsid w:val="00FE1346"/>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8AF10"/>
  <w15:chartTrackingRefBased/>
  <w15:docId w15:val="{0EFA37CA-E33C-42E1-9EFD-4A9F2E9D5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B33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B33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B33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B33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B33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B33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33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33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33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3F6"/>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7B33F6"/>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7B33F6"/>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7B33F6"/>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7B33F6"/>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7B33F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B33F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B33F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B33F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B33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3F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B33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33F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B33F6"/>
    <w:pPr>
      <w:spacing w:before="160"/>
      <w:jc w:val="center"/>
    </w:pPr>
    <w:rPr>
      <w:i/>
      <w:iCs/>
      <w:color w:val="404040" w:themeColor="text1" w:themeTint="BF"/>
    </w:rPr>
  </w:style>
  <w:style w:type="character" w:customStyle="1" w:styleId="QuoteChar">
    <w:name w:val="Quote Char"/>
    <w:basedOn w:val="DefaultParagraphFont"/>
    <w:link w:val="Quote"/>
    <w:uiPriority w:val="29"/>
    <w:rsid w:val="007B33F6"/>
    <w:rPr>
      <w:i/>
      <w:iCs/>
      <w:color w:val="404040" w:themeColor="text1" w:themeTint="BF"/>
      <w:lang w:val="en-GB"/>
    </w:rPr>
  </w:style>
  <w:style w:type="paragraph" w:styleId="ListParagraph">
    <w:name w:val="List Paragraph"/>
    <w:basedOn w:val="Normal"/>
    <w:uiPriority w:val="34"/>
    <w:qFormat/>
    <w:rsid w:val="007B33F6"/>
    <w:pPr>
      <w:ind w:left="720"/>
      <w:contextualSpacing/>
    </w:pPr>
  </w:style>
  <w:style w:type="character" w:styleId="IntenseEmphasis">
    <w:name w:val="Intense Emphasis"/>
    <w:basedOn w:val="DefaultParagraphFont"/>
    <w:uiPriority w:val="21"/>
    <w:qFormat/>
    <w:rsid w:val="007B33F6"/>
    <w:rPr>
      <w:i/>
      <w:iCs/>
      <w:color w:val="2F5496" w:themeColor="accent1" w:themeShade="BF"/>
    </w:rPr>
  </w:style>
  <w:style w:type="paragraph" w:styleId="IntenseQuote">
    <w:name w:val="Intense Quote"/>
    <w:basedOn w:val="Normal"/>
    <w:next w:val="Normal"/>
    <w:link w:val="IntenseQuoteChar"/>
    <w:uiPriority w:val="30"/>
    <w:qFormat/>
    <w:rsid w:val="007B33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33F6"/>
    <w:rPr>
      <w:i/>
      <w:iCs/>
      <w:color w:val="2F5496" w:themeColor="accent1" w:themeShade="BF"/>
      <w:lang w:val="en-GB"/>
    </w:rPr>
  </w:style>
  <w:style w:type="character" w:styleId="IntenseReference">
    <w:name w:val="Intense Reference"/>
    <w:basedOn w:val="DefaultParagraphFont"/>
    <w:uiPriority w:val="32"/>
    <w:qFormat/>
    <w:rsid w:val="007B33F6"/>
    <w:rPr>
      <w:b/>
      <w:bCs/>
      <w:smallCaps/>
      <w:color w:val="2F5496" w:themeColor="accent1" w:themeShade="BF"/>
      <w:spacing w:val="5"/>
    </w:rPr>
  </w:style>
  <w:style w:type="character" w:styleId="Hyperlink">
    <w:name w:val="Hyperlink"/>
    <w:basedOn w:val="DefaultParagraphFont"/>
    <w:uiPriority w:val="99"/>
    <w:unhideWhenUsed/>
    <w:rsid w:val="007B33F6"/>
    <w:rPr>
      <w:color w:val="0563C1" w:themeColor="hyperlink"/>
      <w:u w:val="single"/>
    </w:rPr>
  </w:style>
  <w:style w:type="character" w:styleId="UnresolvedMention">
    <w:name w:val="Unresolved Mention"/>
    <w:basedOn w:val="DefaultParagraphFont"/>
    <w:uiPriority w:val="99"/>
    <w:semiHidden/>
    <w:unhideWhenUsed/>
    <w:rsid w:val="007B33F6"/>
    <w:rPr>
      <w:color w:val="605E5C"/>
      <w:shd w:val="clear" w:color="auto" w:fill="E1DFDD"/>
    </w:rPr>
  </w:style>
  <w:style w:type="paragraph" w:styleId="Header">
    <w:name w:val="header"/>
    <w:basedOn w:val="Normal"/>
    <w:link w:val="HeaderChar"/>
    <w:uiPriority w:val="99"/>
    <w:unhideWhenUsed/>
    <w:rsid w:val="00A409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9A3"/>
    <w:rPr>
      <w:lang w:val="en-GB"/>
    </w:rPr>
  </w:style>
  <w:style w:type="paragraph" w:styleId="Footer">
    <w:name w:val="footer"/>
    <w:basedOn w:val="Normal"/>
    <w:link w:val="FooterChar"/>
    <w:uiPriority w:val="99"/>
    <w:unhideWhenUsed/>
    <w:rsid w:val="00A409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9A3"/>
    <w:rPr>
      <w:lang w:val="en-GB"/>
    </w:rPr>
  </w:style>
  <w:style w:type="paragraph" w:styleId="NoSpacing">
    <w:name w:val="No Spacing"/>
    <w:link w:val="NoSpacingChar"/>
    <w:uiPriority w:val="1"/>
    <w:qFormat/>
    <w:rsid w:val="00A409A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409A3"/>
    <w:rPr>
      <w:rFonts w:eastAsiaTheme="minorEastAsia"/>
      <w:kern w:val="0"/>
      <w:lang w:val="en-US"/>
      <w14:ligatures w14:val="none"/>
    </w:rPr>
  </w:style>
  <w:style w:type="paragraph" w:styleId="TOCHeading">
    <w:name w:val="TOC Heading"/>
    <w:basedOn w:val="Heading1"/>
    <w:next w:val="Normal"/>
    <w:uiPriority w:val="39"/>
    <w:unhideWhenUsed/>
    <w:qFormat/>
    <w:rsid w:val="00A409A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409A3"/>
    <w:pPr>
      <w:spacing w:after="100"/>
    </w:pPr>
  </w:style>
  <w:style w:type="paragraph" w:styleId="TOC2">
    <w:name w:val="toc 2"/>
    <w:basedOn w:val="Normal"/>
    <w:next w:val="Normal"/>
    <w:autoRedefine/>
    <w:uiPriority w:val="39"/>
    <w:unhideWhenUsed/>
    <w:rsid w:val="00A409A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8DCA1-DBE2-42DD-A8FC-388192F15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3064</Words>
  <Characters>17470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Chahil italiya</dc:creator>
  <cp:keywords/>
  <dc:description/>
  <cp:lastModifiedBy>chahil italiya</cp:lastModifiedBy>
  <cp:revision>2</cp:revision>
  <dcterms:created xsi:type="dcterms:W3CDTF">2026-08-02T12:58:00Z</dcterms:created>
  <dcterms:modified xsi:type="dcterms:W3CDTF">2026-08-13T01:12:00Z</dcterms:modified>
</cp:coreProperties>
</file>