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F41107" w14:textId="77777777" w:rsidR="00352396" w:rsidRPr="000F2E30" w:rsidRDefault="00000000" w:rsidP="000F2E30">
      <w:pPr>
        <w:spacing w:line="360" w:lineRule="auto"/>
        <w:rPr>
          <w:rFonts w:ascii="Arial" w:eastAsia="Arial" w:hAnsi="Arial" w:cs="Arial"/>
        </w:rPr>
      </w:pPr>
      <w:r w:rsidRPr="000F2E30">
        <w:rPr>
          <w:noProof/>
        </w:rPr>
        <w:drawing>
          <wp:anchor distT="0" distB="0" distL="114300" distR="114300" simplePos="0" relativeHeight="251658240" behindDoc="0" locked="0" layoutInCell="1" hidden="0" allowOverlap="1" wp14:anchorId="6DBEF1D3" wp14:editId="51502569">
            <wp:simplePos x="0" y="0"/>
            <wp:positionH relativeFrom="column">
              <wp:posOffset>1</wp:posOffset>
            </wp:positionH>
            <wp:positionV relativeFrom="paragraph">
              <wp:posOffset>292100</wp:posOffset>
            </wp:positionV>
            <wp:extent cx="1809750" cy="72390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9"/>
                    <a:srcRect/>
                    <a:stretch>
                      <a:fillRect/>
                    </a:stretch>
                  </pic:blipFill>
                  <pic:spPr>
                    <a:xfrm>
                      <a:off x="0" y="0"/>
                      <a:ext cx="1809750" cy="723900"/>
                    </a:xfrm>
                    <a:prstGeom prst="rect">
                      <a:avLst/>
                    </a:prstGeom>
                    <a:ln/>
                  </pic:spPr>
                </pic:pic>
              </a:graphicData>
            </a:graphic>
          </wp:anchor>
        </w:drawing>
      </w:r>
    </w:p>
    <w:p w14:paraId="7B3DFDF3" w14:textId="77777777" w:rsidR="00352396" w:rsidRPr="000F2E30" w:rsidRDefault="00352396" w:rsidP="000F2E30">
      <w:pPr>
        <w:spacing w:line="360" w:lineRule="auto"/>
        <w:rPr>
          <w:rFonts w:ascii="Arial" w:eastAsia="Arial" w:hAnsi="Arial" w:cs="Arial"/>
        </w:rPr>
      </w:pPr>
    </w:p>
    <w:p w14:paraId="14444D43" w14:textId="77777777" w:rsidR="00352396" w:rsidRPr="000F2E30" w:rsidRDefault="00352396" w:rsidP="000F2E30">
      <w:pPr>
        <w:spacing w:line="360" w:lineRule="auto"/>
        <w:rPr>
          <w:rFonts w:ascii="Arial" w:eastAsia="Arial" w:hAnsi="Arial" w:cs="Arial"/>
        </w:rPr>
      </w:pPr>
    </w:p>
    <w:p w14:paraId="1B54D218" w14:textId="77777777" w:rsidR="00352396" w:rsidRPr="000F2E30" w:rsidRDefault="00352396" w:rsidP="000F2E30">
      <w:pPr>
        <w:spacing w:line="360" w:lineRule="auto"/>
        <w:rPr>
          <w:rFonts w:ascii="Arial" w:eastAsia="Arial" w:hAnsi="Arial" w:cs="Arial"/>
        </w:rPr>
      </w:pPr>
    </w:p>
    <w:p w14:paraId="200C9286" w14:textId="77777777" w:rsidR="00352396" w:rsidRPr="000F2E30" w:rsidRDefault="00352396" w:rsidP="000F2E30">
      <w:pPr>
        <w:tabs>
          <w:tab w:val="left" w:pos="6540"/>
        </w:tabs>
        <w:spacing w:line="360" w:lineRule="auto"/>
        <w:rPr>
          <w:rFonts w:ascii="Arial" w:eastAsia="Arial" w:hAnsi="Arial" w:cs="Arial"/>
          <w:sz w:val="28"/>
          <w:szCs w:val="28"/>
        </w:rPr>
      </w:pPr>
    </w:p>
    <w:p w14:paraId="5352A971" w14:textId="20F06158" w:rsidR="000F2E30" w:rsidRPr="000F2E30" w:rsidRDefault="000F2E30" w:rsidP="000F2E30">
      <w:pPr>
        <w:tabs>
          <w:tab w:val="left" w:pos="6540"/>
        </w:tabs>
        <w:spacing w:line="360" w:lineRule="auto"/>
        <w:jc w:val="center"/>
        <w:rPr>
          <w:rFonts w:ascii="Arial" w:eastAsia="Arial" w:hAnsi="Arial" w:cs="Arial"/>
          <w:b/>
          <w:bCs/>
          <w:sz w:val="36"/>
          <w:szCs w:val="36"/>
        </w:rPr>
      </w:pPr>
      <w:r w:rsidRPr="000F2E30">
        <w:rPr>
          <w:rFonts w:ascii="Arial" w:eastAsia="Arial" w:hAnsi="Arial" w:cs="Arial"/>
          <w:b/>
          <w:bCs/>
          <w:sz w:val="36"/>
          <w:szCs w:val="36"/>
        </w:rPr>
        <w:t>Student name:</w:t>
      </w:r>
      <w:r w:rsidR="000561AA">
        <w:rPr>
          <w:rFonts w:ascii="Arial" w:eastAsia="Arial" w:hAnsi="Arial" w:cs="Arial"/>
          <w:b/>
          <w:bCs/>
          <w:sz w:val="36"/>
          <w:szCs w:val="36"/>
        </w:rPr>
        <w:t xml:space="preserve"> Sheneya Akther Peya</w:t>
      </w:r>
    </w:p>
    <w:p w14:paraId="4D5DE0A4" w14:textId="11A7076B" w:rsidR="00352396" w:rsidRPr="000F2E30" w:rsidRDefault="000F2E30" w:rsidP="000F2E30">
      <w:pPr>
        <w:tabs>
          <w:tab w:val="left" w:pos="6540"/>
        </w:tabs>
        <w:spacing w:line="360" w:lineRule="auto"/>
        <w:jc w:val="center"/>
        <w:rPr>
          <w:rFonts w:ascii="Arial" w:eastAsia="Arial" w:hAnsi="Arial" w:cs="Arial"/>
          <w:b/>
          <w:bCs/>
          <w:sz w:val="36"/>
          <w:szCs w:val="36"/>
        </w:rPr>
      </w:pPr>
      <w:r w:rsidRPr="000F2E30">
        <w:rPr>
          <w:rFonts w:ascii="Arial" w:eastAsia="Arial" w:hAnsi="Arial" w:cs="Arial"/>
          <w:b/>
          <w:bCs/>
          <w:sz w:val="36"/>
          <w:szCs w:val="36"/>
        </w:rPr>
        <w:t>Student ID:</w:t>
      </w:r>
      <w:r w:rsidR="000561AA">
        <w:rPr>
          <w:rFonts w:ascii="Arial" w:eastAsia="Arial" w:hAnsi="Arial" w:cs="Arial"/>
          <w:b/>
          <w:bCs/>
          <w:sz w:val="36"/>
          <w:szCs w:val="36"/>
        </w:rPr>
        <w:t>2442413</w:t>
      </w:r>
    </w:p>
    <w:p w14:paraId="257FD270" w14:textId="77777777" w:rsidR="00352396" w:rsidRPr="000F2E30" w:rsidRDefault="00000000" w:rsidP="000F2E30">
      <w:pPr>
        <w:tabs>
          <w:tab w:val="left" w:pos="6540"/>
        </w:tabs>
        <w:spacing w:line="360" w:lineRule="auto"/>
        <w:jc w:val="center"/>
        <w:rPr>
          <w:rFonts w:ascii="Arial" w:eastAsia="Arial" w:hAnsi="Arial" w:cs="Arial"/>
          <w:b/>
          <w:bCs/>
          <w:sz w:val="36"/>
          <w:szCs w:val="36"/>
        </w:rPr>
      </w:pPr>
      <w:r w:rsidRPr="000F2E30">
        <w:rPr>
          <w:rFonts w:ascii="Arial" w:eastAsia="Arial" w:hAnsi="Arial" w:cs="Arial"/>
          <w:b/>
          <w:bCs/>
          <w:sz w:val="36"/>
          <w:szCs w:val="36"/>
        </w:rPr>
        <w:t>Module name</w:t>
      </w:r>
      <w:r w:rsidRPr="000F2E30">
        <w:rPr>
          <w:rFonts w:ascii="Arial" w:eastAsia="Arial" w:hAnsi="Arial" w:cs="Arial"/>
          <w:sz w:val="36"/>
          <w:szCs w:val="36"/>
        </w:rPr>
        <w:t xml:space="preserve">: </w:t>
      </w:r>
      <w:r w:rsidRPr="000F2E30">
        <w:rPr>
          <w:rFonts w:ascii="Arial" w:eastAsia="Arial" w:hAnsi="Arial" w:cs="Arial"/>
          <w:b/>
          <w:bCs/>
          <w:sz w:val="36"/>
          <w:szCs w:val="36"/>
        </w:rPr>
        <w:t>Principles of Health and Social Care Practice</w:t>
      </w:r>
    </w:p>
    <w:p w14:paraId="33B8EAE1" w14:textId="4FEBFC3D" w:rsidR="00352396" w:rsidRPr="000F2E30" w:rsidRDefault="00000000" w:rsidP="000F2E30">
      <w:pPr>
        <w:tabs>
          <w:tab w:val="left" w:pos="6540"/>
        </w:tabs>
        <w:spacing w:line="360" w:lineRule="auto"/>
        <w:jc w:val="center"/>
        <w:rPr>
          <w:rFonts w:ascii="Arial" w:eastAsia="Arial" w:hAnsi="Arial" w:cs="Arial"/>
          <w:sz w:val="36"/>
          <w:szCs w:val="36"/>
        </w:rPr>
      </w:pPr>
      <w:r w:rsidRPr="000F2E30">
        <w:rPr>
          <w:rFonts w:ascii="Arial" w:eastAsia="Arial" w:hAnsi="Arial" w:cs="Arial"/>
          <w:b/>
          <w:bCs/>
          <w:sz w:val="36"/>
          <w:szCs w:val="36"/>
        </w:rPr>
        <w:t>Component: 1</w:t>
      </w:r>
      <w:r w:rsidR="003C1128">
        <w:rPr>
          <w:rFonts w:ascii="Arial" w:eastAsia="Arial" w:hAnsi="Arial" w:cs="Arial"/>
          <w:b/>
          <w:bCs/>
          <w:sz w:val="36"/>
          <w:szCs w:val="36"/>
        </w:rPr>
        <w:t xml:space="preserve"> ( Reflective Report)</w:t>
      </w:r>
    </w:p>
    <w:p w14:paraId="58178B8F" w14:textId="678C0BC5" w:rsidR="00352396" w:rsidRPr="000F2E30" w:rsidRDefault="00000000" w:rsidP="000F2E30">
      <w:pPr>
        <w:tabs>
          <w:tab w:val="left" w:pos="6540"/>
        </w:tabs>
        <w:spacing w:line="360" w:lineRule="auto"/>
        <w:jc w:val="center"/>
        <w:rPr>
          <w:rFonts w:ascii="Arial" w:eastAsia="Arial" w:hAnsi="Arial" w:cs="Arial"/>
          <w:sz w:val="36"/>
          <w:szCs w:val="36"/>
        </w:rPr>
      </w:pPr>
      <w:r w:rsidRPr="000F2E30">
        <w:rPr>
          <w:rFonts w:ascii="Arial" w:eastAsia="Arial" w:hAnsi="Arial" w:cs="Arial"/>
          <w:b/>
          <w:bCs/>
          <w:sz w:val="36"/>
          <w:szCs w:val="36"/>
        </w:rPr>
        <w:t>Module code</w:t>
      </w:r>
      <w:r w:rsidRPr="000F2E30">
        <w:rPr>
          <w:rFonts w:ascii="Arial" w:eastAsia="Arial" w:hAnsi="Arial" w:cs="Arial"/>
          <w:sz w:val="36"/>
          <w:szCs w:val="36"/>
        </w:rPr>
        <w:t xml:space="preserve">: </w:t>
      </w:r>
      <w:r w:rsidRPr="000F2E30">
        <w:rPr>
          <w:rFonts w:ascii="Arial" w:eastAsia="Arial" w:hAnsi="Arial" w:cs="Arial"/>
          <w:b/>
          <w:bCs/>
          <w:sz w:val="36"/>
          <w:szCs w:val="36"/>
        </w:rPr>
        <w:t>BMHP5016</w:t>
      </w:r>
    </w:p>
    <w:p w14:paraId="50496DC6" w14:textId="710D3BAB" w:rsidR="00352396" w:rsidRPr="000F2E30" w:rsidRDefault="000F2E30" w:rsidP="000F2E30">
      <w:pPr>
        <w:tabs>
          <w:tab w:val="left" w:pos="6540"/>
        </w:tabs>
        <w:spacing w:line="360" w:lineRule="auto"/>
        <w:jc w:val="center"/>
        <w:rPr>
          <w:rFonts w:ascii="Arial" w:eastAsia="Arial" w:hAnsi="Arial" w:cs="Arial"/>
          <w:b/>
          <w:bCs/>
          <w:sz w:val="36"/>
          <w:szCs w:val="36"/>
        </w:rPr>
      </w:pPr>
      <w:r w:rsidRPr="000F2E30">
        <w:rPr>
          <w:rFonts w:ascii="Arial" w:eastAsia="Arial" w:hAnsi="Arial" w:cs="Arial"/>
          <w:b/>
          <w:bCs/>
          <w:sz w:val="36"/>
          <w:szCs w:val="36"/>
        </w:rPr>
        <w:t>Lecturer name:</w:t>
      </w:r>
      <w:r w:rsidR="000561AA">
        <w:rPr>
          <w:rFonts w:ascii="Arial" w:eastAsia="Arial" w:hAnsi="Arial" w:cs="Arial"/>
          <w:b/>
          <w:bCs/>
          <w:sz w:val="36"/>
          <w:szCs w:val="36"/>
        </w:rPr>
        <w:t xml:space="preserve"> Lou wells</w:t>
      </w:r>
    </w:p>
    <w:p w14:paraId="2C0537CC" w14:textId="77777777" w:rsidR="00352396" w:rsidRPr="000F2E30" w:rsidRDefault="00000000" w:rsidP="000F2E30">
      <w:pPr>
        <w:spacing w:line="360" w:lineRule="auto"/>
        <w:jc w:val="center"/>
        <w:rPr>
          <w:rFonts w:ascii="Arial" w:eastAsia="Arial" w:hAnsi="Arial" w:cs="Arial"/>
          <w:sz w:val="32"/>
          <w:szCs w:val="32"/>
        </w:rPr>
      </w:pPr>
      <w:r w:rsidRPr="000F2E30">
        <w:rPr>
          <w:sz w:val="32"/>
          <w:szCs w:val="32"/>
        </w:rPr>
        <w:br w:type="page"/>
      </w:r>
    </w:p>
    <w:sdt>
      <w:sdtPr>
        <w:rPr>
          <w:rFonts w:ascii="Times New Roman" w:eastAsia="Times New Roman" w:hAnsi="Times New Roman" w:cs="Times New Roman"/>
          <w:color w:val="auto"/>
          <w:sz w:val="24"/>
          <w:szCs w:val="24"/>
          <w:lang w:val="en-GB" w:eastAsia="en-IN"/>
        </w:rPr>
        <w:id w:val="-218902128"/>
        <w:docPartObj>
          <w:docPartGallery w:val="Table of Contents"/>
          <w:docPartUnique/>
        </w:docPartObj>
      </w:sdtPr>
      <w:sdtEndPr>
        <w:rPr>
          <w:rFonts w:ascii="Arial" w:hAnsi="Arial" w:cs="Arial"/>
          <w:b/>
          <w:bCs/>
          <w:noProof/>
        </w:rPr>
      </w:sdtEndPr>
      <w:sdtContent>
        <w:p w14:paraId="7DE97D0E" w14:textId="463BA6CA" w:rsidR="000F2E30" w:rsidRPr="000F2E30" w:rsidRDefault="000F2E30" w:rsidP="000F2E30">
          <w:pPr>
            <w:pStyle w:val="TOCHeading"/>
            <w:spacing w:line="360" w:lineRule="auto"/>
            <w:jc w:val="center"/>
            <w:rPr>
              <w:rFonts w:ascii="Arial" w:hAnsi="Arial" w:cs="Arial"/>
              <w:b/>
              <w:bCs/>
              <w:color w:val="auto"/>
              <w:sz w:val="28"/>
              <w:szCs w:val="28"/>
              <w:lang w:val="en-GB"/>
            </w:rPr>
          </w:pPr>
          <w:r w:rsidRPr="000F2E30">
            <w:rPr>
              <w:rFonts w:ascii="Arial" w:hAnsi="Arial" w:cs="Arial"/>
              <w:b/>
              <w:bCs/>
              <w:color w:val="auto"/>
              <w:sz w:val="28"/>
              <w:szCs w:val="28"/>
              <w:lang w:val="en-GB"/>
            </w:rPr>
            <w:t>Table of Contents</w:t>
          </w:r>
        </w:p>
        <w:p w14:paraId="70D6D4BC" w14:textId="27C6F0D7" w:rsidR="000F2E30" w:rsidRPr="000F2E30" w:rsidRDefault="000F2E30" w:rsidP="000F2E30">
          <w:pPr>
            <w:pStyle w:val="TOC1"/>
            <w:tabs>
              <w:tab w:val="right" w:leader="dot" w:pos="9016"/>
            </w:tabs>
            <w:spacing w:line="360" w:lineRule="auto"/>
            <w:jc w:val="both"/>
            <w:rPr>
              <w:rFonts w:ascii="Arial" w:hAnsi="Arial" w:cs="Arial"/>
              <w:noProof/>
            </w:rPr>
          </w:pPr>
          <w:r w:rsidRPr="000F2E30">
            <w:rPr>
              <w:rFonts w:ascii="Arial" w:hAnsi="Arial" w:cs="Arial"/>
            </w:rPr>
            <w:fldChar w:fldCharType="begin"/>
          </w:r>
          <w:r w:rsidRPr="000F2E30">
            <w:rPr>
              <w:rFonts w:ascii="Arial" w:hAnsi="Arial" w:cs="Arial"/>
            </w:rPr>
            <w:instrText xml:space="preserve"> TOC \o "1-3" \h \z \u </w:instrText>
          </w:r>
          <w:r w:rsidRPr="000F2E30">
            <w:rPr>
              <w:rFonts w:ascii="Arial" w:hAnsi="Arial" w:cs="Arial"/>
            </w:rPr>
            <w:fldChar w:fldCharType="separate"/>
          </w:r>
          <w:hyperlink w:anchor="_Toc234505669" w:history="1">
            <w:r w:rsidRPr="000F2E30">
              <w:rPr>
                <w:rStyle w:val="Hyperlink"/>
                <w:rFonts w:ascii="Arial" w:eastAsia="Arial" w:hAnsi="Arial" w:cs="Arial"/>
                <w:noProof/>
              </w:rPr>
              <w:t>Introduction</w:t>
            </w:r>
            <w:r w:rsidRPr="000F2E30">
              <w:rPr>
                <w:rFonts w:ascii="Arial" w:hAnsi="Arial" w:cs="Arial"/>
                <w:noProof/>
                <w:webHidden/>
              </w:rPr>
              <w:tab/>
            </w:r>
            <w:r w:rsidRPr="000F2E30">
              <w:rPr>
                <w:rFonts w:ascii="Arial" w:hAnsi="Arial" w:cs="Arial"/>
                <w:noProof/>
                <w:webHidden/>
              </w:rPr>
              <w:fldChar w:fldCharType="begin"/>
            </w:r>
            <w:r w:rsidRPr="000F2E30">
              <w:rPr>
                <w:rFonts w:ascii="Arial" w:hAnsi="Arial" w:cs="Arial"/>
                <w:noProof/>
                <w:webHidden/>
              </w:rPr>
              <w:instrText xml:space="preserve"> PAGEREF _Toc234505669 \h </w:instrText>
            </w:r>
            <w:r w:rsidRPr="000F2E30">
              <w:rPr>
                <w:rFonts w:ascii="Arial" w:hAnsi="Arial" w:cs="Arial"/>
                <w:noProof/>
                <w:webHidden/>
              </w:rPr>
            </w:r>
            <w:r w:rsidRPr="000F2E30">
              <w:rPr>
                <w:rFonts w:ascii="Arial" w:hAnsi="Arial" w:cs="Arial"/>
                <w:noProof/>
                <w:webHidden/>
              </w:rPr>
              <w:fldChar w:fldCharType="separate"/>
            </w:r>
            <w:r w:rsidRPr="000F2E30">
              <w:rPr>
                <w:rFonts w:ascii="Arial" w:hAnsi="Arial" w:cs="Arial"/>
                <w:noProof/>
                <w:webHidden/>
              </w:rPr>
              <w:t>3</w:t>
            </w:r>
            <w:r w:rsidRPr="000F2E30">
              <w:rPr>
                <w:rFonts w:ascii="Arial" w:hAnsi="Arial" w:cs="Arial"/>
                <w:noProof/>
                <w:webHidden/>
              </w:rPr>
              <w:fldChar w:fldCharType="end"/>
            </w:r>
          </w:hyperlink>
        </w:p>
        <w:p w14:paraId="7CAC1CB7" w14:textId="5561B39F" w:rsidR="000F2E30" w:rsidRPr="000F2E30" w:rsidRDefault="000F2E30" w:rsidP="000F2E30">
          <w:pPr>
            <w:pStyle w:val="TOC1"/>
            <w:tabs>
              <w:tab w:val="right" w:leader="dot" w:pos="9016"/>
            </w:tabs>
            <w:spacing w:line="360" w:lineRule="auto"/>
            <w:jc w:val="both"/>
            <w:rPr>
              <w:rFonts w:ascii="Arial" w:hAnsi="Arial" w:cs="Arial"/>
              <w:noProof/>
            </w:rPr>
          </w:pPr>
          <w:hyperlink w:anchor="_Toc234505670" w:history="1">
            <w:r w:rsidRPr="000F2E30">
              <w:rPr>
                <w:rStyle w:val="Hyperlink"/>
                <w:rFonts w:ascii="Arial" w:eastAsia="Arial" w:hAnsi="Arial" w:cs="Arial"/>
                <w:noProof/>
              </w:rPr>
              <w:t>Task 1: Reflection on the Importance of Principles of Health and Social Care</w:t>
            </w:r>
            <w:r w:rsidRPr="000F2E30">
              <w:rPr>
                <w:rFonts w:ascii="Arial" w:hAnsi="Arial" w:cs="Arial"/>
                <w:noProof/>
                <w:webHidden/>
              </w:rPr>
              <w:tab/>
            </w:r>
            <w:r w:rsidRPr="000F2E30">
              <w:rPr>
                <w:rFonts w:ascii="Arial" w:hAnsi="Arial" w:cs="Arial"/>
                <w:noProof/>
                <w:webHidden/>
              </w:rPr>
              <w:fldChar w:fldCharType="begin"/>
            </w:r>
            <w:r w:rsidRPr="000F2E30">
              <w:rPr>
                <w:rFonts w:ascii="Arial" w:hAnsi="Arial" w:cs="Arial"/>
                <w:noProof/>
                <w:webHidden/>
              </w:rPr>
              <w:instrText xml:space="preserve"> PAGEREF _Toc234505670 \h </w:instrText>
            </w:r>
            <w:r w:rsidRPr="000F2E30">
              <w:rPr>
                <w:rFonts w:ascii="Arial" w:hAnsi="Arial" w:cs="Arial"/>
                <w:noProof/>
                <w:webHidden/>
              </w:rPr>
            </w:r>
            <w:r w:rsidRPr="000F2E30">
              <w:rPr>
                <w:rFonts w:ascii="Arial" w:hAnsi="Arial" w:cs="Arial"/>
                <w:noProof/>
                <w:webHidden/>
              </w:rPr>
              <w:fldChar w:fldCharType="separate"/>
            </w:r>
            <w:r w:rsidRPr="000F2E30">
              <w:rPr>
                <w:rFonts w:ascii="Arial" w:hAnsi="Arial" w:cs="Arial"/>
                <w:noProof/>
                <w:webHidden/>
              </w:rPr>
              <w:t>3</w:t>
            </w:r>
            <w:r w:rsidRPr="000F2E30">
              <w:rPr>
                <w:rFonts w:ascii="Arial" w:hAnsi="Arial" w:cs="Arial"/>
                <w:noProof/>
                <w:webHidden/>
              </w:rPr>
              <w:fldChar w:fldCharType="end"/>
            </w:r>
          </w:hyperlink>
        </w:p>
        <w:p w14:paraId="71D69263" w14:textId="202113B5" w:rsidR="000F2E30" w:rsidRPr="000F2E30" w:rsidRDefault="000F2E30" w:rsidP="000F2E30">
          <w:pPr>
            <w:pStyle w:val="TOC1"/>
            <w:tabs>
              <w:tab w:val="right" w:leader="dot" w:pos="9016"/>
            </w:tabs>
            <w:spacing w:line="360" w:lineRule="auto"/>
            <w:jc w:val="both"/>
            <w:rPr>
              <w:rFonts w:ascii="Arial" w:hAnsi="Arial" w:cs="Arial"/>
              <w:noProof/>
            </w:rPr>
          </w:pPr>
          <w:hyperlink w:anchor="_Toc234505671" w:history="1">
            <w:r w:rsidRPr="000F2E30">
              <w:rPr>
                <w:rStyle w:val="Hyperlink"/>
                <w:rFonts w:ascii="Arial" w:eastAsia="Arial" w:hAnsi="Arial" w:cs="Arial"/>
                <w:noProof/>
              </w:rPr>
              <w:t>Task 2: Practical Examples of Concepts in Practice</w:t>
            </w:r>
            <w:r w:rsidRPr="000F2E30">
              <w:rPr>
                <w:rFonts w:ascii="Arial" w:hAnsi="Arial" w:cs="Arial"/>
                <w:noProof/>
                <w:webHidden/>
              </w:rPr>
              <w:tab/>
            </w:r>
            <w:r w:rsidRPr="000F2E30">
              <w:rPr>
                <w:rFonts w:ascii="Arial" w:hAnsi="Arial" w:cs="Arial"/>
                <w:noProof/>
                <w:webHidden/>
              </w:rPr>
              <w:fldChar w:fldCharType="begin"/>
            </w:r>
            <w:r w:rsidRPr="000F2E30">
              <w:rPr>
                <w:rFonts w:ascii="Arial" w:hAnsi="Arial" w:cs="Arial"/>
                <w:noProof/>
                <w:webHidden/>
              </w:rPr>
              <w:instrText xml:space="preserve"> PAGEREF _Toc234505671 \h </w:instrText>
            </w:r>
            <w:r w:rsidRPr="000F2E30">
              <w:rPr>
                <w:rFonts w:ascii="Arial" w:hAnsi="Arial" w:cs="Arial"/>
                <w:noProof/>
                <w:webHidden/>
              </w:rPr>
            </w:r>
            <w:r w:rsidRPr="000F2E30">
              <w:rPr>
                <w:rFonts w:ascii="Arial" w:hAnsi="Arial" w:cs="Arial"/>
                <w:noProof/>
                <w:webHidden/>
              </w:rPr>
              <w:fldChar w:fldCharType="separate"/>
            </w:r>
            <w:r w:rsidRPr="000F2E30">
              <w:rPr>
                <w:rFonts w:ascii="Arial" w:hAnsi="Arial" w:cs="Arial"/>
                <w:noProof/>
                <w:webHidden/>
              </w:rPr>
              <w:t>4</w:t>
            </w:r>
            <w:r w:rsidRPr="000F2E30">
              <w:rPr>
                <w:rFonts w:ascii="Arial" w:hAnsi="Arial" w:cs="Arial"/>
                <w:noProof/>
                <w:webHidden/>
              </w:rPr>
              <w:fldChar w:fldCharType="end"/>
            </w:r>
          </w:hyperlink>
        </w:p>
        <w:p w14:paraId="4FBACE2F" w14:textId="35FAA2CB" w:rsidR="000F2E30" w:rsidRPr="000F2E30" w:rsidRDefault="000F2E30" w:rsidP="000F2E30">
          <w:pPr>
            <w:pStyle w:val="TOC1"/>
            <w:tabs>
              <w:tab w:val="right" w:leader="dot" w:pos="9016"/>
            </w:tabs>
            <w:spacing w:line="360" w:lineRule="auto"/>
            <w:jc w:val="both"/>
            <w:rPr>
              <w:rFonts w:ascii="Arial" w:hAnsi="Arial" w:cs="Arial"/>
              <w:noProof/>
            </w:rPr>
          </w:pPr>
          <w:hyperlink w:anchor="_Toc234505672" w:history="1">
            <w:r w:rsidRPr="000F2E30">
              <w:rPr>
                <w:rStyle w:val="Hyperlink"/>
                <w:rFonts w:ascii="Arial" w:eastAsia="Arial" w:hAnsi="Arial" w:cs="Arial"/>
                <w:noProof/>
              </w:rPr>
              <w:t>Task 3: Self Reflection as a Health and Social Care Professional</w:t>
            </w:r>
            <w:r w:rsidRPr="000F2E30">
              <w:rPr>
                <w:rFonts w:ascii="Arial" w:hAnsi="Arial" w:cs="Arial"/>
                <w:noProof/>
                <w:webHidden/>
              </w:rPr>
              <w:tab/>
            </w:r>
            <w:r w:rsidRPr="000F2E30">
              <w:rPr>
                <w:rFonts w:ascii="Arial" w:hAnsi="Arial" w:cs="Arial"/>
                <w:noProof/>
                <w:webHidden/>
              </w:rPr>
              <w:fldChar w:fldCharType="begin"/>
            </w:r>
            <w:r w:rsidRPr="000F2E30">
              <w:rPr>
                <w:rFonts w:ascii="Arial" w:hAnsi="Arial" w:cs="Arial"/>
                <w:noProof/>
                <w:webHidden/>
              </w:rPr>
              <w:instrText xml:space="preserve"> PAGEREF _Toc234505672 \h </w:instrText>
            </w:r>
            <w:r w:rsidRPr="000F2E30">
              <w:rPr>
                <w:rFonts w:ascii="Arial" w:hAnsi="Arial" w:cs="Arial"/>
                <w:noProof/>
                <w:webHidden/>
              </w:rPr>
            </w:r>
            <w:r w:rsidRPr="000F2E30">
              <w:rPr>
                <w:rFonts w:ascii="Arial" w:hAnsi="Arial" w:cs="Arial"/>
                <w:noProof/>
                <w:webHidden/>
              </w:rPr>
              <w:fldChar w:fldCharType="separate"/>
            </w:r>
            <w:r w:rsidRPr="000F2E30">
              <w:rPr>
                <w:rFonts w:ascii="Arial" w:hAnsi="Arial" w:cs="Arial"/>
                <w:noProof/>
                <w:webHidden/>
              </w:rPr>
              <w:t>6</w:t>
            </w:r>
            <w:r w:rsidRPr="000F2E30">
              <w:rPr>
                <w:rFonts w:ascii="Arial" w:hAnsi="Arial" w:cs="Arial"/>
                <w:noProof/>
                <w:webHidden/>
              </w:rPr>
              <w:fldChar w:fldCharType="end"/>
            </w:r>
          </w:hyperlink>
        </w:p>
        <w:p w14:paraId="4C84C268" w14:textId="2E4BDCE0" w:rsidR="000F2E30" w:rsidRPr="000F2E30" w:rsidRDefault="000F2E30" w:rsidP="000F2E30">
          <w:pPr>
            <w:pStyle w:val="TOC1"/>
            <w:tabs>
              <w:tab w:val="right" w:leader="dot" w:pos="9016"/>
            </w:tabs>
            <w:spacing w:line="360" w:lineRule="auto"/>
            <w:jc w:val="both"/>
            <w:rPr>
              <w:rFonts w:ascii="Arial" w:hAnsi="Arial" w:cs="Arial"/>
              <w:noProof/>
            </w:rPr>
          </w:pPr>
          <w:hyperlink w:anchor="_Toc234505673" w:history="1">
            <w:r w:rsidRPr="000F2E30">
              <w:rPr>
                <w:rStyle w:val="Hyperlink"/>
                <w:rFonts w:ascii="Arial" w:eastAsia="Arial" w:hAnsi="Arial" w:cs="Arial"/>
                <w:noProof/>
              </w:rPr>
              <w:t>Conclusion</w:t>
            </w:r>
            <w:r w:rsidRPr="000F2E30">
              <w:rPr>
                <w:rFonts w:ascii="Arial" w:hAnsi="Arial" w:cs="Arial"/>
                <w:noProof/>
                <w:webHidden/>
              </w:rPr>
              <w:tab/>
            </w:r>
            <w:r w:rsidRPr="000F2E30">
              <w:rPr>
                <w:rFonts w:ascii="Arial" w:hAnsi="Arial" w:cs="Arial"/>
                <w:noProof/>
                <w:webHidden/>
              </w:rPr>
              <w:fldChar w:fldCharType="begin"/>
            </w:r>
            <w:r w:rsidRPr="000F2E30">
              <w:rPr>
                <w:rFonts w:ascii="Arial" w:hAnsi="Arial" w:cs="Arial"/>
                <w:noProof/>
                <w:webHidden/>
              </w:rPr>
              <w:instrText xml:space="preserve"> PAGEREF _Toc234505673 \h </w:instrText>
            </w:r>
            <w:r w:rsidRPr="000F2E30">
              <w:rPr>
                <w:rFonts w:ascii="Arial" w:hAnsi="Arial" w:cs="Arial"/>
                <w:noProof/>
                <w:webHidden/>
              </w:rPr>
            </w:r>
            <w:r w:rsidRPr="000F2E30">
              <w:rPr>
                <w:rFonts w:ascii="Arial" w:hAnsi="Arial" w:cs="Arial"/>
                <w:noProof/>
                <w:webHidden/>
              </w:rPr>
              <w:fldChar w:fldCharType="separate"/>
            </w:r>
            <w:r w:rsidRPr="000F2E30">
              <w:rPr>
                <w:rFonts w:ascii="Arial" w:hAnsi="Arial" w:cs="Arial"/>
                <w:noProof/>
                <w:webHidden/>
              </w:rPr>
              <w:t>8</w:t>
            </w:r>
            <w:r w:rsidRPr="000F2E30">
              <w:rPr>
                <w:rFonts w:ascii="Arial" w:hAnsi="Arial" w:cs="Arial"/>
                <w:noProof/>
                <w:webHidden/>
              </w:rPr>
              <w:fldChar w:fldCharType="end"/>
            </w:r>
          </w:hyperlink>
        </w:p>
        <w:p w14:paraId="1C22E7C0" w14:textId="5A37D409" w:rsidR="000F2E30" w:rsidRPr="000F2E30" w:rsidRDefault="000F2E30" w:rsidP="000F2E30">
          <w:pPr>
            <w:pStyle w:val="TOC1"/>
            <w:tabs>
              <w:tab w:val="right" w:leader="dot" w:pos="9016"/>
            </w:tabs>
            <w:spacing w:line="360" w:lineRule="auto"/>
            <w:jc w:val="both"/>
            <w:rPr>
              <w:rFonts w:ascii="Arial" w:hAnsi="Arial" w:cs="Arial"/>
              <w:noProof/>
            </w:rPr>
          </w:pPr>
          <w:hyperlink w:anchor="_Toc234505674" w:history="1">
            <w:r w:rsidRPr="000F2E30">
              <w:rPr>
                <w:rStyle w:val="Hyperlink"/>
                <w:rFonts w:ascii="Arial" w:eastAsia="Arial" w:hAnsi="Arial" w:cs="Arial"/>
                <w:noProof/>
              </w:rPr>
              <w:t>References</w:t>
            </w:r>
            <w:r w:rsidRPr="000F2E30">
              <w:rPr>
                <w:rFonts w:ascii="Arial" w:hAnsi="Arial" w:cs="Arial"/>
                <w:noProof/>
                <w:webHidden/>
              </w:rPr>
              <w:tab/>
            </w:r>
            <w:r w:rsidRPr="000F2E30">
              <w:rPr>
                <w:rFonts w:ascii="Arial" w:hAnsi="Arial" w:cs="Arial"/>
                <w:noProof/>
                <w:webHidden/>
              </w:rPr>
              <w:fldChar w:fldCharType="begin"/>
            </w:r>
            <w:r w:rsidRPr="000F2E30">
              <w:rPr>
                <w:rFonts w:ascii="Arial" w:hAnsi="Arial" w:cs="Arial"/>
                <w:noProof/>
                <w:webHidden/>
              </w:rPr>
              <w:instrText xml:space="preserve"> PAGEREF _Toc234505674 \h </w:instrText>
            </w:r>
            <w:r w:rsidRPr="000F2E30">
              <w:rPr>
                <w:rFonts w:ascii="Arial" w:hAnsi="Arial" w:cs="Arial"/>
                <w:noProof/>
                <w:webHidden/>
              </w:rPr>
            </w:r>
            <w:r w:rsidRPr="000F2E30">
              <w:rPr>
                <w:rFonts w:ascii="Arial" w:hAnsi="Arial" w:cs="Arial"/>
                <w:noProof/>
                <w:webHidden/>
              </w:rPr>
              <w:fldChar w:fldCharType="separate"/>
            </w:r>
            <w:r w:rsidRPr="000F2E30">
              <w:rPr>
                <w:rFonts w:ascii="Arial" w:hAnsi="Arial" w:cs="Arial"/>
                <w:noProof/>
                <w:webHidden/>
              </w:rPr>
              <w:t>10</w:t>
            </w:r>
            <w:r w:rsidRPr="000F2E30">
              <w:rPr>
                <w:rFonts w:ascii="Arial" w:hAnsi="Arial" w:cs="Arial"/>
                <w:noProof/>
                <w:webHidden/>
              </w:rPr>
              <w:fldChar w:fldCharType="end"/>
            </w:r>
          </w:hyperlink>
        </w:p>
        <w:p w14:paraId="016F8F1B" w14:textId="2ACE450C" w:rsidR="000F2E30" w:rsidRPr="000F2E30" w:rsidRDefault="000F2E30" w:rsidP="000F2E30">
          <w:pPr>
            <w:spacing w:line="360" w:lineRule="auto"/>
            <w:jc w:val="both"/>
            <w:rPr>
              <w:rFonts w:ascii="Arial" w:hAnsi="Arial" w:cs="Arial"/>
            </w:rPr>
          </w:pPr>
          <w:r w:rsidRPr="000F2E30">
            <w:rPr>
              <w:rFonts w:ascii="Arial" w:hAnsi="Arial" w:cs="Arial"/>
              <w:b/>
              <w:bCs/>
              <w:noProof/>
            </w:rPr>
            <w:fldChar w:fldCharType="end"/>
          </w:r>
        </w:p>
      </w:sdtContent>
    </w:sdt>
    <w:p w14:paraId="5B6A4E08" w14:textId="77777777" w:rsidR="00352396" w:rsidRPr="000F2E30" w:rsidRDefault="00352396" w:rsidP="000F2E30">
      <w:pPr>
        <w:spacing w:line="360" w:lineRule="auto"/>
        <w:jc w:val="center"/>
        <w:rPr>
          <w:rFonts w:ascii="Arial" w:eastAsia="Arial" w:hAnsi="Arial" w:cs="Arial"/>
          <w:b/>
          <w:bCs/>
        </w:rPr>
      </w:pPr>
    </w:p>
    <w:p w14:paraId="1840612D" w14:textId="77777777" w:rsidR="00352396" w:rsidRPr="000F2E30" w:rsidRDefault="00352396" w:rsidP="000F2E30">
      <w:pPr>
        <w:spacing w:line="360" w:lineRule="auto"/>
        <w:rPr>
          <w:rFonts w:ascii="Arial" w:eastAsia="Arial" w:hAnsi="Arial" w:cs="Arial"/>
          <w:sz w:val="22"/>
          <w:szCs w:val="22"/>
        </w:rPr>
      </w:pPr>
    </w:p>
    <w:p w14:paraId="78DCADC5" w14:textId="77777777" w:rsidR="00352396" w:rsidRPr="000F2E30" w:rsidRDefault="00352396" w:rsidP="000F2E30">
      <w:pPr>
        <w:spacing w:line="360" w:lineRule="auto"/>
        <w:rPr>
          <w:rFonts w:ascii="Arial" w:eastAsia="Arial" w:hAnsi="Arial" w:cs="Arial"/>
          <w:sz w:val="22"/>
          <w:szCs w:val="22"/>
        </w:rPr>
      </w:pPr>
    </w:p>
    <w:p w14:paraId="45036822" w14:textId="77777777" w:rsidR="00352396" w:rsidRPr="000F2E30" w:rsidRDefault="00352396" w:rsidP="000F2E30">
      <w:pPr>
        <w:spacing w:line="360" w:lineRule="auto"/>
        <w:rPr>
          <w:rFonts w:ascii="Arial" w:eastAsia="Arial" w:hAnsi="Arial" w:cs="Arial"/>
          <w:sz w:val="22"/>
          <w:szCs w:val="22"/>
        </w:rPr>
      </w:pPr>
    </w:p>
    <w:p w14:paraId="2EBECD13" w14:textId="77777777" w:rsidR="00352396" w:rsidRPr="000F2E30" w:rsidRDefault="00352396" w:rsidP="000F2E30">
      <w:pPr>
        <w:spacing w:line="360" w:lineRule="auto"/>
        <w:rPr>
          <w:rFonts w:ascii="Arial" w:eastAsia="Arial" w:hAnsi="Arial" w:cs="Arial"/>
          <w:sz w:val="22"/>
          <w:szCs w:val="22"/>
        </w:rPr>
      </w:pPr>
    </w:p>
    <w:p w14:paraId="68CE1AE1" w14:textId="77777777" w:rsidR="00352396" w:rsidRPr="000F2E30" w:rsidRDefault="00000000" w:rsidP="000F2E30">
      <w:pPr>
        <w:spacing w:line="360" w:lineRule="auto"/>
        <w:rPr>
          <w:rFonts w:ascii="Arial" w:eastAsia="Arial" w:hAnsi="Arial" w:cs="Arial"/>
          <w:sz w:val="22"/>
          <w:szCs w:val="22"/>
        </w:rPr>
      </w:pPr>
      <w:r w:rsidRPr="000F2E30">
        <w:br w:type="page"/>
      </w:r>
    </w:p>
    <w:p w14:paraId="45EA26CB" w14:textId="77777777" w:rsidR="00352396" w:rsidRPr="000F2E30" w:rsidRDefault="00000000" w:rsidP="000F2E30">
      <w:pPr>
        <w:pStyle w:val="Heading1"/>
        <w:spacing w:line="360" w:lineRule="auto"/>
        <w:rPr>
          <w:rFonts w:eastAsia="Arial"/>
        </w:rPr>
      </w:pPr>
      <w:bookmarkStart w:id="0" w:name="_Toc234505669"/>
      <w:r w:rsidRPr="000F2E30">
        <w:rPr>
          <w:rFonts w:eastAsia="Arial"/>
          <w:szCs w:val="32"/>
        </w:rPr>
        <w:t>Introduction</w:t>
      </w:r>
      <w:bookmarkEnd w:id="0"/>
      <w:r w:rsidRPr="000F2E30">
        <w:rPr>
          <w:rFonts w:eastAsia="Arial"/>
        </w:rPr>
        <w:t xml:space="preserve"> </w:t>
      </w:r>
    </w:p>
    <w:p w14:paraId="42DF19A8" w14:textId="2694051C" w:rsidR="00352396" w:rsidRPr="000F2E30" w:rsidRDefault="00000000" w:rsidP="000F2E30">
      <w:pPr>
        <w:spacing w:after="0" w:line="360" w:lineRule="auto"/>
        <w:jc w:val="both"/>
        <w:rPr>
          <w:rFonts w:ascii="Arial" w:eastAsia="Arial" w:hAnsi="Arial" w:cs="Arial"/>
          <w:sz w:val="22"/>
          <w:szCs w:val="22"/>
        </w:rPr>
      </w:pPr>
      <w:r w:rsidRPr="000F2E30">
        <w:rPr>
          <w:rFonts w:ascii="Arial" w:eastAsia="Arial" w:hAnsi="Arial" w:cs="Arial"/>
          <w:sz w:val="22"/>
          <w:szCs w:val="22"/>
        </w:rPr>
        <w:t>Practice in health and social care in United Kingdom is based on principles of quality, safety, and empathetic care and respects the rights, preferences, and dignity of the individuals. The ethical principles also serve in professional decision making to maintain accountability, fairness, autonomy and respect in the complex situations of care. These aspects, along with the UK-legislated laws and professional regulations, such as the Care Act 2014 and the Health and Care Act 2022, make these principles mutually reinforcing. This reflective report explores the importance of these principles, discusses how the principles are worked with on a practical example and takes a critical look at how the principles will further shape how I will practice and continue to develop professionally in health and social care.</w:t>
      </w:r>
    </w:p>
    <w:p w14:paraId="03E808B1" w14:textId="77777777" w:rsidR="00352396" w:rsidRPr="000F2E30" w:rsidRDefault="00000000" w:rsidP="000F2E30">
      <w:pPr>
        <w:pStyle w:val="Heading1"/>
        <w:spacing w:line="360" w:lineRule="auto"/>
        <w:rPr>
          <w:rFonts w:eastAsia="Arial"/>
        </w:rPr>
      </w:pPr>
      <w:bookmarkStart w:id="1" w:name="_Toc234505670"/>
      <w:r w:rsidRPr="000F2E30">
        <w:rPr>
          <w:rFonts w:eastAsia="Arial"/>
        </w:rPr>
        <w:t>Task 1: Reflection on the Importance of Principles of Health and Social Care</w:t>
      </w:r>
      <w:bookmarkEnd w:id="1"/>
    </w:p>
    <w:p w14:paraId="77A22CCA" w14:textId="32B14FB4" w:rsidR="00352396" w:rsidRPr="000F2E30" w:rsidRDefault="00000000" w:rsidP="000F2E30">
      <w:pPr>
        <w:spacing w:after="0" w:line="360" w:lineRule="auto"/>
        <w:jc w:val="both"/>
        <w:rPr>
          <w:rFonts w:ascii="Arial" w:eastAsia="Arial" w:hAnsi="Arial" w:cs="Arial"/>
          <w:sz w:val="22"/>
          <w:szCs w:val="22"/>
        </w:rPr>
      </w:pPr>
      <w:r w:rsidRPr="000F2E30">
        <w:rPr>
          <w:rFonts w:ascii="Arial" w:eastAsia="Arial" w:hAnsi="Arial" w:cs="Arial"/>
          <w:sz w:val="22"/>
          <w:szCs w:val="22"/>
        </w:rPr>
        <w:t xml:space="preserve">Effective use of person-centred care, partnership working and ethical practice are critical to the delivery of high-quality health and social care. These principles are precise to make sure that services not only meet the need for physical health of individuals, but also calmness, dignity, and well-being. Person-centred care involves making people the centre of the decision-making process by integrating and acknowledging their distinct values, preferences, life experiences instead of thinking only about the medical conditions. Ahmed </w:t>
      </w:r>
      <w:r w:rsidRPr="000F2E30">
        <w:rPr>
          <w:rFonts w:ascii="Arial" w:eastAsia="Arial" w:hAnsi="Arial" w:cs="Arial"/>
          <w:i/>
          <w:iCs/>
          <w:sz w:val="22"/>
          <w:szCs w:val="22"/>
        </w:rPr>
        <w:t>et al.</w:t>
      </w:r>
      <w:r w:rsidRPr="000F2E30">
        <w:rPr>
          <w:rFonts w:ascii="Arial" w:eastAsia="Arial" w:hAnsi="Arial" w:cs="Arial"/>
          <w:sz w:val="22"/>
          <w:szCs w:val="22"/>
        </w:rPr>
        <w:t xml:space="preserve"> (2022) assert that person-centred care enhances communication, trust and patient engagement, which result in improved health outcomes and increased satisfaction with services. In a parallel argument, Corbett (2023) contends that considering individuals as active participants and not passive receivers improves the quality and responsiveness of care. Theoretically, the Hierarchy of Needs advocates Maslow's needs by proving that the </w:t>
      </w:r>
      <w:r w:rsidR="000F2E30" w:rsidRPr="000F2E30">
        <w:rPr>
          <w:rFonts w:ascii="Arial" w:eastAsia="Arial" w:hAnsi="Arial" w:cs="Arial"/>
          <w:sz w:val="22"/>
          <w:szCs w:val="22"/>
        </w:rPr>
        <w:t>fulfilment</w:t>
      </w:r>
      <w:r w:rsidRPr="000F2E30">
        <w:rPr>
          <w:rFonts w:ascii="Arial" w:eastAsia="Arial" w:hAnsi="Arial" w:cs="Arial"/>
          <w:sz w:val="22"/>
          <w:szCs w:val="22"/>
        </w:rPr>
        <w:t xml:space="preserve"> of physiological, safety, belonging, esteem, and self-actualisation needs helps to achieve holistic care and enhances the quality of life when they are fulfilled.</w:t>
      </w:r>
    </w:p>
    <w:p w14:paraId="239D2DF5" w14:textId="77777777" w:rsidR="00352396" w:rsidRPr="000F2E30" w:rsidRDefault="00000000" w:rsidP="000F2E30">
      <w:pPr>
        <w:spacing w:after="0" w:line="360" w:lineRule="auto"/>
        <w:jc w:val="both"/>
        <w:rPr>
          <w:rFonts w:ascii="Arial" w:eastAsia="Arial" w:hAnsi="Arial" w:cs="Arial"/>
          <w:sz w:val="22"/>
          <w:szCs w:val="22"/>
        </w:rPr>
      </w:pPr>
      <w:r w:rsidRPr="000F2E30">
        <w:rPr>
          <w:rFonts w:ascii="Arial" w:eastAsia="Arial" w:hAnsi="Arial" w:cs="Arial"/>
          <w:sz w:val="22"/>
          <w:szCs w:val="22"/>
        </w:rPr>
        <w:t xml:space="preserve">Partnership working is also significant as the current health and social care is based on collaboration among multidisciplinary professionals, service users, families, and community organisations. Through effective communication and development of shared decisions, professionals will be able to merge their professionalism and provide coordinated care, especially to people with complex physical, psychological and social needs. As Glasby (2026) points out, integrated working has been a key characteristic of contemporary health and social care in the UK, facilitating less fragmentation and enhancing care continuity. Similarly, El Khatib </w:t>
      </w:r>
      <w:r w:rsidRPr="000F2E30">
        <w:rPr>
          <w:rFonts w:ascii="Arial" w:eastAsia="Arial" w:hAnsi="Arial" w:cs="Arial"/>
          <w:i/>
          <w:iCs/>
          <w:sz w:val="22"/>
          <w:szCs w:val="22"/>
        </w:rPr>
        <w:t>et al</w:t>
      </w:r>
      <w:r w:rsidRPr="000F2E30">
        <w:rPr>
          <w:rFonts w:ascii="Arial" w:eastAsia="Arial" w:hAnsi="Arial" w:cs="Arial"/>
          <w:sz w:val="22"/>
          <w:szCs w:val="22"/>
        </w:rPr>
        <w:t>. (2022) show that collaboration practices enhance organisational performance by enhancing communication and accountability as well as joint problem solving. Such working relationships are additionally provided by the Health and Care Act 2022 that facilitates integrated care systems that promote collaboration between health and social care facilities and support better access to the services and outcome of the patients.</w:t>
      </w:r>
    </w:p>
    <w:p w14:paraId="5FF8CB1F" w14:textId="77777777" w:rsidR="00352396" w:rsidRPr="000F2E30" w:rsidRDefault="00000000" w:rsidP="000F2E30">
      <w:pPr>
        <w:spacing w:after="0" w:line="360" w:lineRule="auto"/>
        <w:jc w:val="both"/>
        <w:rPr>
          <w:rFonts w:ascii="Arial" w:eastAsia="Arial" w:hAnsi="Arial" w:cs="Arial"/>
          <w:sz w:val="22"/>
          <w:szCs w:val="22"/>
        </w:rPr>
      </w:pPr>
      <w:r w:rsidRPr="000F2E30">
        <w:rPr>
          <w:rFonts w:ascii="Arial" w:eastAsia="Arial" w:hAnsi="Arial" w:cs="Arial"/>
          <w:sz w:val="22"/>
          <w:szCs w:val="22"/>
        </w:rPr>
        <w:t>Ethical practice ensures that any profession is made based on ethical practice; it must be fair, respectful and accountable in delivering the care. The principles, which include autonomy, beneficence, non-maleficence and justice are all governed by moral principles that practitioners follow when having conflicting needs in balancing the interests of both the individual and the profession. Burley and Arai (2023) note that ethical making of decisions helps professionals to act in the right way in complex situations and safeguard the rights of people and build trust among people. On the same note, Rowe (2023) describes the professional values as stimulating the practitioners to express care, confidentiality, honesty, and respect during the care procedure. The Care Act 2014 supports these principles, making the individual well-being, safeguarding, and individualised support lie in the core of adult social care practice. As a unit, person centred care, partnership working and ethical practice can create an environment in which safe, coordinated and compassionate health and social care are provided and that professionals can provide holistic care to individuals that enhances outcomes whilst ensuring the dignity and individuality of each individual is considered.</w:t>
      </w:r>
    </w:p>
    <w:p w14:paraId="66954A2A" w14:textId="77777777" w:rsidR="00352396" w:rsidRPr="000F2E30" w:rsidRDefault="00000000" w:rsidP="000F2E30">
      <w:pPr>
        <w:pStyle w:val="Heading1"/>
        <w:spacing w:line="360" w:lineRule="auto"/>
        <w:rPr>
          <w:rFonts w:eastAsia="Arial"/>
        </w:rPr>
      </w:pPr>
      <w:bookmarkStart w:id="2" w:name="_Toc234505671"/>
      <w:r w:rsidRPr="000F2E30">
        <w:rPr>
          <w:rFonts w:eastAsia="Arial"/>
        </w:rPr>
        <w:t>Task 2: Practical Examples of Concepts in Practice</w:t>
      </w:r>
      <w:bookmarkEnd w:id="2"/>
      <w:r w:rsidRPr="000F2E30">
        <w:rPr>
          <w:rFonts w:eastAsia="Arial"/>
        </w:rPr>
        <w:t xml:space="preserve"> </w:t>
      </w:r>
    </w:p>
    <w:p w14:paraId="084B084D" w14:textId="77777777" w:rsidR="00352396" w:rsidRPr="000F2E30" w:rsidRDefault="00000000" w:rsidP="000F2E30">
      <w:pPr>
        <w:spacing w:after="0" w:line="360" w:lineRule="auto"/>
        <w:jc w:val="both"/>
        <w:rPr>
          <w:rFonts w:ascii="Arial" w:eastAsia="Arial" w:hAnsi="Arial" w:cs="Arial"/>
          <w:sz w:val="22"/>
          <w:szCs w:val="22"/>
        </w:rPr>
      </w:pPr>
      <w:r w:rsidRPr="000F2E30">
        <w:rPr>
          <w:rFonts w:ascii="Arial" w:eastAsia="Arial" w:hAnsi="Arial" w:cs="Arial"/>
          <w:sz w:val="22"/>
          <w:szCs w:val="22"/>
        </w:rPr>
        <w:t xml:space="preserve">An effective example of person-centred care, collaboration with a partner and grounded ethics may be considered in the examination of an elderly person with dementia, diabetes, and limited mobility upon his/her discharge. The patient had to be constantly assisted by a multidisciplinary team that included nurses, a general practitioner, occupational therapists, social workers, and family members in order to address health and social care requirements. Instead of using a standardised care plan, the professionals actively engaged the individual and the family in the conversation about their preferences in the treatment, daily life routines, mobility, and support plans at home. This practice was evidence-based on the values of person-centred care as it acknowledged the values, preferences, and rights of the individual to take part in making the decisions that impacted them. Hodge </w:t>
      </w:r>
      <w:r w:rsidRPr="000F2E30">
        <w:rPr>
          <w:rFonts w:ascii="Arial" w:eastAsia="Arial" w:hAnsi="Arial" w:cs="Arial"/>
          <w:i/>
          <w:iCs/>
          <w:sz w:val="22"/>
          <w:szCs w:val="22"/>
        </w:rPr>
        <w:t>et al.</w:t>
      </w:r>
      <w:r w:rsidRPr="000F2E30">
        <w:rPr>
          <w:rFonts w:ascii="Arial" w:eastAsia="Arial" w:hAnsi="Arial" w:cs="Arial"/>
          <w:sz w:val="22"/>
          <w:szCs w:val="22"/>
        </w:rPr>
        <w:t xml:space="preserve"> (2024) evidence that personalised planning and meaningful engagement by implementing person-centred approaches in care settings can lead to an increased level of dignity, independence, and overall quality of life to residents.</w:t>
      </w:r>
    </w:p>
    <w:p w14:paraId="418A19AF" w14:textId="77777777" w:rsidR="00352396" w:rsidRPr="000F2E30" w:rsidRDefault="00000000" w:rsidP="000F2E30">
      <w:pPr>
        <w:spacing w:after="0" w:line="360" w:lineRule="auto"/>
        <w:jc w:val="both"/>
        <w:rPr>
          <w:rFonts w:ascii="Arial" w:eastAsia="Arial" w:hAnsi="Arial" w:cs="Arial"/>
          <w:sz w:val="22"/>
          <w:szCs w:val="22"/>
        </w:rPr>
      </w:pPr>
      <w:r w:rsidRPr="000F2E30">
        <w:rPr>
          <w:rFonts w:ascii="Arial" w:eastAsia="Arial" w:hAnsi="Arial" w:cs="Arial"/>
          <w:sz w:val="22"/>
          <w:szCs w:val="22"/>
        </w:rPr>
        <w:t xml:space="preserve">Collaborative working played a crucial role in maintaining continuity of the care after discharge. All professionals were involved in providing specialist knowledge, with constant communication to organise medication management, rehabilitation, feeding, protection, and social care services. It was also realised that family members were important partners due to the fact that they could give important information about the routine of persons, change in behaviour and individual preferences. According to </w:t>
      </w:r>
      <w:proofErr w:type="spellStart"/>
      <w:r w:rsidRPr="000F2E30">
        <w:rPr>
          <w:rFonts w:ascii="Arial" w:eastAsia="Arial" w:hAnsi="Arial" w:cs="Arial"/>
          <w:sz w:val="22"/>
          <w:szCs w:val="22"/>
        </w:rPr>
        <w:t>Wampold</w:t>
      </w:r>
      <w:proofErr w:type="spellEnd"/>
      <w:r w:rsidRPr="000F2E30">
        <w:rPr>
          <w:rFonts w:ascii="Arial" w:eastAsia="Arial" w:hAnsi="Arial" w:cs="Arial"/>
          <w:sz w:val="22"/>
          <w:szCs w:val="22"/>
        </w:rPr>
        <w:t xml:space="preserve"> and </w:t>
      </w:r>
      <w:proofErr w:type="spellStart"/>
      <w:r w:rsidRPr="000F2E30">
        <w:rPr>
          <w:rFonts w:ascii="Arial" w:eastAsia="Arial" w:hAnsi="Arial" w:cs="Arial"/>
          <w:sz w:val="22"/>
          <w:szCs w:val="22"/>
        </w:rPr>
        <w:t>Flückiger</w:t>
      </w:r>
      <w:proofErr w:type="spellEnd"/>
      <w:r w:rsidRPr="000F2E30">
        <w:rPr>
          <w:rFonts w:ascii="Arial" w:eastAsia="Arial" w:hAnsi="Arial" w:cs="Arial"/>
          <w:sz w:val="22"/>
          <w:szCs w:val="22"/>
        </w:rPr>
        <w:t xml:space="preserve"> (2023), effective care interventions are enhanced by a high level of collaborative relations and therapeutic alliances which lead to increased trust, engagement and subsequent effectiveness in the care interventions. On the same note, Morse </w:t>
      </w:r>
      <w:r w:rsidRPr="000F2E30">
        <w:rPr>
          <w:rFonts w:ascii="Arial" w:eastAsia="Arial" w:hAnsi="Arial" w:cs="Arial"/>
          <w:i/>
          <w:iCs/>
          <w:sz w:val="22"/>
          <w:szCs w:val="22"/>
        </w:rPr>
        <w:t>et al</w:t>
      </w:r>
      <w:r w:rsidRPr="000F2E30">
        <w:rPr>
          <w:rFonts w:ascii="Arial" w:eastAsia="Arial" w:hAnsi="Arial" w:cs="Arial"/>
          <w:sz w:val="22"/>
          <w:szCs w:val="22"/>
        </w:rPr>
        <w:t>. (2022) point out that the collaborative methods that include community resources and social prescribing allow people with chronic conditions to get comprehensive support that is not limited to medical care and minimises social isolation and promotes well-being in general. This type of integrated working echoes the aims of the Health and Care Act 2022 that encourages the collaboration of health and social carers using integrated care systems.</w:t>
      </w:r>
    </w:p>
    <w:p w14:paraId="2DC2D108" w14:textId="01FEA4C3" w:rsidR="000F2E30" w:rsidRPr="00C04C33" w:rsidRDefault="00000000" w:rsidP="00C04C33">
      <w:pPr>
        <w:spacing w:after="0" w:line="360" w:lineRule="auto"/>
        <w:jc w:val="both"/>
        <w:rPr>
          <w:rFonts w:ascii="Arial" w:eastAsia="Arial" w:hAnsi="Arial" w:cs="Arial"/>
          <w:sz w:val="22"/>
          <w:szCs w:val="22"/>
        </w:rPr>
      </w:pPr>
      <w:r w:rsidRPr="000F2E30">
        <w:rPr>
          <w:rFonts w:ascii="Arial" w:eastAsia="Arial" w:hAnsi="Arial" w:cs="Arial"/>
          <w:sz w:val="22"/>
          <w:szCs w:val="22"/>
        </w:rPr>
        <w:t xml:space="preserve">Ethics were also significant in this case. By making treatment choices appear in a manner that the individual understood and can do, the multidisciplinary team respected the autonomy of the individual by involving them in the process when they had the capacity to do so. Only authorised professionals that were directly involved in the care delivery process shared confidential information, and privacy was preserved, but at the same time, effective communication was achieved. Regarding ethical collaboration, De Poli and </w:t>
      </w:r>
      <w:proofErr w:type="spellStart"/>
      <w:r w:rsidRPr="000F2E30">
        <w:rPr>
          <w:rFonts w:ascii="Arial" w:eastAsia="Arial" w:hAnsi="Arial" w:cs="Arial"/>
          <w:sz w:val="22"/>
          <w:szCs w:val="22"/>
        </w:rPr>
        <w:t>Oyebode</w:t>
      </w:r>
      <w:proofErr w:type="spellEnd"/>
      <w:r w:rsidRPr="000F2E30">
        <w:rPr>
          <w:rFonts w:ascii="Arial" w:eastAsia="Arial" w:hAnsi="Arial" w:cs="Arial"/>
          <w:sz w:val="22"/>
          <w:szCs w:val="22"/>
        </w:rPr>
        <w:t xml:space="preserve"> (2023) point out the need to balance individual rights and coordinated service delivery which is possible only through transparency, informed consent and proper sharing of information. Moreover, the Care Act 2014 informed protecting roles by making sure that the well-being of the person, their independence and protection against neglect was at the core of all decisions. By and large, this case study shows that person-centred care, partnership working and ethical practice supplement each other in order to enhance better patient outcomes, greater coordination in service provisions, and holistic, compassionate, and safe care in health and social care organisations in the UK.</w:t>
      </w:r>
      <w:bookmarkStart w:id="3" w:name="_Toc234505672"/>
    </w:p>
    <w:p w14:paraId="5191CEC6" w14:textId="574B760B" w:rsidR="000F2E30" w:rsidRPr="000F2E30" w:rsidRDefault="00000000" w:rsidP="000F2E30">
      <w:pPr>
        <w:pStyle w:val="Heading1"/>
        <w:spacing w:line="360" w:lineRule="auto"/>
        <w:rPr>
          <w:rFonts w:eastAsia="Arial"/>
        </w:rPr>
      </w:pPr>
      <w:r w:rsidRPr="000F2E30">
        <w:rPr>
          <w:rFonts w:eastAsia="Arial"/>
        </w:rPr>
        <w:t>Task 3: Self Reflection as a Health and Social Care Professional</w:t>
      </w:r>
      <w:bookmarkEnd w:id="3"/>
      <w:r w:rsidRPr="000F2E30">
        <w:rPr>
          <w:rFonts w:eastAsia="Arial"/>
        </w:rPr>
        <w:t xml:space="preserve"> </w:t>
      </w:r>
    </w:p>
    <w:p w14:paraId="471D9F03" w14:textId="7125C8B5" w:rsidR="00352396" w:rsidRPr="000F2E30" w:rsidRDefault="00000000" w:rsidP="000F2E30">
      <w:pPr>
        <w:spacing w:after="0" w:line="360" w:lineRule="auto"/>
        <w:jc w:val="both"/>
        <w:rPr>
          <w:rFonts w:ascii="Arial" w:eastAsia="Arial" w:hAnsi="Arial" w:cs="Arial"/>
          <w:b/>
          <w:bCs/>
          <w:sz w:val="23"/>
          <w:szCs w:val="23"/>
        </w:rPr>
      </w:pPr>
      <w:r w:rsidRPr="000F2E30">
        <w:rPr>
          <w:rFonts w:ascii="Arial" w:eastAsia="Arial" w:hAnsi="Arial" w:cs="Arial"/>
          <w:b/>
          <w:bCs/>
          <w:sz w:val="23"/>
          <w:szCs w:val="23"/>
        </w:rPr>
        <w:t>Description</w:t>
      </w:r>
    </w:p>
    <w:p w14:paraId="566A11A7" w14:textId="07B4462A" w:rsidR="00352396" w:rsidRPr="000F2E30" w:rsidRDefault="00000000" w:rsidP="000F2E30">
      <w:pPr>
        <w:spacing w:after="0" w:line="360" w:lineRule="auto"/>
        <w:jc w:val="both"/>
        <w:rPr>
          <w:rFonts w:ascii="Arial" w:eastAsia="Arial" w:hAnsi="Arial" w:cs="Arial"/>
          <w:sz w:val="22"/>
          <w:szCs w:val="22"/>
        </w:rPr>
      </w:pPr>
      <w:r w:rsidRPr="000F2E30">
        <w:rPr>
          <w:rFonts w:ascii="Arial" w:eastAsia="Arial" w:hAnsi="Arial" w:cs="Arial"/>
          <w:sz w:val="22"/>
          <w:szCs w:val="22"/>
        </w:rPr>
        <w:t xml:space="preserve">To reflect on this, I have applied the Reflective Cycle by Gibbs to discuss the case presented in Task 2, which pertained to an older adult who had a history of dementia, diabetes, and limited mobility when coming back to the home after hospitalisation. The client needed the assistance of nurses, general practitioner, occupational therapists, social workers and family members. The multidisciplinary team initiated an individualised care plan by engaging the patient in the care planning process, sensitivity to the individual preferences, and continuity of care between health and social care services. All stages of care were informed by ethical principles like autonomy, confidentiality, dignity, and safeguarding. Consideration of this situation has helped me to think about how </w:t>
      </w:r>
      <w:r w:rsidR="000F2E30" w:rsidRPr="000F2E30">
        <w:rPr>
          <w:rFonts w:ascii="Arial" w:eastAsia="Arial" w:hAnsi="Arial" w:cs="Arial"/>
          <w:sz w:val="22"/>
          <w:szCs w:val="22"/>
        </w:rPr>
        <w:t>person-centred</w:t>
      </w:r>
      <w:r w:rsidRPr="000F2E30">
        <w:rPr>
          <w:rFonts w:ascii="Arial" w:eastAsia="Arial" w:hAnsi="Arial" w:cs="Arial"/>
          <w:sz w:val="22"/>
          <w:szCs w:val="22"/>
        </w:rPr>
        <w:t xml:space="preserve"> care, partnership working and ethical practice will affect my future practice as a health and social care professional.</w:t>
      </w:r>
    </w:p>
    <w:p w14:paraId="3E340C29" w14:textId="77777777" w:rsidR="00352396" w:rsidRPr="000F2E30" w:rsidRDefault="00000000" w:rsidP="000F2E30">
      <w:pPr>
        <w:spacing w:after="0" w:line="360" w:lineRule="auto"/>
        <w:jc w:val="both"/>
        <w:rPr>
          <w:rFonts w:ascii="Arial" w:eastAsia="Arial" w:hAnsi="Arial" w:cs="Arial"/>
          <w:b/>
          <w:bCs/>
          <w:sz w:val="23"/>
          <w:szCs w:val="23"/>
        </w:rPr>
      </w:pPr>
      <w:r w:rsidRPr="000F2E30">
        <w:rPr>
          <w:rFonts w:ascii="Arial" w:eastAsia="Arial" w:hAnsi="Arial" w:cs="Arial"/>
          <w:b/>
          <w:bCs/>
          <w:sz w:val="22"/>
          <w:szCs w:val="22"/>
        </w:rPr>
        <w:t>Feelings</w:t>
      </w:r>
    </w:p>
    <w:p w14:paraId="6DC34839" w14:textId="77777777" w:rsidR="00352396" w:rsidRPr="000F2E30" w:rsidRDefault="00000000" w:rsidP="000F2E30">
      <w:pPr>
        <w:spacing w:after="0" w:line="360" w:lineRule="auto"/>
        <w:jc w:val="both"/>
        <w:rPr>
          <w:rFonts w:ascii="Arial" w:eastAsia="Arial" w:hAnsi="Arial" w:cs="Arial"/>
          <w:sz w:val="22"/>
          <w:szCs w:val="22"/>
        </w:rPr>
      </w:pPr>
      <w:r w:rsidRPr="000F2E30">
        <w:rPr>
          <w:rFonts w:ascii="Arial" w:eastAsia="Arial" w:hAnsi="Arial" w:cs="Arial"/>
          <w:sz w:val="22"/>
          <w:szCs w:val="22"/>
        </w:rPr>
        <w:t xml:space="preserve">First, I thought that providing quality care only depended on clinical competence and adherence to organisational procedures. Nevertheless, when considering this case, I realised that much more than technical knowledge is needed to be a successful health and social care practitioner. I realised that effective communication, empathy, compassion and collaboration are also crucial to addressing the needs of people of diverse needs. Simultaneously, I believed that it might be complicated with situations related to ethical dilemmas, concerns over the safety or other aspects, and disagreements between professionals and family members. I also learned that the need to respect the wishes of an individual and at the same time safeguard them may sometimes have to be judged wisely. </w:t>
      </w:r>
    </w:p>
    <w:p w14:paraId="77B6AFE9" w14:textId="77777777" w:rsidR="00352396" w:rsidRPr="000F2E30" w:rsidRDefault="00000000" w:rsidP="000F2E30">
      <w:pPr>
        <w:spacing w:after="0" w:line="360" w:lineRule="auto"/>
        <w:jc w:val="both"/>
        <w:rPr>
          <w:rFonts w:ascii="Arial" w:eastAsia="Arial" w:hAnsi="Arial" w:cs="Arial"/>
          <w:b/>
          <w:bCs/>
          <w:sz w:val="22"/>
          <w:szCs w:val="22"/>
        </w:rPr>
      </w:pPr>
      <w:r w:rsidRPr="000F2E30">
        <w:rPr>
          <w:rFonts w:ascii="Arial" w:eastAsia="Arial" w:hAnsi="Arial" w:cs="Arial"/>
          <w:b/>
          <w:bCs/>
          <w:sz w:val="22"/>
          <w:szCs w:val="22"/>
        </w:rPr>
        <w:t>Evaluation</w:t>
      </w:r>
    </w:p>
    <w:p w14:paraId="36876B91" w14:textId="77777777" w:rsidR="00352396" w:rsidRPr="000F2E30" w:rsidRDefault="00000000" w:rsidP="000F2E30">
      <w:pPr>
        <w:spacing w:after="0" w:line="360" w:lineRule="auto"/>
        <w:jc w:val="both"/>
        <w:rPr>
          <w:rFonts w:ascii="Arial" w:eastAsia="Arial" w:hAnsi="Arial" w:cs="Arial"/>
          <w:sz w:val="22"/>
          <w:szCs w:val="22"/>
        </w:rPr>
      </w:pPr>
      <w:r w:rsidRPr="000F2E30">
        <w:rPr>
          <w:rFonts w:ascii="Arial" w:eastAsia="Arial" w:hAnsi="Arial" w:cs="Arial"/>
          <w:sz w:val="22"/>
          <w:szCs w:val="22"/>
        </w:rPr>
        <w:t>The case has provided various instances of professional practice that were done effectively. The multidisciplinary team cooperatively developed an individualised care plan that incorporated the physical, emotional and social needs of the individual. To ensure that the patient remained in control and decisions about treatment and daily care were participatory, the patient was urged to engage in the decision-making process in the care process. It can be regarded as the indicator of person-centred care, which assumes that all people are seen as proactive members of the community and do not passively obtain services but actively contribute to their own welfare. This interprofessional collaboration also minimised fragmented care since the communication and coordinated interventions were assured through interventions across various services.</w:t>
      </w:r>
    </w:p>
    <w:p w14:paraId="04365F23" w14:textId="77777777" w:rsidR="00352396" w:rsidRPr="000F2E30" w:rsidRDefault="00000000" w:rsidP="000F2E30">
      <w:pPr>
        <w:spacing w:after="0" w:line="360" w:lineRule="auto"/>
        <w:jc w:val="both"/>
        <w:rPr>
          <w:rFonts w:ascii="Arial" w:eastAsia="Arial" w:hAnsi="Arial" w:cs="Arial"/>
          <w:b/>
          <w:bCs/>
          <w:sz w:val="22"/>
          <w:szCs w:val="22"/>
        </w:rPr>
      </w:pPr>
      <w:r w:rsidRPr="000F2E30">
        <w:rPr>
          <w:rFonts w:ascii="Arial" w:eastAsia="Arial" w:hAnsi="Arial" w:cs="Arial"/>
          <w:b/>
          <w:bCs/>
          <w:sz w:val="22"/>
          <w:szCs w:val="22"/>
        </w:rPr>
        <w:t>Analysis</w:t>
      </w:r>
    </w:p>
    <w:p w14:paraId="34EC83CD" w14:textId="77777777" w:rsidR="00352396" w:rsidRPr="000F2E30" w:rsidRDefault="00000000" w:rsidP="000F2E30">
      <w:pPr>
        <w:spacing w:after="0" w:line="360" w:lineRule="auto"/>
        <w:jc w:val="both"/>
        <w:rPr>
          <w:rFonts w:ascii="Arial" w:eastAsia="Arial" w:hAnsi="Arial" w:cs="Arial"/>
          <w:sz w:val="22"/>
          <w:szCs w:val="22"/>
        </w:rPr>
      </w:pPr>
      <w:r w:rsidRPr="000F2E30">
        <w:rPr>
          <w:rFonts w:ascii="Arial" w:eastAsia="Arial" w:hAnsi="Arial" w:cs="Arial"/>
          <w:sz w:val="22"/>
          <w:szCs w:val="22"/>
        </w:rPr>
        <w:t>Expanding on it more, I understand that the concept of person-centred care must affect my decisions concerning all professionals. Instead of concentrating on the medical situation of a person only, I need to take into consideration his or her personal values, cultural heritage, emotional, and personal preferences. Bognar and Hirose (2022) believe that ethical health choices must be made based on the aspects of fairness and consideration of personal needs, especially in the condition of resource or treatment option shortage. This view reinforces my perception that the decision-making process should be conducted ethically at all times with regard to the welfare of the individual and the broader scope of work, without violating the integrity of the individual.</w:t>
      </w:r>
    </w:p>
    <w:p w14:paraId="70893140" w14:textId="77777777" w:rsidR="00352396" w:rsidRPr="000F2E30" w:rsidRDefault="00000000" w:rsidP="000F2E30">
      <w:pPr>
        <w:spacing w:after="0" w:line="360" w:lineRule="auto"/>
        <w:jc w:val="both"/>
        <w:rPr>
          <w:rFonts w:ascii="Arial" w:eastAsia="Arial" w:hAnsi="Arial" w:cs="Arial"/>
          <w:sz w:val="22"/>
          <w:szCs w:val="22"/>
        </w:rPr>
      </w:pPr>
      <w:r w:rsidRPr="000F2E30">
        <w:rPr>
          <w:rFonts w:ascii="Arial" w:eastAsia="Arial" w:hAnsi="Arial" w:cs="Arial"/>
          <w:sz w:val="22"/>
          <w:szCs w:val="22"/>
        </w:rPr>
        <w:t>In the same manner, the Hierarchy of Needs illustrates that human beings need a lot more than just physical treatment to become well. Opportunities to be independent, as well as safety, belonging, self-esteem, are also important. As such, I have to make sure to plan care to include the clinical and psychosocial needs in order to provide holistic care.</w:t>
      </w:r>
    </w:p>
    <w:p w14:paraId="5A336606" w14:textId="08944C11" w:rsidR="00352396" w:rsidRPr="000F2E30" w:rsidRDefault="00000000" w:rsidP="000F2E30">
      <w:pPr>
        <w:spacing w:after="0" w:line="360" w:lineRule="auto"/>
        <w:jc w:val="both"/>
        <w:rPr>
          <w:rFonts w:ascii="Arial" w:eastAsia="Arial" w:hAnsi="Arial" w:cs="Arial"/>
          <w:sz w:val="22"/>
          <w:szCs w:val="22"/>
        </w:rPr>
      </w:pPr>
      <w:r w:rsidRPr="000F2E30">
        <w:rPr>
          <w:rFonts w:ascii="Arial" w:eastAsia="Arial" w:hAnsi="Arial" w:cs="Arial"/>
          <w:sz w:val="22"/>
          <w:szCs w:val="22"/>
        </w:rPr>
        <w:t xml:space="preserve">This reflection helped to better see the importance of ethical practice as well. According to Rowe (2023), ethical health and social care practice is based on various professional values, including honesty, compassion, accountability, and respect. By availing these values across the board, I will be able to build trusting relationships with people whilst being professionally upright. Similarly, according to Burley and Arai (2023), ethical issues can hardly have straightforward answers and, thus, those practicing must consider various views before making compensated decisions. </w:t>
      </w:r>
    </w:p>
    <w:p w14:paraId="6EC07626" w14:textId="3C36CC97" w:rsidR="000F2E30" w:rsidRPr="000F2E30" w:rsidRDefault="00000000" w:rsidP="000F2E30">
      <w:pPr>
        <w:spacing w:after="0" w:line="360" w:lineRule="auto"/>
        <w:jc w:val="both"/>
        <w:rPr>
          <w:rFonts w:ascii="Arial" w:eastAsia="Arial" w:hAnsi="Arial" w:cs="Arial"/>
          <w:sz w:val="22"/>
          <w:szCs w:val="22"/>
        </w:rPr>
      </w:pPr>
      <w:r w:rsidRPr="000F2E30">
        <w:rPr>
          <w:rFonts w:ascii="Arial" w:eastAsia="Arial" w:hAnsi="Arial" w:cs="Arial"/>
          <w:sz w:val="22"/>
          <w:szCs w:val="22"/>
        </w:rPr>
        <w:t xml:space="preserve">The case has also enhanced my love of partnership working. Though practice domains are varied, collaborative decision-making offers better comprehensive and coordinated care than individual practice. Collaborating with other professionals in diverse fields will also allow practitioners to learn through each other as well as enhance continuity of care. This is indicative of the aims of the Health and Care Act 2022, which promoted integrated working, between health and social care organisations, to enhance the outcomes of patients. </w:t>
      </w:r>
    </w:p>
    <w:p w14:paraId="5BAABFA8" w14:textId="7418995D" w:rsidR="00352396" w:rsidRPr="000F2E30" w:rsidRDefault="00000000" w:rsidP="000F2E30">
      <w:pPr>
        <w:spacing w:line="360" w:lineRule="auto"/>
        <w:rPr>
          <w:rFonts w:ascii="Arial" w:eastAsia="Arial" w:hAnsi="Arial" w:cs="Arial"/>
          <w:b/>
          <w:bCs/>
          <w:sz w:val="22"/>
          <w:szCs w:val="22"/>
        </w:rPr>
      </w:pPr>
      <w:r w:rsidRPr="000F2E30">
        <w:rPr>
          <w:rFonts w:ascii="Arial" w:eastAsia="Arial" w:hAnsi="Arial" w:cs="Arial"/>
          <w:b/>
          <w:bCs/>
          <w:sz w:val="22"/>
          <w:szCs w:val="22"/>
        </w:rPr>
        <w:t>Conclusion</w:t>
      </w:r>
    </w:p>
    <w:p w14:paraId="5904E167" w14:textId="04FC730B" w:rsidR="000F2E30" w:rsidRPr="000F2E30" w:rsidRDefault="00000000" w:rsidP="000F2E30">
      <w:pPr>
        <w:spacing w:after="0" w:line="360" w:lineRule="auto"/>
        <w:jc w:val="both"/>
        <w:rPr>
          <w:rFonts w:ascii="Arial" w:eastAsia="Arial" w:hAnsi="Arial" w:cs="Arial"/>
          <w:sz w:val="22"/>
          <w:szCs w:val="22"/>
        </w:rPr>
      </w:pPr>
      <w:r w:rsidRPr="000F2E30">
        <w:rPr>
          <w:rFonts w:ascii="Arial" w:eastAsia="Arial" w:hAnsi="Arial" w:cs="Arial"/>
          <w:sz w:val="22"/>
          <w:szCs w:val="22"/>
        </w:rPr>
        <w:t>On the whole, this reflection has affirmed my knowledge that person-centred care, partnership working, and ethics practice are the inseparable parts of the effective types of health and social care. Clinical knowledge will not enable the delivery of high-quality care without such things as compassion, collaboration, professional judgement, and respect to the individual right. Risks and opportunities in contemplating the case have enabled me to determine the areas that I need to develop more and also my strengths. Above all, it has demonstrated to me the necessity of lifelong learning that involves constant reflections to qualify as competent, accountable, and compassionate health and social care professional.</w:t>
      </w:r>
    </w:p>
    <w:p w14:paraId="2565B39E" w14:textId="0CACB769" w:rsidR="00352396" w:rsidRPr="000F2E30" w:rsidRDefault="00000000" w:rsidP="000F2E30">
      <w:pPr>
        <w:spacing w:after="0" w:line="360" w:lineRule="auto"/>
        <w:jc w:val="both"/>
        <w:rPr>
          <w:rFonts w:ascii="Arial" w:eastAsia="Arial" w:hAnsi="Arial" w:cs="Arial"/>
          <w:b/>
          <w:bCs/>
          <w:sz w:val="22"/>
          <w:szCs w:val="22"/>
        </w:rPr>
      </w:pPr>
      <w:r w:rsidRPr="000F2E30">
        <w:rPr>
          <w:rFonts w:ascii="Arial" w:eastAsia="Arial" w:hAnsi="Arial" w:cs="Arial"/>
          <w:b/>
          <w:bCs/>
          <w:sz w:val="22"/>
          <w:szCs w:val="22"/>
        </w:rPr>
        <w:t>Action Plan</w:t>
      </w:r>
    </w:p>
    <w:p w14:paraId="49A86DA5" w14:textId="77777777" w:rsidR="00352396" w:rsidRPr="000F2E30" w:rsidRDefault="00000000" w:rsidP="000F2E30">
      <w:pPr>
        <w:spacing w:after="0" w:line="360" w:lineRule="auto"/>
        <w:jc w:val="both"/>
        <w:rPr>
          <w:rFonts w:ascii="Arial" w:eastAsia="Arial" w:hAnsi="Arial" w:cs="Arial"/>
          <w:sz w:val="22"/>
          <w:szCs w:val="22"/>
        </w:rPr>
      </w:pPr>
      <w:r w:rsidRPr="000F2E30">
        <w:rPr>
          <w:rFonts w:ascii="Arial" w:eastAsia="Arial" w:hAnsi="Arial" w:cs="Arial"/>
          <w:sz w:val="22"/>
          <w:szCs w:val="22"/>
        </w:rPr>
        <w:t>To help me further my future practice in the field, I will take part in on-going professional development through training on safeguarding, dementia care, communication, ethical decision-making, and multidisciplinary working. I will also keep updated on the changes to the Care Act 2014, Health and Care Act 2022, and other applicable professional recommendations that could have an impact on my practice to ensure that it is in line with the current standards in the UK. Another aspect I will focus on during placements is to regularly receive mentorship and advice offered by senior colleagues to gain more confidence in my skills to make collaborative decisions and to effectively communicate professionally. Moreover, I will persist with reflection models like Gibbs Reflective Cycle when I have gotten crucial learning experiences to determine the strengths, weaknesses and the progress made. By doing so, I hope to become a reflective practitioner who will always provide compassionate, person-centred, ethical, and evidence-based care and collaborate efficiently within a multidisciplinary team, as well as enhancing the outcomes of individuals consuming the health and social care services.</w:t>
      </w:r>
    </w:p>
    <w:p w14:paraId="5D832416" w14:textId="77777777" w:rsidR="00352396" w:rsidRPr="000F2E30" w:rsidRDefault="00000000" w:rsidP="000F2E30">
      <w:pPr>
        <w:pStyle w:val="Heading1"/>
        <w:spacing w:line="360" w:lineRule="auto"/>
        <w:rPr>
          <w:rFonts w:eastAsia="Arial"/>
        </w:rPr>
      </w:pPr>
      <w:bookmarkStart w:id="4" w:name="_Toc234505673"/>
      <w:r w:rsidRPr="000F2E30">
        <w:rPr>
          <w:rFonts w:eastAsia="Arial"/>
        </w:rPr>
        <w:t>Conclusion</w:t>
      </w:r>
      <w:bookmarkEnd w:id="4"/>
    </w:p>
    <w:p w14:paraId="0B0C5555" w14:textId="63D627D0" w:rsidR="00352396" w:rsidRPr="000F2E30" w:rsidRDefault="00000000" w:rsidP="000F2E30">
      <w:pPr>
        <w:spacing w:line="360" w:lineRule="auto"/>
        <w:jc w:val="both"/>
        <w:rPr>
          <w:rFonts w:ascii="Arial" w:eastAsia="Arial" w:hAnsi="Arial" w:cs="Arial"/>
          <w:sz w:val="22"/>
          <w:szCs w:val="22"/>
        </w:rPr>
      </w:pPr>
      <w:r w:rsidRPr="000F2E30">
        <w:rPr>
          <w:rFonts w:ascii="Arial" w:eastAsia="Arial" w:hAnsi="Arial" w:cs="Arial"/>
          <w:sz w:val="22"/>
          <w:szCs w:val="22"/>
        </w:rPr>
        <w:t xml:space="preserve">Conclusively, the key tenets of effective health and social care provision in the UK are person-centred care, partnership working and ethical practice. These principles affirm holistic, caring, and teamwork care by appreciating the unique needs of individuals and adopting a collaborative decision-making process alongside maintaining professional behaviours that are ethical and legally accountable. The case study showed how the principles could be used to increase patient outcomes, continuality of care, and to protect individual dignity and well-being. Moreover, the reflective analysis has demonstrated that ongoing professional development, </w:t>
      </w:r>
      <w:r w:rsidR="000F2E30" w:rsidRPr="000F2E30">
        <w:rPr>
          <w:rFonts w:ascii="Arial" w:eastAsia="Arial" w:hAnsi="Arial" w:cs="Arial"/>
          <w:sz w:val="22"/>
          <w:szCs w:val="22"/>
        </w:rPr>
        <w:t>self-awareness</w:t>
      </w:r>
      <w:r w:rsidRPr="000F2E30">
        <w:rPr>
          <w:rFonts w:ascii="Arial" w:eastAsia="Arial" w:hAnsi="Arial" w:cs="Arial"/>
          <w:sz w:val="22"/>
          <w:szCs w:val="22"/>
        </w:rPr>
        <w:t xml:space="preserve"> and lifelong learning are key in enhancing professional competence. </w:t>
      </w:r>
    </w:p>
    <w:p w14:paraId="46DC28DE" w14:textId="77777777" w:rsidR="000F2E30" w:rsidRPr="000F2E30" w:rsidRDefault="000F2E30" w:rsidP="000F2E30">
      <w:pPr>
        <w:spacing w:line="360" w:lineRule="auto"/>
        <w:rPr>
          <w:rFonts w:ascii="Arial" w:eastAsia="Arial" w:hAnsi="Arial" w:cs="Arial"/>
          <w:b/>
          <w:bCs/>
        </w:rPr>
      </w:pPr>
      <w:r w:rsidRPr="000F2E30">
        <w:rPr>
          <w:rFonts w:ascii="Arial" w:eastAsia="Arial" w:hAnsi="Arial" w:cs="Arial"/>
          <w:b/>
          <w:bCs/>
        </w:rPr>
        <w:br w:type="page"/>
      </w:r>
    </w:p>
    <w:p w14:paraId="73326296" w14:textId="706752B0" w:rsidR="00352396" w:rsidRPr="000F2E30" w:rsidRDefault="00000000" w:rsidP="000F2E30">
      <w:pPr>
        <w:pStyle w:val="Heading1"/>
        <w:spacing w:line="360" w:lineRule="auto"/>
        <w:rPr>
          <w:rFonts w:eastAsia="Arial"/>
        </w:rPr>
      </w:pPr>
      <w:bookmarkStart w:id="5" w:name="_Toc234505674"/>
      <w:r w:rsidRPr="000F2E30">
        <w:rPr>
          <w:rFonts w:eastAsia="Arial"/>
        </w:rPr>
        <w:t>References</w:t>
      </w:r>
      <w:bookmarkEnd w:id="5"/>
    </w:p>
    <w:p w14:paraId="40CE94A8" w14:textId="77777777" w:rsidR="000F2E30" w:rsidRPr="000F2E30" w:rsidRDefault="000F2E30" w:rsidP="000F2E30">
      <w:pPr>
        <w:spacing w:line="360" w:lineRule="auto"/>
        <w:jc w:val="both"/>
        <w:rPr>
          <w:rFonts w:ascii="Arial" w:eastAsia="Arial" w:hAnsi="Arial" w:cs="Arial"/>
          <w:sz w:val="22"/>
          <w:szCs w:val="22"/>
        </w:rPr>
      </w:pPr>
      <w:r w:rsidRPr="000F2E30">
        <w:rPr>
          <w:rFonts w:ascii="Arial" w:eastAsia="Arial" w:hAnsi="Arial" w:cs="Arial"/>
          <w:sz w:val="22"/>
          <w:szCs w:val="22"/>
        </w:rPr>
        <w:t xml:space="preserve">Ahmed, A., van den </w:t>
      </w:r>
      <w:proofErr w:type="spellStart"/>
      <w:r w:rsidRPr="000F2E30">
        <w:rPr>
          <w:rFonts w:ascii="Arial" w:eastAsia="Arial" w:hAnsi="Arial" w:cs="Arial"/>
          <w:sz w:val="22"/>
          <w:szCs w:val="22"/>
        </w:rPr>
        <w:t>Muijsenbergh</w:t>
      </w:r>
      <w:proofErr w:type="spellEnd"/>
      <w:r w:rsidRPr="000F2E30">
        <w:rPr>
          <w:rFonts w:ascii="Arial" w:eastAsia="Arial" w:hAnsi="Arial" w:cs="Arial"/>
          <w:sz w:val="22"/>
          <w:szCs w:val="22"/>
        </w:rPr>
        <w:t>, M.E. and Vrijhoef, H.J., 2022. Person</w:t>
      </w:r>
      <w:r w:rsidRPr="000F2E30">
        <w:rPr>
          <w:rFonts w:ascii="Cambria Math" w:eastAsia="Arial" w:hAnsi="Cambria Math" w:cs="Cambria Math"/>
          <w:sz w:val="22"/>
          <w:szCs w:val="22"/>
        </w:rPr>
        <w:t>‐</w:t>
      </w:r>
      <w:r w:rsidRPr="000F2E30">
        <w:rPr>
          <w:rFonts w:ascii="Arial" w:eastAsia="Arial" w:hAnsi="Arial" w:cs="Arial"/>
          <w:sz w:val="22"/>
          <w:szCs w:val="22"/>
        </w:rPr>
        <w:t xml:space="preserve">centred care in primary care: what works for whom, how and in what </w:t>
      </w:r>
      <w:proofErr w:type="gramStart"/>
      <w:r w:rsidRPr="000F2E30">
        <w:rPr>
          <w:rFonts w:ascii="Arial" w:eastAsia="Arial" w:hAnsi="Arial" w:cs="Arial"/>
          <w:sz w:val="22"/>
          <w:szCs w:val="22"/>
        </w:rPr>
        <w:t>circumstances?.</w:t>
      </w:r>
      <w:proofErr w:type="gramEnd"/>
      <w:r w:rsidRPr="000F2E30">
        <w:rPr>
          <w:rFonts w:ascii="Arial" w:eastAsia="Arial" w:hAnsi="Arial" w:cs="Arial"/>
          <w:sz w:val="22"/>
          <w:szCs w:val="22"/>
        </w:rPr>
        <w:t xml:space="preserve"> </w:t>
      </w:r>
      <w:r w:rsidRPr="000F2E30">
        <w:rPr>
          <w:rFonts w:ascii="Arial" w:eastAsia="Arial" w:hAnsi="Arial" w:cs="Arial"/>
          <w:i/>
          <w:iCs/>
          <w:sz w:val="22"/>
          <w:szCs w:val="22"/>
        </w:rPr>
        <w:t>Health &amp; social care in the community</w:t>
      </w:r>
      <w:r w:rsidRPr="000F2E30">
        <w:rPr>
          <w:rFonts w:ascii="Arial" w:eastAsia="Arial" w:hAnsi="Arial" w:cs="Arial"/>
          <w:sz w:val="22"/>
          <w:szCs w:val="22"/>
        </w:rPr>
        <w:t xml:space="preserve">, </w:t>
      </w:r>
      <w:r w:rsidRPr="000F2E30">
        <w:rPr>
          <w:rFonts w:ascii="Arial" w:eastAsia="Arial" w:hAnsi="Arial" w:cs="Arial"/>
          <w:i/>
          <w:iCs/>
          <w:sz w:val="22"/>
          <w:szCs w:val="22"/>
        </w:rPr>
        <w:t>30</w:t>
      </w:r>
      <w:r w:rsidRPr="000F2E30">
        <w:rPr>
          <w:rFonts w:ascii="Arial" w:eastAsia="Arial" w:hAnsi="Arial" w:cs="Arial"/>
          <w:sz w:val="22"/>
          <w:szCs w:val="22"/>
        </w:rPr>
        <w:t xml:space="preserve">(6), </w:t>
      </w:r>
      <w:proofErr w:type="gramStart"/>
      <w:r w:rsidRPr="000F2E30">
        <w:rPr>
          <w:rFonts w:ascii="Arial" w:eastAsia="Arial" w:hAnsi="Arial" w:cs="Arial"/>
          <w:sz w:val="22"/>
          <w:szCs w:val="22"/>
        </w:rPr>
        <w:t>pp.e</w:t>
      </w:r>
      <w:proofErr w:type="gramEnd"/>
      <w:r w:rsidRPr="000F2E30">
        <w:rPr>
          <w:rFonts w:ascii="Arial" w:eastAsia="Arial" w:hAnsi="Arial" w:cs="Arial"/>
          <w:sz w:val="22"/>
          <w:szCs w:val="22"/>
        </w:rPr>
        <w:t>3328-e3341.</w:t>
      </w:r>
    </w:p>
    <w:p w14:paraId="5029D7E8" w14:textId="77777777" w:rsidR="000F2E30" w:rsidRPr="000F2E30" w:rsidRDefault="000F2E30" w:rsidP="000F2E30">
      <w:pPr>
        <w:spacing w:line="360" w:lineRule="auto"/>
        <w:jc w:val="both"/>
        <w:rPr>
          <w:rFonts w:ascii="Arial" w:eastAsia="Arial" w:hAnsi="Arial" w:cs="Arial"/>
          <w:sz w:val="22"/>
          <w:szCs w:val="22"/>
        </w:rPr>
      </w:pPr>
      <w:r w:rsidRPr="000F2E30">
        <w:rPr>
          <w:rFonts w:ascii="Arial" w:eastAsia="Arial" w:hAnsi="Arial" w:cs="Arial"/>
          <w:sz w:val="22"/>
          <w:szCs w:val="22"/>
        </w:rPr>
        <w:t xml:space="preserve">Bognar, G. and Hirose, I., 2022. </w:t>
      </w:r>
      <w:r w:rsidRPr="000F2E30">
        <w:rPr>
          <w:rFonts w:ascii="Arial" w:eastAsia="Arial" w:hAnsi="Arial" w:cs="Arial"/>
          <w:i/>
          <w:iCs/>
          <w:sz w:val="22"/>
          <w:szCs w:val="22"/>
        </w:rPr>
        <w:t>The ethics of health care rationing: an introduction</w:t>
      </w:r>
      <w:r w:rsidRPr="000F2E30">
        <w:rPr>
          <w:rFonts w:ascii="Arial" w:eastAsia="Arial" w:hAnsi="Arial" w:cs="Arial"/>
          <w:sz w:val="22"/>
          <w:szCs w:val="22"/>
        </w:rPr>
        <w:t>. Routledge.</w:t>
      </w:r>
    </w:p>
    <w:p w14:paraId="704CC82E" w14:textId="77777777" w:rsidR="000F2E30" w:rsidRPr="000F2E30" w:rsidRDefault="000F2E30" w:rsidP="000F2E30">
      <w:pPr>
        <w:spacing w:line="360" w:lineRule="auto"/>
        <w:jc w:val="both"/>
        <w:rPr>
          <w:rFonts w:ascii="Arial" w:eastAsia="Arial" w:hAnsi="Arial" w:cs="Arial"/>
          <w:sz w:val="22"/>
          <w:szCs w:val="22"/>
        </w:rPr>
      </w:pPr>
      <w:r w:rsidRPr="000F2E30">
        <w:rPr>
          <w:rFonts w:ascii="Arial" w:eastAsia="Arial" w:hAnsi="Arial" w:cs="Arial"/>
          <w:sz w:val="22"/>
          <w:szCs w:val="22"/>
        </w:rPr>
        <w:t xml:space="preserve">Burley, G. and Arai, L., 2023. Ethics and ethical dilemmas in health and social care. In </w:t>
      </w:r>
      <w:r w:rsidRPr="000F2E30">
        <w:rPr>
          <w:rFonts w:ascii="Arial" w:eastAsia="Arial" w:hAnsi="Arial" w:cs="Arial"/>
          <w:i/>
          <w:iCs/>
          <w:sz w:val="22"/>
          <w:szCs w:val="22"/>
        </w:rPr>
        <w:t>Foundations for 21st-Century Health and Social Care</w:t>
      </w:r>
      <w:r w:rsidRPr="000F2E30">
        <w:rPr>
          <w:rFonts w:ascii="Arial" w:eastAsia="Arial" w:hAnsi="Arial" w:cs="Arial"/>
          <w:sz w:val="22"/>
          <w:szCs w:val="22"/>
        </w:rPr>
        <w:t xml:space="preserve"> (pp. 188-199). Routledge.</w:t>
      </w:r>
    </w:p>
    <w:p w14:paraId="4CA871F0" w14:textId="77777777" w:rsidR="000F2E30" w:rsidRPr="000F2E30" w:rsidRDefault="000F2E30" w:rsidP="000F2E30">
      <w:pPr>
        <w:spacing w:line="360" w:lineRule="auto"/>
        <w:jc w:val="both"/>
        <w:rPr>
          <w:rFonts w:ascii="Arial" w:eastAsia="Arial" w:hAnsi="Arial" w:cs="Arial"/>
          <w:sz w:val="22"/>
          <w:szCs w:val="22"/>
        </w:rPr>
      </w:pPr>
      <w:r w:rsidRPr="000F2E30">
        <w:rPr>
          <w:rFonts w:ascii="Arial" w:eastAsia="Arial" w:hAnsi="Arial" w:cs="Arial"/>
          <w:sz w:val="22"/>
          <w:szCs w:val="22"/>
        </w:rPr>
        <w:t xml:space="preserve">Corbett, T., 2023. Person-centred care: A paramount concept in health and social care. In </w:t>
      </w:r>
      <w:r w:rsidRPr="000F2E30">
        <w:rPr>
          <w:rFonts w:ascii="Arial" w:eastAsia="Arial" w:hAnsi="Arial" w:cs="Arial"/>
          <w:i/>
          <w:iCs/>
          <w:sz w:val="22"/>
          <w:szCs w:val="22"/>
        </w:rPr>
        <w:t>Foundations for 21st-Century Health and Social Care</w:t>
      </w:r>
      <w:r w:rsidRPr="000F2E30">
        <w:rPr>
          <w:rFonts w:ascii="Arial" w:eastAsia="Arial" w:hAnsi="Arial" w:cs="Arial"/>
          <w:sz w:val="22"/>
          <w:szCs w:val="22"/>
        </w:rPr>
        <w:t xml:space="preserve"> (pp. 156-174). Routledge.</w:t>
      </w:r>
    </w:p>
    <w:p w14:paraId="7527ED4F" w14:textId="77777777" w:rsidR="000F2E30" w:rsidRPr="000F2E30" w:rsidRDefault="000F2E30" w:rsidP="000F2E30">
      <w:pPr>
        <w:spacing w:line="360" w:lineRule="auto"/>
        <w:jc w:val="both"/>
        <w:rPr>
          <w:rFonts w:ascii="Arial" w:eastAsia="Arial" w:hAnsi="Arial" w:cs="Arial"/>
          <w:sz w:val="22"/>
          <w:szCs w:val="22"/>
        </w:rPr>
      </w:pPr>
      <w:r w:rsidRPr="000F2E30">
        <w:rPr>
          <w:rFonts w:ascii="Arial" w:eastAsia="Arial" w:hAnsi="Arial" w:cs="Arial"/>
          <w:sz w:val="22"/>
          <w:szCs w:val="22"/>
        </w:rPr>
        <w:t xml:space="preserve">De Poli, C. and </w:t>
      </w:r>
      <w:proofErr w:type="spellStart"/>
      <w:r w:rsidRPr="000F2E30">
        <w:rPr>
          <w:rFonts w:ascii="Arial" w:eastAsia="Arial" w:hAnsi="Arial" w:cs="Arial"/>
          <w:sz w:val="22"/>
          <w:szCs w:val="22"/>
        </w:rPr>
        <w:t>Oyebode</w:t>
      </w:r>
      <w:proofErr w:type="spellEnd"/>
      <w:r w:rsidRPr="000F2E30">
        <w:rPr>
          <w:rFonts w:ascii="Arial" w:eastAsia="Arial" w:hAnsi="Arial" w:cs="Arial"/>
          <w:sz w:val="22"/>
          <w:szCs w:val="22"/>
        </w:rPr>
        <w:t xml:space="preserve">, J., 2023. Research ethics and collaborative research in health and social care: analysis of UK research ethics policies, scoping review of the literature, and focus group study. </w:t>
      </w:r>
      <w:proofErr w:type="spellStart"/>
      <w:r w:rsidRPr="000F2E30">
        <w:rPr>
          <w:rFonts w:ascii="Arial" w:eastAsia="Arial" w:hAnsi="Arial" w:cs="Arial"/>
          <w:i/>
          <w:iCs/>
          <w:sz w:val="22"/>
          <w:szCs w:val="22"/>
        </w:rPr>
        <w:t>Plos</w:t>
      </w:r>
      <w:proofErr w:type="spellEnd"/>
      <w:r w:rsidRPr="000F2E30">
        <w:rPr>
          <w:rFonts w:ascii="Arial" w:eastAsia="Arial" w:hAnsi="Arial" w:cs="Arial"/>
          <w:i/>
          <w:iCs/>
          <w:sz w:val="22"/>
          <w:szCs w:val="22"/>
        </w:rPr>
        <w:t xml:space="preserve"> one</w:t>
      </w:r>
      <w:r w:rsidRPr="000F2E30">
        <w:rPr>
          <w:rFonts w:ascii="Arial" w:eastAsia="Arial" w:hAnsi="Arial" w:cs="Arial"/>
          <w:sz w:val="22"/>
          <w:szCs w:val="22"/>
        </w:rPr>
        <w:t xml:space="preserve">, </w:t>
      </w:r>
      <w:r w:rsidRPr="000F2E30">
        <w:rPr>
          <w:rFonts w:ascii="Arial" w:eastAsia="Arial" w:hAnsi="Arial" w:cs="Arial"/>
          <w:i/>
          <w:iCs/>
          <w:sz w:val="22"/>
          <w:szCs w:val="22"/>
        </w:rPr>
        <w:t>18</w:t>
      </w:r>
      <w:r w:rsidRPr="000F2E30">
        <w:rPr>
          <w:rFonts w:ascii="Arial" w:eastAsia="Arial" w:hAnsi="Arial" w:cs="Arial"/>
          <w:sz w:val="22"/>
          <w:szCs w:val="22"/>
        </w:rPr>
        <w:t>(12), p.e0296223.</w:t>
      </w:r>
    </w:p>
    <w:p w14:paraId="17C7E9D6" w14:textId="77777777" w:rsidR="000F2E30" w:rsidRPr="000F2E30" w:rsidRDefault="000F2E30" w:rsidP="000F2E30">
      <w:pPr>
        <w:spacing w:line="360" w:lineRule="auto"/>
        <w:jc w:val="both"/>
        <w:rPr>
          <w:rFonts w:ascii="Arial" w:eastAsia="Arial" w:hAnsi="Arial" w:cs="Arial"/>
          <w:sz w:val="22"/>
          <w:szCs w:val="22"/>
        </w:rPr>
      </w:pPr>
      <w:r w:rsidRPr="000F2E30">
        <w:rPr>
          <w:rFonts w:ascii="Arial" w:eastAsia="Arial" w:hAnsi="Arial" w:cs="Arial"/>
          <w:sz w:val="22"/>
          <w:szCs w:val="22"/>
        </w:rPr>
        <w:t xml:space="preserve">El Khatib, M., </w:t>
      </w:r>
      <w:proofErr w:type="spellStart"/>
      <w:r w:rsidRPr="000F2E30">
        <w:rPr>
          <w:rFonts w:ascii="Arial" w:eastAsia="Arial" w:hAnsi="Arial" w:cs="Arial"/>
          <w:sz w:val="22"/>
          <w:szCs w:val="22"/>
        </w:rPr>
        <w:t>Kherbash</w:t>
      </w:r>
      <w:proofErr w:type="spellEnd"/>
      <w:r w:rsidRPr="000F2E30">
        <w:rPr>
          <w:rFonts w:ascii="Arial" w:eastAsia="Arial" w:hAnsi="Arial" w:cs="Arial"/>
          <w:sz w:val="22"/>
          <w:szCs w:val="22"/>
        </w:rPr>
        <w:t xml:space="preserve">, A., Al Qassimi, A. and Al Mheiri, K., 2022. How can collaborative work and collaborative systems drive operational excellence in project </w:t>
      </w:r>
      <w:proofErr w:type="gramStart"/>
      <w:r w:rsidRPr="000F2E30">
        <w:rPr>
          <w:rFonts w:ascii="Arial" w:eastAsia="Arial" w:hAnsi="Arial" w:cs="Arial"/>
          <w:sz w:val="22"/>
          <w:szCs w:val="22"/>
        </w:rPr>
        <w:t>management?.</w:t>
      </w:r>
      <w:proofErr w:type="gramEnd"/>
      <w:r w:rsidRPr="000F2E30">
        <w:rPr>
          <w:rFonts w:ascii="Arial" w:eastAsia="Arial" w:hAnsi="Arial" w:cs="Arial"/>
          <w:sz w:val="22"/>
          <w:szCs w:val="22"/>
        </w:rPr>
        <w:t xml:space="preserve"> </w:t>
      </w:r>
      <w:r w:rsidRPr="000F2E30">
        <w:rPr>
          <w:rFonts w:ascii="Arial" w:eastAsia="Arial" w:hAnsi="Arial" w:cs="Arial"/>
          <w:i/>
          <w:iCs/>
          <w:sz w:val="22"/>
          <w:szCs w:val="22"/>
        </w:rPr>
        <w:t>Journal of Service Science and Management</w:t>
      </w:r>
      <w:r w:rsidRPr="000F2E30">
        <w:rPr>
          <w:rFonts w:ascii="Arial" w:eastAsia="Arial" w:hAnsi="Arial" w:cs="Arial"/>
          <w:sz w:val="22"/>
          <w:szCs w:val="22"/>
        </w:rPr>
        <w:t xml:space="preserve">, </w:t>
      </w:r>
      <w:r w:rsidRPr="000F2E30">
        <w:rPr>
          <w:rFonts w:ascii="Arial" w:eastAsia="Arial" w:hAnsi="Arial" w:cs="Arial"/>
          <w:i/>
          <w:iCs/>
          <w:sz w:val="22"/>
          <w:szCs w:val="22"/>
        </w:rPr>
        <w:t>15</w:t>
      </w:r>
      <w:r w:rsidRPr="000F2E30">
        <w:rPr>
          <w:rFonts w:ascii="Arial" w:eastAsia="Arial" w:hAnsi="Arial" w:cs="Arial"/>
          <w:sz w:val="22"/>
          <w:szCs w:val="22"/>
        </w:rPr>
        <w:t>(3), pp.297-307.</w:t>
      </w:r>
    </w:p>
    <w:p w14:paraId="6B626D36" w14:textId="77777777" w:rsidR="000F2E30" w:rsidRPr="000F2E30" w:rsidRDefault="000F2E30" w:rsidP="000F2E30">
      <w:pPr>
        <w:spacing w:line="360" w:lineRule="auto"/>
        <w:jc w:val="both"/>
        <w:rPr>
          <w:rFonts w:ascii="Arial" w:eastAsia="Arial" w:hAnsi="Arial" w:cs="Arial"/>
          <w:sz w:val="22"/>
          <w:szCs w:val="22"/>
        </w:rPr>
      </w:pPr>
      <w:r w:rsidRPr="000F2E30">
        <w:rPr>
          <w:rFonts w:ascii="Arial" w:eastAsia="Arial" w:hAnsi="Arial" w:cs="Arial"/>
          <w:sz w:val="22"/>
          <w:szCs w:val="22"/>
        </w:rPr>
        <w:t xml:space="preserve">Glasby, J., 2026. Understanding health and social care. In </w:t>
      </w:r>
      <w:r w:rsidRPr="000F2E30">
        <w:rPr>
          <w:rFonts w:ascii="Arial" w:eastAsia="Arial" w:hAnsi="Arial" w:cs="Arial"/>
          <w:i/>
          <w:iCs/>
          <w:sz w:val="22"/>
          <w:szCs w:val="22"/>
        </w:rPr>
        <w:t>Understanding Health and Social Care</w:t>
      </w:r>
      <w:r w:rsidRPr="000F2E30">
        <w:rPr>
          <w:rFonts w:ascii="Arial" w:eastAsia="Arial" w:hAnsi="Arial" w:cs="Arial"/>
          <w:sz w:val="22"/>
          <w:szCs w:val="22"/>
        </w:rPr>
        <w:t>. Policy Press.</w:t>
      </w:r>
    </w:p>
    <w:p w14:paraId="3A04B2D8" w14:textId="77777777" w:rsidR="000F2E30" w:rsidRPr="000F2E30" w:rsidRDefault="000F2E30" w:rsidP="000F2E30">
      <w:pPr>
        <w:spacing w:line="360" w:lineRule="auto"/>
        <w:jc w:val="both"/>
        <w:rPr>
          <w:rFonts w:ascii="Arial" w:eastAsia="Arial" w:hAnsi="Arial" w:cs="Arial"/>
          <w:sz w:val="22"/>
          <w:szCs w:val="22"/>
        </w:rPr>
      </w:pPr>
      <w:r w:rsidRPr="000F2E30">
        <w:rPr>
          <w:rFonts w:ascii="Arial" w:eastAsia="Arial" w:hAnsi="Arial" w:cs="Arial"/>
          <w:sz w:val="22"/>
          <w:szCs w:val="22"/>
        </w:rPr>
        <w:t>Hodge, G., Byng, R., Page, G., Lang, I. and Pearce, S., 2024. A Multiple Case Study Exploring Person</w:t>
      </w:r>
      <w:r w:rsidRPr="000F2E30">
        <w:rPr>
          <w:rFonts w:ascii="Cambria Math" w:eastAsia="Arial" w:hAnsi="Cambria Math" w:cs="Cambria Math"/>
          <w:sz w:val="22"/>
          <w:szCs w:val="22"/>
        </w:rPr>
        <w:t>‐</w:t>
      </w:r>
      <w:r w:rsidRPr="000F2E30">
        <w:rPr>
          <w:rFonts w:ascii="Arial" w:eastAsia="Arial" w:hAnsi="Arial" w:cs="Arial"/>
          <w:sz w:val="22"/>
          <w:szCs w:val="22"/>
        </w:rPr>
        <w:t xml:space="preserve">Centred Care in Care Homes. </w:t>
      </w:r>
      <w:r w:rsidRPr="000F2E30">
        <w:rPr>
          <w:rFonts w:ascii="Arial" w:eastAsia="Arial" w:hAnsi="Arial" w:cs="Arial"/>
          <w:i/>
          <w:iCs/>
          <w:sz w:val="22"/>
          <w:szCs w:val="22"/>
        </w:rPr>
        <w:t>Health &amp; Social Care in the Community</w:t>
      </w:r>
      <w:r w:rsidRPr="000F2E30">
        <w:rPr>
          <w:rFonts w:ascii="Arial" w:eastAsia="Arial" w:hAnsi="Arial" w:cs="Arial"/>
          <w:sz w:val="22"/>
          <w:szCs w:val="22"/>
        </w:rPr>
        <w:t xml:space="preserve">, </w:t>
      </w:r>
      <w:r w:rsidRPr="000F2E30">
        <w:rPr>
          <w:rFonts w:ascii="Arial" w:eastAsia="Arial" w:hAnsi="Arial" w:cs="Arial"/>
          <w:i/>
          <w:iCs/>
          <w:sz w:val="22"/>
          <w:szCs w:val="22"/>
        </w:rPr>
        <w:t>2024</w:t>
      </w:r>
      <w:r w:rsidRPr="000F2E30">
        <w:rPr>
          <w:rFonts w:ascii="Arial" w:eastAsia="Arial" w:hAnsi="Arial" w:cs="Arial"/>
          <w:sz w:val="22"/>
          <w:szCs w:val="22"/>
        </w:rPr>
        <w:t>(1), p.9888828.</w:t>
      </w:r>
    </w:p>
    <w:p w14:paraId="614DD69E" w14:textId="77777777" w:rsidR="000F2E30" w:rsidRPr="000F2E30" w:rsidRDefault="000F2E30" w:rsidP="000F2E30">
      <w:pPr>
        <w:spacing w:line="360" w:lineRule="auto"/>
        <w:jc w:val="both"/>
        <w:rPr>
          <w:rFonts w:ascii="Arial" w:eastAsia="Arial" w:hAnsi="Arial" w:cs="Arial"/>
          <w:sz w:val="22"/>
          <w:szCs w:val="22"/>
        </w:rPr>
      </w:pPr>
      <w:r w:rsidRPr="000F2E30">
        <w:rPr>
          <w:rFonts w:ascii="Arial" w:eastAsia="Arial" w:hAnsi="Arial" w:cs="Arial"/>
          <w:sz w:val="22"/>
          <w:szCs w:val="22"/>
        </w:rPr>
        <w:t xml:space="preserve">Kelsall-Knight, L. and Stevens, R., 2024. Exploring the implementation of person-centred care in nursing practice. </w:t>
      </w:r>
      <w:r w:rsidRPr="000F2E30">
        <w:rPr>
          <w:rFonts w:ascii="Arial" w:eastAsia="Arial" w:hAnsi="Arial" w:cs="Arial"/>
          <w:i/>
          <w:iCs/>
          <w:sz w:val="22"/>
          <w:szCs w:val="22"/>
        </w:rPr>
        <w:t>Nurs Stand</w:t>
      </w:r>
      <w:r w:rsidRPr="000F2E30">
        <w:rPr>
          <w:rFonts w:ascii="Arial" w:eastAsia="Arial" w:hAnsi="Arial" w:cs="Arial"/>
          <w:sz w:val="22"/>
          <w:szCs w:val="22"/>
        </w:rPr>
        <w:t xml:space="preserve">, </w:t>
      </w:r>
      <w:r w:rsidRPr="000F2E30">
        <w:rPr>
          <w:rFonts w:ascii="Arial" w:eastAsia="Arial" w:hAnsi="Arial" w:cs="Arial"/>
          <w:i/>
          <w:iCs/>
          <w:sz w:val="22"/>
          <w:szCs w:val="22"/>
        </w:rPr>
        <w:t>39</w:t>
      </w:r>
      <w:r w:rsidRPr="000F2E30">
        <w:rPr>
          <w:rFonts w:ascii="Arial" w:eastAsia="Arial" w:hAnsi="Arial" w:cs="Arial"/>
          <w:sz w:val="22"/>
          <w:szCs w:val="22"/>
        </w:rPr>
        <w:t>(1), pp.70-5.</w:t>
      </w:r>
    </w:p>
    <w:p w14:paraId="022F568D" w14:textId="77777777" w:rsidR="000F2E30" w:rsidRPr="000F2E30" w:rsidRDefault="000F2E30" w:rsidP="000F2E30">
      <w:pPr>
        <w:spacing w:line="360" w:lineRule="auto"/>
        <w:jc w:val="both"/>
        <w:rPr>
          <w:rFonts w:ascii="Arial" w:eastAsia="Arial" w:hAnsi="Arial" w:cs="Arial"/>
          <w:sz w:val="22"/>
          <w:szCs w:val="22"/>
        </w:rPr>
      </w:pPr>
      <w:r w:rsidRPr="000F2E30">
        <w:rPr>
          <w:rFonts w:ascii="Arial" w:eastAsia="Arial" w:hAnsi="Arial" w:cs="Arial"/>
          <w:sz w:val="22"/>
          <w:szCs w:val="22"/>
        </w:rPr>
        <w:t xml:space="preserve">Morse, D.F., Sandhu, S., Mulligan, K., Tierney, S., Polley, M., Chiva Giurca, B., Slade, S., Dias, S., Mahtani, K.R., Wells, L. and Wang, H., 2022. Global developments in social prescribing. </w:t>
      </w:r>
      <w:r w:rsidRPr="000F2E30">
        <w:rPr>
          <w:rFonts w:ascii="Arial" w:eastAsia="Arial" w:hAnsi="Arial" w:cs="Arial"/>
          <w:i/>
          <w:iCs/>
          <w:sz w:val="22"/>
          <w:szCs w:val="22"/>
        </w:rPr>
        <w:t>BMJ global health</w:t>
      </w:r>
      <w:r w:rsidRPr="000F2E30">
        <w:rPr>
          <w:rFonts w:ascii="Arial" w:eastAsia="Arial" w:hAnsi="Arial" w:cs="Arial"/>
          <w:sz w:val="22"/>
          <w:szCs w:val="22"/>
        </w:rPr>
        <w:t xml:space="preserve">, </w:t>
      </w:r>
      <w:r w:rsidRPr="000F2E30">
        <w:rPr>
          <w:rFonts w:ascii="Arial" w:eastAsia="Arial" w:hAnsi="Arial" w:cs="Arial"/>
          <w:i/>
          <w:iCs/>
          <w:sz w:val="22"/>
          <w:szCs w:val="22"/>
        </w:rPr>
        <w:t>7</w:t>
      </w:r>
      <w:r w:rsidRPr="000F2E30">
        <w:rPr>
          <w:rFonts w:ascii="Arial" w:eastAsia="Arial" w:hAnsi="Arial" w:cs="Arial"/>
          <w:sz w:val="22"/>
          <w:szCs w:val="22"/>
        </w:rPr>
        <w:t>(5), p.e008524.</w:t>
      </w:r>
    </w:p>
    <w:p w14:paraId="6D1808F5" w14:textId="77777777" w:rsidR="000F2E30" w:rsidRPr="000F2E30" w:rsidRDefault="000F2E30" w:rsidP="000F2E30">
      <w:pPr>
        <w:spacing w:line="360" w:lineRule="auto"/>
        <w:jc w:val="both"/>
        <w:rPr>
          <w:rFonts w:ascii="Arial" w:eastAsia="Arial" w:hAnsi="Arial" w:cs="Arial"/>
          <w:sz w:val="22"/>
          <w:szCs w:val="22"/>
        </w:rPr>
      </w:pPr>
      <w:r w:rsidRPr="000F2E30">
        <w:rPr>
          <w:rFonts w:ascii="Arial" w:eastAsia="Arial" w:hAnsi="Arial" w:cs="Arial"/>
          <w:sz w:val="22"/>
          <w:szCs w:val="22"/>
        </w:rPr>
        <w:t xml:space="preserve">Rowe, G., 2023. Practising values and ethics in health and care settings. </w:t>
      </w:r>
      <w:r w:rsidRPr="000F2E30">
        <w:rPr>
          <w:rFonts w:ascii="Arial" w:eastAsia="Arial" w:hAnsi="Arial" w:cs="Arial"/>
          <w:i/>
          <w:iCs/>
          <w:sz w:val="22"/>
          <w:szCs w:val="22"/>
        </w:rPr>
        <w:t xml:space="preserve">The handbook for nursing associates and assistant practitioners. 3rd </w:t>
      </w:r>
      <w:proofErr w:type="spellStart"/>
      <w:r w:rsidRPr="000F2E30">
        <w:rPr>
          <w:rFonts w:ascii="Arial" w:eastAsia="Arial" w:hAnsi="Arial" w:cs="Arial"/>
          <w:i/>
          <w:iCs/>
          <w:sz w:val="22"/>
          <w:szCs w:val="22"/>
        </w:rPr>
        <w:t>edn</w:t>
      </w:r>
      <w:proofErr w:type="spellEnd"/>
      <w:r w:rsidRPr="000F2E30">
        <w:rPr>
          <w:rFonts w:ascii="Arial" w:eastAsia="Arial" w:hAnsi="Arial" w:cs="Arial"/>
          <w:i/>
          <w:iCs/>
          <w:sz w:val="22"/>
          <w:szCs w:val="22"/>
        </w:rPr>
        <w:t>. London: Sage</w:t>
      </w:r>
      <w:r w:rsidRPr="000F2E30">
        <w:rPr>
          <w:rFonts w:ascii="Arial" w:eastAsia="Arial" w:hAnsi="Arial" w:cs="Arial"/>
          <w:sz w:val="22"/>
          <w:szCs w:val="22"/>
        </w:rPr>
        <w:t>, pp.82-107.</w:t>
      </w:r>
    </w:p>
    <w:p w14:paraId="4E1C7F83" w14:textId="77777777" w:rsidR="000F2E30" w:rsidRPr="000F2E30" w:rsidRDefault="000F2E30" w:rsidP="000F2E30">
      <w:pPr>
        <w:spacing w:line="360" w:lineRule="auto"/>
        <w:jc w:val="both"/>
        <w:rPr>
          <w:rFonts w:ascii="Arial" w:eastAsia="Arial" w:hAnsi="Arial" w:cs="Arial"/>
          <w:sz w:val="22"/>
          <w:szCs w:val="22"/>
        </w:rPr>
      </w:pPr>
      <w:proofErr w:type="spellStart"/>
      <w:r w:rsidRPr="000F2E30">
        <w:rPr>
          <w:rFonts w:ascii="Arial" w:eastAsia="Arial" w:hAnsi="Arial" w:cs="Arial"/>
          <w:sz w:val="22"/>
          <w:szCs w:val="22"/>
        </w:rPr>
        <w:t>Wampold</w:t>
      </w:r>
      <w:proofErr w:type="spellEnd"/>
      <w:r w:rsidRPr="000F2E30">
        <w:rPr>
          <w:rFonts w:ascii="Arial" w:eastAsia="Arial" w:hAnsi="Arial" w:cs="Arial"/>
          <w:sz w:val="22"/>
          <w:szCs w:val="22"/>
        </w:rPr>
        <w:t xml:space="preserve">, B.E. and </w:t>
      </w:r>
      <w:proofErr w:type="spellStart"/>
      <w:r w:rsidRPr="000F2E30">
        <w:rPr>
          <w:rFonts w:ascii="Arial" w:eastAsia="Arial" w:hAnsi="Arial" w:cs="Arial"/>
          <w:sz w:val="22"/>
          <w:szCs w:val="22"/>
        </w:rPr>
        <w:t>Flückiger</w:t>
      </w:r>
      <w:proofErr w:type="spellEnd"/>
      <w:r w:rsidRPr="000F2E30">
        <w:rPr>
          <w:rFonts w:ascii="Arial" w:eastAsia="Arial" w:hAnsi="Arial" w:cs="Arial"/>
          <w:sz w:val="22"/>
          <w:szCs w:val="22"/>
        </w:rPr>
        <w:t xml:space="preserve">, C., 2023. The alliance in mental health care: conceptualization, evidence and clinical applications. </w:t>
      </w:r>
      <w:r w:rsidRPr="000F2E30">
        <w:rPr>
          <w:rFonts w:ascii="Arial" w:eastAsia="Arial" w:hAnsi="Arial" w:cs="Arial"/>
          <w:i/>
          <w:iCs/>
          <w:sz w:val="22"/>
          <w:szCs w:val="22"/>
        </w:rPr>
        <w:t>World Psychiatry</w:t>
      </w:r>
      <w:r w:rsidRPr="000F2E30">
        <w:rPr>
          <w:rFonts w:ascii="Arial" w:eastAsia="Arial" w:hAnsi="Arial" w:cs="Arial"/>
          <w:sz w:val="22"/>
          <w:szCs w:val="22"/>
        </w:rPr>
        <w:t xml:space="preserve">, </w:t>
      </w:r>
      <w:r w:rsidRPr="000F2E30">
        <w:rPr>
          <w:rFonts w:ascii="Arial" w:eastAsia="Arial" w:hAnsi="Arial" w:cs="Arial"/>
          <w:i/>
          <w:iCs/>
          <w:sz w:val="22"/>
          <w:szCs w:val="22"/>
        </w:rPr>
        <w:t>22</w:t>
      </w:r>
      <w:r w:rsidRPr="000F2E30">
        <w:rPr>
          <w:rFonts w:ascii="Arial" w:eastAsia="Arial" w:hAnsi="Arial" w:cs="Arial"/>
          <w:sz w:val="22"/>
          <w:szCs w:val="22"/>
        </w:rPr>
        <w:t>(1), pp.25-41.</w:t>
      </w:r>
    </w:p>
    <w:sectPr w:rsidR="000F2E30" w:rsidRPr="000F2E30">
      <w:footerReference w:type="default" r:id="rId1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2C7415" w14:textId="77777777" w:rsidR="006311F0" w:rsidRDefault="006311F0" w:rsidP="000F2E30">
      <w:pPr>
        <w:spacing w:after="0" w:line="240" w:lineRule="auto"/>
      </w:pPr>
      <w:r>
        <w:separator/>
      </w:r>
    </w:p>
  </w:endnote>
  <w:endnote w:type="continuationSeparator" w:id="0">
    <w:p w14:paraId="5762BD2B" w14:textId="77777777" w:rsidR="006311F0" w:rsidRDefault="006311F0" w:rsidP="000F2E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0060F4B3-0519-4BAA-985A-45AEB5C6F0EB}"/>
  </w:font>
  <w:font w:name="Calibri">
    <w:panose1 w:val="020F0502020204030204"/>
    <w:charset w:val="00"/>
    <w:family w:val="swiss"/>
    <w:pitch w:val="variable"/>
    <w:sig w:usb0="E4002EFF" w:usb1="C200247B" w:usb2="00000009" w:usb3="00000000" w:csb0="000001FF" w:csb1="00000000"/>
    <w:embedRegular r:id="rId2" w:fontKey="{FB32FF14-C79D-49C1-A323-595F4188E875}"/>
  </w:font>
  <w:font w:name="Cambria Math">
    <w:panose1 w:val="02040503050406030204"/>
    <w:charset w:val="00"/>
    <w:family w:val="roman"/>
    <w:pitch w:val="variable"/>
    <w:sig w:usb0="E00006FF" w:usb1="420024FF" w:usb2="02000000" w:usb3="00000000" w:csb0="0000019F" w:csb1="00000000"/>
    <w:embedRegular r:id="rId3" w:fontKey="{E0151DA8-BBC2-4897-B28A-B75505B65B0D}"/>
  </w:font>
  <w:font w:name="Cambria">
    <w:panose1 w:val="02040503050406030204"/>
    <w:charset w:val="00"/>
    <w:family w:val="roman"/>
    <w:pitch w:val="variable"/>
    <w:sig w:usb0="E00006FF" w:usb1="420024FF" w:usb2="02000000" w:usb3="00000000" w:csb0="0000019F" w:csb1="00000000"/>
    <w:embedRegular r:id="rId4" w:fontKey="{47DC5748-E632-4365-A102-F2B9938062B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9828306"/>
      <w:docPartObj>
        <w:docPartGallery w:val="Page Numbers (Bottom of Page)"/>
        <w:docPartUnique/>
      </w:docPartObj>
    </w:sdtPr>
    <w:sdtEndPr>
      <w:rPr>
        <w:noProof/>
      </w:rPr>
    </w:sdtEndPr>
    <w:sdtContent>
      <w:p w14:paraId="6A819F6D" w14:textId="3F4D282B" w:rsidR="000F2E30" w:rsidRDefault="000F2E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8C50DC" w14:textId="77777777" w:rsidR="000F2E30" w:rsidRDefault="000F2E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5802D1" w14:textId="77777777" w:rsidR="006311F0" w:rsidRDefault="006311F0" w:rsidP="000F2E30">
      <w:pPr>
        <w:spacing w:after="0" w:line="240" w:lineRule="auto"/>
      </w:pPr>
      <w:r>
        <w:separator/>
      </w:r>
    </w:p>
  </w:footnote>
  <w:footnote w:type="continuationSeparator" w:id="0">
    <w:p w14:paraId="603EA76B" w14:textId="77777777" w:rsidR="006311F0" w:rsidRDefault="006311F0" w:rsidP="000F2E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3B5A91"/>
    <w:multiLevelType w:val="hybridMultilevel"/>
    <w:tmpl w:val="5002B3B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230185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2396"/>
    <w:rsid w:val="000561AA"/>
    <w:rsid w:val="000F2E30"/>
    <w:rsid w:val="00352396"/>
    <w:rsid w:val="003C1128"/>
    <w:rsid w:val="00427FD3"/>
    <w:rsid w:val="006311F0"/>
    <w:rsid w:val="007E4C79"/>
    <w:rsid w:val="00924D7C"/>
    <w:rsid w:val="00C04C33"/>
    <w:rsid w:val="00D756EA"/>
    <w:rsid w:val="00F03E7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12FF5"/>
  <w15:docId w15:val="{598D0188-AF0F-46AC-A774-A51A3D2F8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F2E30"/>
    <w:pPr>
      <w:keepNext/>
      <w:keepLines/>
      <w:spacing w:before="480" w:after="120"/>
      <w:jc w:val="both"/>
      <w:outlineLvl w:val="0"/>
    </w:pPr>
    <w:rPr>
      <w:rFonts w:ascii="Arial" w:hAnsi="Arial"/>
      <w:b/>
      <w:bCs/>
      <w:sz w:val="32"/>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Header">
    <w:name w:val="header"/>
    <w:basedOn w:val="Normal"/>
    <w:link w:val="HeaderChar"/>
    <w:uiPriority w:val="99"/>
    <w:unhideWhenUsed/>
    <w:rsid w:val="000F2E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2E30"/>
  </w:style>
  <w:style w:type="paragraph" w:styleId="Footer">
    <w:name w:val="footer"/>
    <w:basedOn w:val="Normal"/>
    <w:link w:val="FooterChar"/>
    <w:uiPriority w:val="99"/>
    <w:unhideWhenUsed/>
    <w:rsid w:val="000F2E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2E30"/>
  </w:style>
  <w:style w:type="paragraph" w:styleId="ListParagraph">
    <w:name w:val="List Paragraph"/>
    <w:basedOn w:val="Normal"/>
    <w:uiPriority w:val="34"/>
    <w:qFormat/>
    <w:rsid w:val="000F2E30"/>
    <w:pPr>
      <w:ind w:left="720"/>
      <w:contextualSpacing/>
    </w:pPr>
  </w:style>
  <w:style w:type="paragraph" w:styleId="TOCHeading">
    <w:name w:val="TOC Heading"/>
    <w:basedOn w:val="Heading1"/>
    <w:next w:val="Normal"/>
    <w:uiPriority w:val="39"/>
    <w:unhideWhenUsed/>
    <w:qFormat/>
    <w:rsid w:val="000F2E30"/>
    <w:pPr>
      <w:spacing w:before="240" w:after="0" w:line="259" w:lineRule="auto"/>
      <w:jc w:val="left"/>
      <w:outlineLvl w:val="9"/>
    </w:pPr>
    <w:rPr>
      <w:rFonts w:asciiTheme="majorHAnsi" w:eastAsiaTheme="majorEastAsia" w:hAnsiTheme="majorHAnsi" w:cstheme="majorBidi"/>
      <w:b w:val="0"/>
      <w:bCs w:val="0"/>
      <w:color w:val="365F91" w:themeColor="accent1" w:themeShade="BF"/>
      <w:szCs w:val="32"/>
      <w:lang w:val="en-US" w:eastAsia="en-US"/>
    </w:rPr>
  </w:style>
  <w:style w:type="paragraph" w:styleId="TOC1">
    <w:name w:val="toc 1"/>
    <w:basedOn w:val="Normal"/>
    <w:next w:val="Normal"/>
    <w:autoRedefine/>
    <w:uiPriority w:val="39"/>
    <w:unhideWhenUsed/>
    <w:rsid w:val="000F2E30"/>
    <w:pPr>
      <w:spacing w:after="100"/>
    </w:pPr>
  </w:style>
  <w:style w:type="character" w:styleId="Hyperlink">
    <w:name w:val="Hyperlink"/>
    <w:basedOn w:val="DefaultParagraphFont"/>
    <w:uiPriority w:val="99"/>
    <w:unhideWhenUsed/>
    <w:rsid w:val="000F2E3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j4X2cl177VcnPk7+QViLfHqnhcA==">CgMxLjA4AHIhMVdIMndGSS1xQ1lVTE5tZHpQaVFRTnRFcFBtNmFUOWpp</go:docsCustomData>
</go:gDocsCustomXmlDataStorage>
</file>

<file path=customXml/itemProps1.xml><?xml version="1.0" encoding="utf-8"?>
<ds:datastoreItem xmlns:ds="http://schemas.openxmlformats.org/officeDocument/2006/customXml" ds:itemID="{788D2DD4-ED74-45FA-9390-924DCDC88145}">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2777</Words>
  <Characters>15835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Sheneya Akther Peya (2442413)</cp:lastModifiedBy>
  <cp:revision>2</cp:revision>
  <dcterms:created xsi:type="dcterms:W3CDTF">2026-07-25T12:56:00Z</dcterms:created>
  <dcterms:modified xsi:type="dcterms:W3CDTF">2026-07-25T12:56:00Z</dcterms:modified>
</cp:coreProperties>
</file>