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b/>
          <w:bCs/>
          <w:sz w:val="36"/>
          <w:szCs w:val="36"/>
          <w:u w:val="single"/>
          <w:lang w:val="en-GB"/>
        </w:rPr>
      </w:pPr>
      <w:r>
        <w:rPr>
          <w:b/>
          <w:bCs/>
          <w:sz w:val="36"/>
          <w:szCs w:val="36"/>
          <w:u w:val="single"/>
          <w:lang w:val="en-GB"/>
        </w:rPr>
        <w:t>Analyse the following extract from Hammurabi</w:t>
      </w:r>
      <w:r>
        <w:rPr>
          <w:rFonts w:hint="default"/>
          <w:b/>
          <w:bCs/>
          <w:sz w:val="36"/>
          <w:szCs w:val="36"/>
          <w:u w:val="single"/>
          <w:lang w:val="en-GB"/>
        </w:rPr>
        <w:t>’s Law Code. Consider what this text might tell us about the society in which it was created. You should consider the wider social, historical and archaeological context of the text: how was this text used, what was its message and who was its intended audience?</w:t>
      </w:r>
    </w:p>
    <w:p>
      <w:pPr>
        <w:rPr>
          <w:rFonts w:hint="default"/>
          <w:b/>
          <w:bCs/>
          <w:sz w:val="36"/>
          <w:szCs w:val="36"/>
          <w:u w:val="single"/>
          <w:lang w:val="en-GB"/>
        </w:rPr>
      </w:pPr>
    </w:p>
    <w:p>
      <w:pPr>
        <w:rPr>
          <w:rFonts w:hint="default"/>
          <w:b w:val="0"/>
          <w:bCs w:val="0"/>
          <w:sz w:val="28"/>
          <w:szCs w:val="28"/>
          <w:u w:val="none"/>
          <w:lang w:val="en-GB"/>
        </w:rPr>
      </w:pPr>
      <w:r>
        <w:rPr>
          <w:rFonts w:hint="default"/>
          <w:b w:val="0"/>
          <w:bCs w:val="0"/>
          <w:sz w:val="28"/>
          <w:szCs w:val="28"/>
          <w:u w:val="none"/>
          <w:lang w:val="en-GB"/>
        </w:rPr>
        <w:t>In this essay I will be talking about laws which specifically involve women in Ancient Mesopotamia. Owen Jarus tells us “The stele was found at the site of Susa, in modern day Iran.”</w:t>
      </w:r>
      <w:r>
        <w:rPr>
          <w:rStyle w:val="4"/>
          <w:rFonts w:hint="default"/>
          <w:b w:val="0"/>
          <w:bCs w:val="0"/>
          <w:sz w:val="28"/>
          <w:szCs w:val="28"/>
          <w:u w:val="none"/>
          <w:lang w:val="en-GB"/>
        </w:rPr>
        <w:footnoteReference w:id="0"/>
      </w:r>
      <w:r>
        <w:rPr>
          <w:rFonts w:hint="default"/>
          <w:b w:val="0"/>
          <w:bCs w:val="0"/>
          <w:sz w:val="28"/>
          <w:szCs w:val="28"/>
          <w:u w:val="none"/>
          <w:lang w:val="en-GB"/>
        </w:rPr>
        <w:t xml:space="preserve"> Owen Jarus also tells us the laws were “enacted by the Babylonian King Hammurabi (reign 1792-1750 BC).</w:t>
      </w:r>
      <w:bookmarkStart w:id="0" w:name="_GoBack"/>
      <w:bookmarkEnd w:id="0"/>
      <w:r>
        <w:rPr>
          <w:rFonts w:hint="default"/>
          <w:b w:val="0"/>
          <w:bCs w:val="0"/>
          <w:sz w:val="28"/>
          <w:szCs w:val="28"/>
          <w:u w:val="none"/>
          <w:lang w:val="en-GB"/>
        </w:rPr>
        <w:t>”</w:t>
      </w:r>
      <w:r>
        <w:rPr>
          <w:rStyle w:val="4"/>
          <w:rFonts w:hint="default"/>
          <w:b w:val="0"/>
          <w:bCs w:val="0"/>
          <w:sz w:val="28"/>
          <w:szCs w:val="28"/>
          <w:u w:val="none"/>
          <w:lang w:val="en-GB"/>
        </w:rPr>
        <w:footnoteReference w:id="1"/>
      </w:r>
      <w:r>
        <w:rPr>
          <w:rFonts w:hint="default"/>
          <w:b w:val="0"/>
          <w:bCs w:val="0"/>
          <w:sz w:val="28"/>
          <w:szCs w:val="28"/>
          <w:u w:val="none"/>
          <w:lang w:val="en-GB"/>
        </w:rPr>
        <w:t xml:space="preserve"> The Hammurabi law codes are law in which the men and women of Mesopotamia have to follow in their life. As with most laws the men or women who broke them suffered consequences. For example in the law it says; “if she have not been a careful mistress,have gadded about, and have neglected her house, and belittled her husband, they shall throw that woman into the water.”</w:t>
      </w:r>
      <w:r>
        <w:rPr>
          <w:rStyle w:val="4"/>
          <w:rFonts w:hint="default"/>
          <w:b w:val="0"/>
          <w:bCs w:val="0"/>
          <w:sz w:val="28"/>
          <w:szCs w:val="28"/>
          <w:u w:val="none"/>
          <w:lang w:val="en-GB"/>
        </w:rPr>
        <w:footnoteReference w:id="2"/>
      </w:r>
      <w:r>
        <w:rPr>
          <w:rFonts w:hint="default"/>
          <w:b w:val="0"/>
          <w:bCs w:val="0"/>
          <w:sz w:val="28"/>
          <w:szCs w:val="28"/>
          <w:u w:val="none"/>
          <w:lang w:val="en-GB"/>
        </w:rPr>
        <w:t xml:space="preserve"> This is an example of how women had consequences if they were not being a good wife to their husband if they were dismissive of their husband or if the women went around in search of pleasure. This quote also shows us that the people of Mesopotamia as a society were not very tolerant of miss behaviour. Another example of the Mesopotamian people not being tolerant of miss behaviour is also that men have to treat their wives with respect. In Hammurabi’s law code it states: “ if a woman hate her husband, and say “thou shalt not have me”, they shall inquire into her antecedents for her defects, and if she have been a careful mistress and be without reproach, and her husband have been going about and greatly belittling her, that woman has no blame. She shall receive her dowry and shall go to her father’s house.”</w:t>
      </w:r>
      <w:r>
        <w:rPr>
          <w:rStyle w:val="4"/>
          <w:rFonts w:hint="default"/>
          <w:b w:val="0"/>
          <w:bCs w:val="0"/>
          <w:sz w:val="28"/>
          <w:szCs w:val="28"/>
          <w:u w:val="none"/>
          <w:lang w:val="en-GB"/>
        </w:rPr>
        <w:footnoteReference w:id="3"/>
      </w:r>
      <w:r>
        <w:rPr>
          <w:rFonts w:hint="default"/>
          <w:b w:val="0"/>
          <w:bCs w:val="0"/>
          <w:sz w:val="28"/>
          <w:szCs w:val="28"/>
          <w:u w:val="none"/>
          <w:lang w:val="en-GB"/>
        </w:rPr>
        <w:t xml:space="preserve"> This shows that women also had to be treated with respect by their husband as they could divorce the man if they thought he was not treating her well enough.Although, they do have to investigate the woman’s claim before the woman is allowed to split with her husband. This shows that women do have some say in their marriage to a man. However, the punishment for a man mistreating his wife compared to a woman mistreating her husband is no where near as bad as men only have to give the dowry back to the woman when she goes back to live with her father whereas, a woman gets thrown into some water.</w:t>
      </w:r>
    </w:p>
    <w:p>
      <w:pPr>
        <w:rPr>
          <w:rFonts w:hint="default"/>
          <w:b w:val="0"/>
          <w:bCs w:val="0"/>
          <w:sz w:val="28"/>
          <w:szCs w:val="28"/>
          <w:u w:val="none"/>
          <w:lang w:val="en-GB"/>
        </w:rPr>
      </w:pPr>
    </w:p>
    <w:p>
      <w:pPr>
        <w:rPr>
          <w:rFonts w:hint="default"/>
          <w:b w:val="0"/>
          <w:bCs w:val="0"/>
          <w:sz w:val="28"/>
          <w:szCs w:val="28"/>
          <w:u w:val="none"/>
          <w:lang w:val="en-GB"/>
        </w:rPr>
      </w:pPr>
      <w:r>
        <w:rPr>
          <w:rFonts w:hint="default"/>
          <w:b w:val="0"/>
          <w:bCs w:val="0"/>
          <w:sz w:val="28"/>
          <w:szCs w:val="28"/>
          <w:u w:val="none"/>
          <w:lang w:val="en-GB"/>
        </w:rPr>
        <w:t>The Hammurabi laws also tell us “if a man set his face to put away a concubine who has born him children, or a wife who has presented him with children, he shall return to that woman her dowry and shall give to her an income of field, garden and goods, and she shall bring up her children.”</w:t>
      </w:r>
      <w:r>
        <w:rPr>
          <w:rStyle w:val="4"/>
          <w:rFonts w:hint="default"/>
          <w:b w:val="0"/>
          <w:bCs w:val="0"/>
          <w:sz w:val="28"/>
          <w:szCs w:val="28"/>
          <w:u w:val="none"/>
          <w:lang w:val="en-GB"/>
        </w:rPr>
        <w:footnoteReference w:id="4"/>
      </w:r>
      <w:r>
        <w:rPr>
          <w:rFonts w:hint="default"/>
          <w:b w:val="0"/>
          <w:bCs w:val="0"/>
          <w:sz w:val="28"/>
          <w:szCs w:val="28"/>
          <w:u w:val="none"/>
          <w:lang w:val="en-GB"/>
        </w:rPr>
        <w:t xml:space="preserve"> This shows that if a woman has had children with a man and then the man does not want to be with that woman any more the man has to give her food and a home so she is able to bring up the children she has. This shows that in Mesopotamian society men can not completely disregard any woman who has had children of his if he does not wish to be with that woman any more. It also shows that as a society they respect parenthood as the men have to make sure the woman has a house and food in order for them to be able to bring up her children.</w:t>
      </w:r>
    </w:p>
    <w:p>
      <w:pPr>
        <w:rPr>
          <w:rFonts w:hint="default"/>
          <w:b w:val="0"/>
          <w:bCs w:val="0"/>
          <w:sz w:val="28"/>
          <w:szCs w:val="28"/>
          <w:u w:val="none"/>
          <w:lang w:val="en-GB"/>
        </w:rPr>
      </w:pPr>
    </w:p>
    <w:p>
      <w:pPr>
        <w:rPr>
          <w:rFonts w:hint="default"/>
          <w:b w:val="0"/>
          <w:bCs w:val="0"/>
          <w:sz w:val="28"/>
          <w:szCs w:val="28"/>
          <w:u w:val="none"/>
          <w:lang w:val="en-GB"/>
        </w:rPr>
      </w:pPr>
      <w:r>
        <w:rPr>
          <w:rFonts w:hint="default"/>
          <w:b w:val="0"/>
          <w:bCs w:val="0"/>
          <w:sz w:val="28"/>
          <w:szCs w:val="28"/>
          <w:u w:val="none"/>
          <w:lang w:val="en-GB"/>
        </w:rPr>
        <w:t>There is a law in the code of Hammurabi which says: “if a man would put away his wife who has not borne him children, he shall give her money to the amount of her marriage settlement, and he should make good to her the dowry which she brought from her father’s house and then he may put her away.”</w:t>
      </w:r>
      <w:r>
        <w:rPr>
          <w:rStyle w:val="4"/>
          <w:rFonts w:hint="default"/>
          <w:b w:val="0"/>
          <w:bCs w:val="0"/>
          <w:sz w:val="28"/>
          <w:szCs w:val="28"/>
          <w:u w:val="none"/>
          <w:lang w:val="en-GB"/>
        </w:rPr>
        <w:footnoteReference w:id="5"/>
      </w:r>
      <w:r>
        <w:rPr>
          <w:rFonts w:hint="default"/>
          <w:b w:val="0"/>
          <w:bCs w:val="0"/>
          <w:sz w:val="28"/>
          <w:szCs w:val="28"/>
          <w:u w:val="none"/>
          <w:lang w:val="en-GB"/>
        </w:rPr>
        <w:t xml:space="preserve"> This shows that women in this society can not be left by a man without receiving any sort of payment or getting the money or dowry which was initially given to the man in the marriage back. We can also compare what a woman will receive from a man if she has had children with him or has not had any children with him and, we can infer that children were considered an important part of the Mesopotamian society as there is a clear difference in what a woman received if she was being left by her husband whom had children with than if she had no children with the husband.</w:t>
      </w:r>
    </w:p>
    <w:p>
      <w:pPr>
        <w:rPr>
          <w:rFonts w:hint="default"/>
          <w:b w:val="0"/>
          <w:bCs w:val="0"/>
          <w:sz w:val="28"/>
          <w:szCs w:val="28"/>
          <w:u w:val="none"/>
          <w:lang w:val="en-GB"/>
        </w:rPr>
      </w:pPr>
    </w:p>
    <w:p>
      <w:pPr>
        <w:rPr>
          <w:rFonts w:hint="default"/>
          <w:b w:val="0"/>
          <w:bCs w:val="0"/>
          <w:sz w:val="28"/>
          <w:szCs w:val="28"/>
          <w:u w:val="none"/>
          <w:lang w:val="en-GB"/>
        </w:rPr>
      </w:pPr>
      <w:r>
        <w:rPr>
          <w:rFonts w:hint="default"/>
          <w:b w:val="0"/>
          <w:bCs w:val="0"/>
          <w:sz w:val="28"/>
          <w:szCs w:val="28"/>
          <w:u w:val="none"/>
          <w:lang w:val="en-GB"/>
        </w:rPr>
        <w:t>Another law states: “if a man takes a wife and she becomes afflicted with disease, and if he set his face to take another, he may. His wife who is afflicted with disease, he shall not put away. She shall remain in the house which he has built and he shall maintain her as long as she lives.”</w:t>
      </w:r>
      <w:r>
        <w:rPr>
          <w:rStyle w:val="4"/>
          <w:rFonts w:hint="default"/>
          <w:b w:val="0"/>
          <w:bCs w:val="0"/>
          <w:sz w:val="28"/>
          <w:szCs w:val="28"/>
          <w:u w:val="none"/>
          <w:lang w:val="en-GB"/>
        </w:rPr>
        <w:footnoteReference w:id="6"/>
      </w:r>
      <w:r>
        <w:rPr>
          <w:rFonts w:hint="default"/>
          <w:b w:val="0"/>
          <w:bCs w:val="0"/>
          <w:sz w:val="28"/>
          <w:szCs w:val="28"/>
          <w:u w:val="none"/>
          <w:lang w:val="en-GB"/>
        </w:rPr>
        <w:t xml:space="preserve"> This law shows that women could not be discarded if they happened to become ill with a disease and the husband has to take care of her as long as she lives. Although the man may take another woman if he so wishes it shows women were seen more than property as the man had to look after the woman who became diseased.</w:t>
      </w:r>
    </w:p>
    <w:p>
      <w:pPr>
        <w:rPr>
          <w:rFonts w:hint="default"/>
          <w:b w:val="0"/>
          <w:bCs w:val="0"/>
          <w:sz w:val="28"/>
          <w:szCs w:val="28"/>
          <w:u w:val="none"/>
          <w:lang w:val="en-GB"/>
        </w:rPr>
      </w:pPr>
      <w:r>
        <w:rPr>
          <w:rFonts w:hint="default"/>
          <w:b w:val="0"/>
          <w:bCs w:val="0"/>
          <w:sz w:val="28"/>
          <w:szCs w:val="28"/>
          <w:u w:val="none"/>
          <w:lang w:val="en-GB"/>
        </w:rPr>
        <w:t>There is another law which states: “if a man take a wife and she give a maid servant to her husband and that maid servant bear children and afterwards take rank with her mistress,because she has borne children, her mistress may not sell her for money.”</w:t>
      </w:r>
      <w:r>
        <w:rPr>
          <w:rStyle w:val="4"/>
          <w:rFonts w:hint="default"/>
          <w:b w:val="0"/>
          <w:bCs w:val="0"/>
          <w:sz w:val="28"/>
          <w:szCs w:val="28"/>
          <w:u w:val="none"/>
          <w:lang w:val="en-GB"/>
        </w:rPr>
        <w:footnoteReference w:id="7"/>
      </w:r>
      <w:r>
        <w:rPr>
          <w:rFonts w:hint="default"/>
          <w:b w:val="0"/>
          <w:bCs w:val="0"/>
          <w:sz w:val="28"/>
          <w:szCs w:val="28"/>
          <w:u w:val="none"/>
          <w:lang w:val="en-GB"/>
        </w:rPr>
        <w:t xml:space="preserve"> This law also supports my point about women being seen as a little more than just property in the Mesopotamian society as they were in charge of maid servants and were able to gift them to their husband and sell them if she wished. This is proven by the next law which states “if she did not borne children, her mistress may sell her for money.”</w:t>
      </w:r>
      <w:r>
        <w:rPr>
          <w:rStyle w:val="4"/>
          <w:rFonts w:hint="default"/>
          <w:b w:val="0"/>
          <w:bCs w:val="0"/>
          <w:sz w:val="28"/>
          <w:szCs w:val="28"/>
          <w:u w:val="none"/>
          <w:lang w:val="en-GB"/>
        </w:rPr>
        <w:footnoteReference w:id="8"/>
      </w:r>
      <w:r>
        <w:rPr>
          <w:rFonts w:hint="default"/>
          <w:b w:val="0"/>
          <w:bCs w:val="0"/>
          <w:sz w:val="28"/>
          <w:szCs w:val="28"/>
          <w:u w:val="none"/>
          <w:lang w:val="en-GB"/>
        </w:rPr>
        <w:t xml:space="preserve"> This shows that as a society the Mesopotamians did allow women to have some form of authority within the household. It also supports my point earlier on in the essay about how children were important in society because if a maid-servant given to the husband by the wife bares a child of the husband the wife is no longer able to sell the maid-servant whereas if she bore no children the wife is still able to sell her.</w:t>
      </w:r>
    </w:p>
    <w:p>
      <w:pPr>
        <w:rPr>
          <w:rFonts w:hint="default"/>
          <w:b w:val="0"/>
          <w:bCs w:val="0"/>
          <w:sz w:val="28"/>
          <w:szCs w:val="28"/>
          <w:u w:val="none"/>
          <w:lang w:val="en-GB"/>
        </w:rPr>
      </w:pPr>
    </w:p>
    <w:p>
      <w:pPr>
        <w:rPr>
          <w:rFonts w:hint="default"/>
          <w:b w:val="0"/>
          <w:bCs w:val="0"/>
          <w:sz w:val="28"/>
          <w:szCs w:val="28"/>
          <w:u w:val="none"/>
          <w:lang w:val="en-GB"/>
        </w:rPr>
      </w:pPr>
      <w:r>
        <w:rPr>
          <w:rFonts w:hint="default"/>
          <w:b w:val="0"/>
          <w:bCs w:val="0"/>
          <w:sz w:val="28"/>
          <w:szCs w:val="28"/>
          <w:u w:val="none"/>
          <w:lang w:val="en-GB"/>
        </w:rPr>
        <w:t>James Wellard says “Subsequent laws seem to have been framed to protect women in a humane fashion, even though it is clear that their status was not much higher than that of the house-slaves.”</w:t>
      </w:r>
      <w:r>
        <w:rPr>
          <w:rStyle w:val="4"/>
          <w:rFonts w:hint="default"/>
          <w:b w:val="0"/>
          <w:bCs w:val="0"/>
          <w:sz w:val="28"/>
          <w:szCs w:val="28"/>
          <w:u w:val="none"/>
          <w:lang w:val="en-GB"/>
        </w:rPr>
        <w:footnoteReference w:id="9"/>
      </w:r>
      <w:r>
        <w:rPr>
          <w:rFonts w:hint="default"/>
          <w:b w:val="0"/>
          <w:bCs w:val="0"/>
          <w:sz w:val="28"/>
          <w:szCs w:val="28"/>
          <w:u w:val="none"/>
          <w:lang w:val="en-GB"/>
        </w:rPr>
        <w:t xml:space="preserve"> In his book this quote comes from a section where he is talking about marriage and divorce. In my opinion this quote can be applied to more than just the marriage and divorce laws as the women who became ill with a disease had to be looked after by the husband.</w:t>
      </w:r>
    </w:p>
    <w:p>
      <w:pPr>
        <w:rPr>
          <w:rFonts w:hint="default"/>
          <w:b w:val="0"/>
          <w:bCs w:val="0"/>
          <w:sz w:val="28"/>
          <w:szCs w:val="28"/>
          <w:u w:val="none"/>
          <w:lang w:val="en-GB"/>
        </w:rPr>
      </w:pPr>
      <w:r>
        <w:rPr>
          <w:rFonts w:hint="default"/>
          <w:b w:val="0"/>
          <w:bCs w:val="0"/>
          <w:sz w:val="28"/>
          <w:szCs w:val="28"/>
          <w:u w:val="none"/>
          <w:lang w:val="en-GB"/>
        </w:rPr>
        <w:t xml:space="preserve">Overall I think the Hammurabi law codes are a reliable source when looking at Mesopotamia because they have been written down on a stele for people to follow. They were designed to be their for a long time because they were put down onto a stele whereas, if they were on paper it would have been less likely to survive. By looking at these law we can definitely see women were considered inferior to men but they did have laws which meant women were not allowed to be mistreated.  </w:t>
      </w:r>
    </w:p>
    <w:p>
      <w:pPr>
        <w:rPr>
          <w:rFonts w:hint="default"/>
          <w:b w:val="0"/>
          <w:bCs w:val="0"/>
          <w:sz w:val="28"/>
          <w:szCs w:val="28"/>
          <w:u w:val="none"/>
          <w:lang w:val="en-GB"/>
        </w:rPr>
      </w:pPr>
    </w:p>
    <w:p>
      <w:pPr>
        <w:rPr>
          <w:rFonts w:hint="default"/>
          <w:b w:val="0"/>
          <w:bCs w:val="0"/>
          <w:sz w:val="28"/>
          <w:szCs w:val="28"/>
          <w:u w:val="none"/>
          <w:lang w:val="en-GB"/>
        </w:rPr>
      </w:pPr>
      <w:r>
        <w:rPr>
          <w:rFonts w:hint="default"/>
          <w:b w:val="0"/>
          <w:bCs w:val="0"/>
          <w:sz w:val="28"/>
          <w:szCs w:val="28"/>
          <w:u w:val="none"/>
          <w:lang w:val="en-GB"/>
        </w:rPr>
        <w:t xml:space="preserve"> </w:t>
      </w:r>
    </w:p>
    <w:p>
      <w:pPr>
        <w:rPr>
          <w:rFonts w:hint="default"/>
          <w:b w:val="0"/>
          <w:bCs w:val="0"/>
          <w:sz w:val="28"/>
          <w:szCs w:val="28"/>
          <w:u w:val="none"/>
          <w:lang w:val="en-GB"/>
        </w:rPr>
      </w:pPr>
    </w:p>
    <w:p>
      <w:pPr>
        <w:rPr>
          <w:rFonts w:hint="default"/>
          <w:b w:val="0"/>
          <w:bCs w:val="0"/>
          <w:sz w:val="28"/>
          <w:szCs w:val="28"/>
          <w:u w:val="none"/>
          <w:lang w:val="en-GB"/>
        </w:rPr>
      </w:pPr>
    </w:p>
    <w:p>
      <w:pPr>
        <w:rPr>
          <w:rFonts w:hint="default"/>
          <w:b w:val="0"/>
          <w:bCs w:val="0"/>
          <w:sz w:val="28"/>
          <w:szCs w:val="28"/>
          <w:u w:val="none"/>
          <w:lang w:val="en-GB"/>
        </w:rPr>
      </w:pPr>
    </w:p>
    <w:p>
      <w:pPr>
        <w:rPr>
          <w:rFonts w:hint="default"/>
          <w:b w:val="0"/>
          <w:bCs w:val="0"/>
          <w:sz w:val="28"/>
          <w:szCs w:val="28"/>
          <w:u w:val="none"/>
          <w:lang w:val="en-GB"/>
        </w:rPr>
      </w:pPr>
    </w:p>
    <w:p>
      <w:pPr>
        <w:rPr>
          <w:rFonts w:hint="default"/>
          <w:b/>
          <w:bCs/>
          <w:sz w:val="40"/>
          <w:szCs w:val="40"/>
          <w:u w:val="none"/>
          <w:lang w:val="en-GB"/>
        </w:rPr>
      </w:pPr>
      <w:r>
        <w:rPr>
          <w:rFonts w:hint="default"/>
          <w:b/>
          <w:bCs/>
          <w:sz w:val="40"/>
          <w:szCs w:val="40"/>
          <w:u w:val="none"/>
          <w:lang w:val="en-GB"/>
        </w:rPr>
        <w:t>Bibliography:</w:t>
      </w:r>
    </w:p>
    <w:p>
      <w:pPr>
        <w:rPr>
          <w:rFonts w:hint="default"/>
          <w:b/>
          <w:bCs/>
          <w:sz w:val="40"/>
          <w:szCs w:val="40"/>
          <w:u w:val="none"/>
          <w:lang w:val="en-GB"/>
        </w:rPr>
      </w:pPr>
    </w:p>
    <w:p>
      <w:pPr>
        <w:rPr>
          <w:rFonts w:hint="default"/>
          <w:b w:val="0"/>
          <w:bCs w:val="0"/>
          <w:sz w:val="28"/>
          <w:szCs w:val="28"/>
          <w:u w:val="none"/>
          <w:lang w:val="en-GB"/>
        </w:rPr>
      </w:pPr>
    </w:p>
    <w:p>
      <w:pPr>
        <w:numPr>
          <w:ilvl w:val="0"/>
          <w:numId w:val="1"/>
        </w:numPr>
        <w:rPr>
          <w:rFonts w:hint="default"/>
          <w:sz w:val="28"/>
          <w:szCs w:val="28"/>
          <w:lang w:val="en-GB"/>
        </w:rPr>
      </w:pPr>
      <w:r>
        <w:rPr>
          <w:sz w:val="28"/>
          <w:szCs w:val="28"/>
          <w:lang w:val="en-GB"/>
        </w:rPr>
        <w:t xml:space="preserve">Owen Jarus, 2013. Code of Hammurabi: Ancient Babylonian Laws, Livescience, Available from: </w:t>
      </w:r>
      <w:r>
        <w:rPr>
          <w:rFonts w:hint="default"/>
          <w:sz w:val="28"/>
          <w:szCs w:val="28"/>
          <w:lang w:val="en-GB"/>
        </w:rPr>
        <w:fldChar w:fldCharType="begin"/>
      </w:r>
      <w:r>
        <w:rPr>
          <w:rFonts w:hint="default"/>
          <w:sz w:val="28"/>
          <w:szCs w:val="28"/>
          <w:lang w:val="en-GB"/>
        </w:rPr>
        <w:instrText xml:space="preserve"> HYPERLINK "https://www.livescience.com/39393-code-of-hammurabi.html." </w:instrText>
      </w:r>
      <w:r>
        <w:rPr>
          <w:rFonts w:hint="default"/>
          <w:sz w:val="28"/>
          <w:szCs w:val="28"/>
          <w:lang w:val="en-GB"/>
        </w:rPr>
        <w:fldChar w:fldCharType="separate"/>
      </w:r>
      <w:r>
        <w:rPr>
          <w:rStyle w:val="5"/>
          <w:rFonts w:hint="default"/>
          <w:sz w:val="28"/>
          <w:szCs w:val="28"/>
          <w:lang w:val="en-GB"/>
        </w:rPr>
        <w:t>https://www.livescience.com/39393-code-of-hammurabi.html.</w:t>
      </w:r>
      <w:r>
        <w:rPr>
          <w:rFonts w:hint="default"/>
          <w:sz w:val="28"/>
          <w:szCs w:val="28"/>
          <w:lang w:val="en-GB"/>
        </w:rPr>
        <w:fldChar w:fldCharType="end"/>
      </w:r>
      <w:r>
        <w:rPr>
          <w:rFonts w:hint="default"/>
          <w:sz w:val="28"/>
          <w:szCs w:val="28"/>
          <w:lang w:val="en-GB"/>
        </w:rPr>
        <w:t xml:space="preserve"> Accessed: [14/11/2017]</w:t>
      </w:r>
    </w:p>
    <w:p>
      <w:pPr>
        <w:numPr>
          <w:ilvl w:val="0"/>
          <w:numId w:val="1"/>
        </w:numPr>
        <w:rPr>
          <w:rFonts w:hint="default"/>
          <w:sz w:val="28"/>
          <w:szCs w:val="28"/>
          <w:lang w:val="en-GB"/>
        </w:rPr>
      </w:pPr>
      <w:r>
        <w:rPr>
          <w:rFonts w:hint="default"/>
          <w:sz w:val="28"/>
          <w:szCs w:val="28"/>
          <w:lang w:val="en-GB"/>
        </w:rPr>
        <w:t>Wellard,J. 1972. By the waters of Babylon. London:Hutchinson</w:t>
      </w:r>
    </w:p>
    <w:p>
      <w:pPr>
        <w:rPr>
          <w:rFonts w:hint="default"/>
          <w:b w:val="0"/>
          <w:bCs w:val="0"/>
          <w:sz w:val="40"/>
          <w:szCs w:val="40"/>
          <w:u w:val="none"/>
          <w:lang w:val="en-GB"/>
        </w:rPr>
      </w:pPr>
    </w:p>
    <w:p>
      <w:pPr>
        <w:rPr>
          <w:rFonts w:hint="default"/>
          <w:b w:val="0"/>
          <w:bCs w:val="0"/>
          <w:sz w:val="40"/>
          <w:szCs w:val="40"/>
          <w:u w:val="none"/>
          <w:lang w:val="en-GB"/>
        </w:rPr>
      </w:pPr>
    </w:p>
    <w:p>
      <w:pPr>
        <w:rPr>
          <w:rFonts w:hint="default"/>
          <w:b w:val="0"/>
          <w:bCs w:val="0"/>
          <w:sz w:val="40"/>
          <w:szCs w:val="40"/>
          <w:u w:val="none"/>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2"/>
        <w:snapToGrid w:val="0"/>
      </w:pPr>
      <w:r>
        <w:rPr>
          <w:rStyle w:val="4"/>
        </w:rPr>
        <w:footnoteRef/>
      </w:r>
      <w:r>
        <w:t xml:space="preserve"> </w:t>
      </w:r>
      <w:r>
        <w:rPr>
          <w:lang w:val="en-GB"/>
        </w:rPr>
        <w:t xml:space="preserve">Owen Jarus, 2013. Code of Hammurabi: Ancient Babylonian Laws, Livescience, Available from: </w:t>
      </w:r>
      <w:r>
        <w:rPr>
          <w:rFonts w:hint="default"/>
          <w:lang w:val="en-GB"/>
        </w:rPr>
        <w:fldChar w:fldCharType="begin"/>
      </w:r>
      <w:r>
        <w:rPr>
          <w:rFonts w:hint="default"/>
          <w:lang w:val="en-GB"/>
        </w:rPr>
        <w:instrText xml:space="preserve"> HYPERLINK "https://www.livescience.com/39393-code-of-hammurabi.html." </w:instrText>
      </w:r>
      <w:r>
        <w:rPr>
          <w:rFonts w:hint="default"/>
          <w:lang w:val="en-GB"/>
        </w:rPr>
        <w:fldChar w:fldCharType="separate"/>
      </w:r>
      <w:r>
        <w:rPr>
          <w:rStyle w:val="5"/>
          <w:rFonts w:hint="default"/>
          <w:lang w:val="en-GB"/>
        </w:rPr>
        <w:t>https://www.livescience.com/39393-code-of-hammurabi.html.</w:t>
      </w:r>
      <w:r>
        <w:rPr>
          <w:rFonts w:hint="default"/>
          <w:lang w:val="en-GB"/>
        </w:rPr>
        <w:fldChar w:fldCharType="end"/>
      </w:r>
      <w:r>
        <w:rPr>
          <w:rFonts w:hint="default"/>
          <w:lang w:val="en-GB"/>
        </w:rPr>
        <w:t xml:space="preserve"> Accessed [14/11/2017]</w:t>
      </w:r>
    </w:p>
  </w:footnote>
  <w:footnote w:id="1">
    <w:p>
      <w:pPr>
        <w:pStyle w:val="2"/>
        <w:snapToGrid w:val="0"/>
      </w:pPr>
      <w:r>
        <w:rPr>
          <w:rStyle w:val="4"/>
        </w:rPr>
        <w:footnoteRef/>
      </w:r>
      <w:r>
        <w:t xml:space="preserve"> </w:t>
      </w:r>
      <w:r>
        <w:rPr>
          <w:lang w:val="en-GB"/>
        </w:rPr>
        <w:t xml:space="preserve">Owen Jarus, 2013. Code of Hammurabi: Ancient Babylonian Laws, Livescience, Available from: </w:t>
      </w:r>
      <w:r>
        <w:rPr>
          <w:rFonts w:hint="default"/>
          <w:lang w:val="en-GB"/>
        </w:rPr>
        <w:fldChar w:fldCharType="begin"/>
      </w:r>
      <w:r>
        <w:rPr>
          <w:rFonts w:hint="default"/>
          <w:lang w:val="en-GB"/>
        </w:rPr>
        <w:instrText xml:space="preserve"> HYPERLINK "https://www.livescience.com/39393-code-of-hammurabi.html." </w:instrText>
      </w:r>
      <w:r>
        <w:rPr>
          <w:rFonts w:hint="default"/>
          <w:lang w:val="en-GB"/>
        </w:rPr>
        <w:fldChar w:fldCharType="separate"/>
      </w:r>
      <w:r>
        <w:rPr>
          <w:rStyle w:val="5"/>
          <w:rFonts w:hint="default"/>
          <w:lang w:val="en-GB"/>
        </w:rPr>
        <w:t>https://www.livescience.com/39393-code-of-hammurabi.html.</w:t>
      </w:r>
      <w:r>
        <w:rPr>
          <w:rFonts w:hint="default"/>
          <w:lang w:val="en-GB"/>
        </w:rPr>
        <w:fldChar w:fldCharType="end"/>
      </w:r>
      <w:r>
        <w:rPr>
          <w:rFonts w:hint="default"/>
          <w:lang w:val="en-GB"/>
        </w:rPr>
        <w:t xml:space="preserve"> Accessed [14/11/2017]</w:t>
      </w:r>
    </w:p>
  </w:footnote>
  <w:footnote w:id="2">
    <w:p>
      <w:pPr>
        <w:pStyle w:val="2"/>
        <w:snapToGrid w:val="0"/>
      </w:pPr>
      <w:r>
        <w:rPr>
          <w:rStyle w:val="4"/>
        </w:rPr>
        <w:footnoteRef/>
      </w:r>
      <w:r>
        <w:t xml:space="preserve"> </w:t>
      </w:r>
      <w:r>
        <w:rPr>
          <w:lang w:val="en-GB"/>
        </w:rPr>
        <w:t>Law 143</w:t>
      </w:r>
    </w:p>
  </w:footnote>
  <w:footnote w:id="3">
    <w:p>
      <w:pPr>
        <w:pStyle w:val="2"/>
        <w:snapToGrid w:val="0"/>
      </w:pPr>
      <w:r>
        <w:rPr>
          <w:rStyle w:val="4"/>
        </w:rPr>
        <w:footnoteRef/>
      </w:r>
      <w:r>
        <w:t xml:space="preserve"> </w:t>
      </w:r>
      <w:r>
        <w:rPr>
          <w:lang w:val="en-GB"/>
        </w:rPr>
        <w:t>Law 142</w:t>
      </w:r>
    </w:p>
  </w:footnote>
  <w:footnote w:id="4">
    <w:p>
      <w:pPr>
        <w:pStyle w:val="2"/>
        <w:snapToGrid w:val="0"/>
      </w:pPr>
      <w:r>
        <w:rPr>
          <w:rStyle w:val="4"/>
        </w:rPr>
        <w:footnoteRef/>
      </w:r>
      <w:r>
        <w:t xml:space="preserve"> </w:t>
      </w:r>
      <w:r>
        <w:rPr>
          <w:lang w:val="en-GB"/>
        </w:rPr>
        <w:t>Law 137</w:t>
      </w:r>
    </w:p>
  </w:footnote>
  <w:footnote w:id="5">
    <w:p>
      <w:pPr>
        <w:pStyle w:val="2"/>
        <w:snapToGrid w:val="0"/>
      </w:pPr>
      <w:r>
        <w:rPr>
          <w:rStyle w:val="4"/>
        </w:rPr>
        <w:footnoteRef/>
      </w:r>
      <w:r>
        <w:t xml:space="preserve"> </w:t>
      </w:r>
      <w:r>
        <w:rPr>
          <w:lang w:val="en-GB"/>
        </w:rPr>
        <w:t>Law 138</w:t>
      </w:r>
    </w:p>
  </w:footnote>
  <w:footnote w:id="6">
    <w:p>
      <w:pPr>
        <w:pStyle w:val="2"/>
        <w:snapToGrid w:val="0"/>
      </w:pPr>
      <w:r>
        <w:rPr>
          <w:rStyle w:val="4"/>
        </w:rPr>
        <w:footnoteRef/>
      </w:r>
      <w:r>
        <w:t xml:space="preserve"> </w:t>
      </w:r>
      <w:r>
        <w:rPr>
          <w:lang w:val="en-GB"/>
        </w:rPr>
        <w:t>Law 148</w:t>
      </w:r>
    </w:p>
  </w:footnote>
  <w:footnote w:id="7">
    <w:p>
      <w:pPr>
        <w:pStyle w:val="2"/>
        <w:snapToGrid w:val="0"/>
      </w:pPr>
      <w:r>
        <w:rPr>
          <w:rStyle w:val="4"/>
        </w:rPr>
        <w:footnoteRef/>
      </w:r>
      <w:r>
        <w:t xml:space="preserve"> </w:t>
      </w:r>
      <w:r>
        <w:rPr>
          <w:lang w:val="en-GB"/>
        </w:rPr>
        <w:t>Law 146</w:t>
      </w:r>
    </w:p>
  </w:footnote>
  <w:footnote w:id="8">
    <w:p>
      <w:pPr>
        <w:pStyle w:val="2"/>
        <w:snapToGrid w:val="0"/>
      </w:pPr>
      <w:r>
        <w:rPr>
          <w:rStyle w:val="4"/>
        </w:rPr>
        <w:footnoteRef/>
      </w:r>
      <w:r>
        <w:t xml:space="preserve"> </w:t>
      </w:r>
      <w:r>
        <w:rPr>
          <w:lang w:val="en-GB"/>
        </w:rPr>
        <w:t>Law 147</w:t>
      </w:r>
    </w:p>
  </w:footnote>
  <w:footnote w:id="9">
    <w:p>
      <w:pPr>
        <w:pStyle w:val="2"/>
        <w:snapToGrid w:val="0"/>
      </w:pPr>
      <w:r>
        <w:rPr>
          <w:rStyle w:val="4"/>
        </w:rPr>
        <w:footnoteRef/>
      </w:r>
      <w:r>
        <w:t xml:space="preserve"> </w:t>
      </w:r>
      <w:r>
        <w:rPr>
          <w:lang w:val="en-GB"/>
        </w:rPr>
        <w:t>Wellard, J.1972.</w:t>
      </w:r>
      <w:r>
        <w:rPr>
          <w:i/>
          <w:iCs/>
          <w:lang w:val="en-GB"/>
        </w:rPr>
        <w:t>By The Waters Of Babylon.</w:t>
      </w:r>
      <w:r>
        <w:rPr>
          <w:i w:val="0"/>
          <w:iCs w:val="0"/>
          <w:lang w:val="en-GB"/>
        </w:rPr>
        <w:t>London: Hutchinson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B3E82"/>
    <w:multiLevelType w:val="singleLevel"/>
    <w:tmpl w:val="5A0B3E82"/>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8F6D45"/>
    <w:rsid w:val="007D64CA"/>
    <w:rsid w:val="0F04328D"/>
    <w:rsid w:val="15964552"/>
    <w:rsid w:val="1803114A"/>
    <w:rsid w:val="2AD170D6"/>
    <w:rsid w:val="3D0520C7"/>
    <w:rsid w:val="442227DA"/>
    <w:rsid w:val="55EB7D34"/>
    <w:rsid w:val="5EAF0B6F"/>
    <w:rsid w:val="684D29EC"/>
    <w:rsid w:val="69CE3CE9"/>
    <w:rsid w:val="718F6D4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3">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note text"/>
    <w:basedOn w:val="1"/>
    <w:uiPriority w:val="0"/>
    <w:pPr>
      <w:snapToGrid w:val="0"/>
      <w:jc w:val="left"/>
    </w:pPr>
    <w:rPr>
      <w:sz w:val="18"/>
      <w:szCs w:val="18"/>
    </w:rPr>
  </w:style>
  <w:style w:type="character" w:styleId="4">
    <w:name w:val="footnote reference"/>
    <w:basedOn w:val="3"/>
    <w:qFormat/>
    <w:uiPriority w:val="0"/>
    <w:rPr>
      <w:vertAlign w:val="superscript"/>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2017-11-13T11:38:00Z</dcterms:created>
  <dc:creator>nweir</dc:creator>
  <cp:lastModifiedBy>nweir</cp:lastModifiedBy>
  <dcterms:modified xsi:type="dcterms:W3CDTF">2017-11-14T19:13:00Z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2057-10.2.0.5978</vt:lpwstr>
  </property>
</Properties>
</file>