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359D" w:rsidRDefault="0008359D" w:rsidP="0008359D">
      <w:pPr>
        <w:pStyle w:val="NormalWeb"/>
        <w:spacing w:before="0" w:beforeAutospacing="0" w:after="0" w:afterAutospacing="0"/>
        <w:ind w:left="-180" w:right="-334"/>
        <w:rPr>
          <w:rFonts w:ascii="Trebuchet MS" w:hAnsi="Trebuchet MS" w:cs="Tahoma"/>
          <w:sz w:val="24"/>
          <w:szCs w:val="24"/>
        </w:rPr>
      </w:pPr>
      <w:r>
        <w:rPr>
          <w:noProof/>
          <w:lang w:eastAsia="en-GB"/>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08359D" w:rsidRDefault="0008359D" w:rsidP="0008359D">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08359D" w:rsidRPr="001E50BB" w:rsidRDefault="0008359D" w:rsidP="0008359D">
      <w:pPr>
        <w:jc w:val="center"/>
        <w:rPr>
          <w:rFonts w:ascii="Arial" w:hAnsi="Arial" w:cs="Arial"/>
          <w:b/>
          <w:lang w:val="cy-GB"/>
        </w:rPr>
      </w:pPr>
      <w:r w:rsidRPr="001E50BB">
        <w:rPr>
          <w:rFonts w:ascii="Arial" w:hAnsi="Arial" w:cs="Arial"/>
          <w:b/>
          <w:lang w:val="cy-GB"/>
        </w:rPr>
        <w:t>(to be completed by marker)</w:t>
      </w:r>
    </w:p>
    <w:p w:rsidR="0008359D" w:rsidRPr="001E50BB" w:rsidRDefault="0008359D" w:rsidP="0008359D">
      <w:pPr>
        <w:jc w:val="center"/>
        <w:rPr>
          <w:rFonts w:ascii="Arial" w:hAnsi="Arial" w:cs="Arial"/>
          <w:b/>
          <w:lang w:val="cy-GB"/>
        </w:rPr>
      </w:pPr>
    </w:p>
    <w:p w:rsidR="0008359D" w:rsidRDefault="0008359D" w:rsidP="0008359D">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08359D" w:rsidRPr="0065654E" w:rsidTr="00C54E1D">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08359D" w:rsidRDefault="0008359D" w:rsidP="00C54E1D">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 David Shaw</w:t>
            </w:r>
          </w:p>
          <w:p w:rsidR="0008359D" w:rsidRPr="0065654E" w:rsidRDefault="0008359D" w:rsidP="00C54E1D">
            <w:pPr>
              <w:pStyle w:val="NormalWeb"/>
              <w:spacing w:before="0" w:beforeAutospacing="0" w:after="0" w:afterAutospacing="0"/>
              <w:ind w:right="34"/>
              <w:rPr>
                <w:rFonts w:ascii="Calibri" w:hAnsi="Calibri" w:cs="Tahoma"/>
                <w:i/>
                <w:sz w:val="24"/>
                <w:szCs w:val="24"/>
              </w:rPr>
            </w:pPr>
          </w:p>
        </w:tc>
      </w:tr>
      <w:tr w:rsidR="0008359D" w:rsidRPr="0065654E" w:rsidTr="00C54E1D">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08359D" w:rsidRPr="0065654E" w:rsidRDefault="0008359D" w:rsidP="00C54E1D">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Contemporary analytic Philosophy</w:t>
            </w:r>
          </w:p>
        </w:tc>
        <w:tc>
          <w:tcPr>
            <w:tcW w:w="3967" w:type="dxa"/>
            <w:gridSpan w:val="2"/>
            <w:tcBorders>
              <w:top w:val="single" w:sz="4" w:space="0" w:color="auto"/>
              <w:left w:val="single" w:sz="4" w:space="0" w:color="auto"/>
              <w:bottom w:val="single" w:sz="4" w:space="0" w:color="auto"/>
              <w:right w:val="single" w:sz="4" w:space="0" w:color="auto"/>
            </w:tcBorders>
          </w:tcPr>
          <w:p w:rsidR="0008359D" w:rsidRPr="0065654E" w:rsidRDefault="0008359D" w:rsidP="00C54E1D">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 xml:space="preserve"> 1301634</w:t>
            </w:r>
          </w:p>
        </w:tc>
      </w:tr>
      <w:tr w:rsidR="0008359D" w:rsidRPr="0065654E" w:rsidTr="00C54E1D">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08359D" w:rsidRPr="0065654E" w:rsidRDefault="0008359D" w:rsidP="00C54E1D">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08359D" w:rsidRDefault="0008359D" w:rsidP="00C54E1D">
            <w:pPr>
              <w:pStyle w:val="NormalWeb"/>
              <w:rPr>
                <w:rFonts w:ascii="Calibri" w:hAnsi="Calibri" w:cs="Tahoma"/>
                <w:i/>
                <w:sz w:val="24"/>
                <w:szCs w:val="24"/>
              </w:rPr>
            </w:pPr>
            <w:r w:rsidRPr="0065654E">
              <w:rPr>
                <w:rFonts w:ascii="Calibri" w:hAnsi="Calibri" w:cs="Tahoma"/>
                <w:i/>
                <w:sz w:val="24"/>
                <w:szCs w:val="24"/>
              </w:rPr>
              <w:t>Comments:</w:t>
            </w:r>
          </w:p>
          <w:p w:rsidR="0008359D" w:rsidRDefault="0008359D" w:rsidP="00C54E1D">
            <w:pPr>
              <w:pStyle w:val="NormalWeb"/>
              <w:rPr>
                <w:rFonts w:ascii="Calibri" w:hAnsi="Calibri" w:cs="Tahoma"/>
                <w:i/>
                <w:sz w:val="24"/>
                <w:szCs w:val="24"/>
              </w:rPr>
            </w:pPr>
          </w:p>
          <w:p w:rsidR="0008359D" w:rsidRDefault="0008359D" w:rsidP="00C54E1D">
            <w:pPr>
              <w:pStyle w:val="NormalWeb"/>
              <w:rPr>
                <w:rFonts w:ascii="Calibri" w:hAnsi="Calibri" w:cs="Tahoma"/>
                <w:i/>
                <w:sz w:val="24"/>
                <w:szCs w:val="24"/>
              </w:rPr>
            </w:pPr>
          </w:p>
          <w:p w:rsidR="0008359D" w:rsidRDefault="0008359D" w:rsidP="00C54E1D">
            <w:pPr>
              <w:pStyle w:val="NormalWeb"/>
              <w:rPr>
                <w:rFonts w:ascii="Calibri" w:hAnsi="Calibri" w:cs="Tahoma"/>
                <w:i/>
                <w:sz w:val="24"/>
                <w:szCs w:val="24"/>
              </w:rPr>
            </w:pPr>
          </w:p>
          <w:p w:rsidR="0008359D" w:rsidRDefault="0008359D" w:rsidP="00C54E1D">
            <w:pPr>
              <w:pStyle w:val="NormalWeb"/>
              <w:rPr>
                <w:rFonts w:ascii="Calibri" w:hAnsi="Calibri" w:cs="Tahoma"/>
                <w:i/>
                <w:sz w:val="24"/>
                <w:szCs w:val="24"/>
              </w:rPr>
            </w:pPr>
          </w:p>
          <w:p w:rsidR="0008359D" w:rsidRDefault="0008359D" w:rsidP="00C54E1D">
            <w:pPr>
              <w:pStyle w:val="NormalWeb"/>
              <w:rPr>
                <w:rFonts w:ascii="Calibri" w:hAnsi="Calibri" w:cs="Tahoma"/>
                <w:i/>
                <w:sz w:val="24"/>
                <w:szCs w:val="24"/>
              </w:rPr>
            </w:pPr>
          </w:p>
          <w:p w:rsidR="0008359D" w:rsidRDefault="0008359D" w:rsidP="00C54E1D">
            <w:pPr>
              <w:pStyle w:val="NormalWeb"/>
              <w:rPr>
                <w:rFonts w:ascii="Calibri" w:hAnsi="Calibri" w:cs="Tahoma"/>
                <w:i/>
                <w:sz w:val="24"/>
                <w:szCs w:val="24"/>
              </w:rPr>
            </w:pPr>
          </w:p>
          <w:p w:rsidR="0008359D" w:rsidRDefault="0008359D" w:rsidP="00C54E1D">
            <w:pPr>
              <w:pStyle w:val="NormalWeb"/>
              <w:rPr>
                <w:rFonts w:ascii="Calibri" w:hAnsi="Calibri" w:cs="Tahoma"/>
                <w:i/>
                <w:sz w:val="24"/>
                <w:szCs w:val="24"/>
              </w:rPr>
            </w:pPr>
          </w:p>
          <w:p w:rsidR="0008359D" w:rsidRDefault="0008359D" w:rsidP="00C54E1D">
            <w:pPr>
              <w:pStyle w:val="NormalWeb"/>
              <w:rPr>
                <w:rFonts w:ascii="Calibri" w:hAnsi="Calibri" w:cs="Tahoma"/>
                <w:i/>
                <w:sz w:val="24"/>
                <w:szCs w:val="24"/>
              </w:rPr>
            </w:pPr>
          </w:p>
          <w:p w:rsidR="0008359D" w:rsidRDefault="0008359D" w:rsidP="00C54E1D">
            <w:pPr>
              <w:pStyle w:val="NormalWeb"/>
              <w:rPr>
                <w:rFonts w:ascii="Calibri" w:hAnsi="Calibri" w:cs="Tahoma"/>
                <w:i/>
                <w:sz w:val="24"/>
                <w:szCs w:val="24"/>
              </w:rPr>
            </w:pPr>
          </w:p>
          <w:p w:rsidR="0008359D" w:rsidRDefault="0008359D" w:rsidP="00C54E1D">
            <w:pPr>
              <w:pStyle w:val="NormalWeb"/>
              <w:rPr>
                <w:rFonts w:ascii="Calibri" w:hAnsi="Calibri" w:cs="Tahoma"/>
                <w:i/>
                <w:sz w:val="24"/>
                <w:szCs w:val="24"/>
              </w:rPr>
            </w:pPr>
          </w:p>
          <w:p w:rsidR="0008359D" w:rsidRPr="0065654E" w:rsidRDefault="0008359D" w:rsidP="00C54E1D">
            <w:pPr>
              <w:pStyle w:val="NormalWeb"/>
              <w:rPr>
                <w:rFonts w:ascii="Calibri" w:hAnsi="Calibri" w:cs="Tahoma"/>
                <w:i/>
                <w:sz w:val="24"/>
                <w:szCs w:val="24"/>
              </w:rPr>
            </w:pPr>
          </w:p>
        </w:tc>
      </w:tr>
      <w:tr w:rsidR="0008359D" w:rsidRPr="0065654E" w:rsidTr="00C54E1D">
        <w:trPr>
          <w:trHeight w:val="492"/>
        </w:trPr>
        <w:tc>
          <w:tcPr>
            <w:tcW w:w="6768" w:type="dxa"/>
            <w:gridSpan w:val="2"/>
            <w:tcBorders>
              <w:top w:val="single" w:sz="4" w:space="0" w:color="auto"/>
            </w:tcBorders>
            <w:vAlign w:val="center"/>
          </w:tcPr>
          <w:p w:rsidR="0008359D" w:rsidRPr="0065654E" w:rsidRDefault="0008359D" w:rsidP="00C54E1D">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08359D" w:rsidRPr="0065654E" w:rsidRDefault="0008359D" w:rsidP="00C54E1D">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08359D" w:rsidRPr="0065654E" w:rsidTr="00C54E1D">
        <w:tc>
          <w:tcPr>
            <w:tcW w:w="8755" w:type="dxa"/>
            <w:gridSpan w:val="3"/>
            <w:vAlign w:val="center"/>
          </w:tcPr>
          <w:p w:rsidR="0008359D" w:rsidRDefault="0008359D" w:rsidP="00C54E1D">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08359D" w:rsidRPr="0065654E" w:rsidRDefault="0008359D" w:rsidP="00C54E1D">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840C65" w:rsidRDefault="0008359D" w:rsidP="0008359D">
      <w:pPr>
        <w:jc w:val="center"/>
        <w:rPr>
          <w:sz w:val="28"/>
          <w:szCs w:val="28"/>
        </w:rPr>
      </w:pPr>
      <w:r>
        <w:rPr>
          <w:b/>
          <w:sz w:val="32"/>
          <w:szCs w:val="32"/>
          <w:u w:val="single"/>
        </w:rPr>
        <w:lastRenderedPageBreak/>
        <w:t>In What Sense are M</w:t>
      </w:r>
      <w:r w:rsidR="006157AB">
        <w:rPr>
          <w:b/>
          <w:sz w:val="32"/>
          <w:szCs w:val="32"/>
          <w:u w:val="single"/>
        </w:rPr>
        <w:t>y Sensations Private?-</w:t>
      </w:r>
      <w:r>
        <w:rPr>
          <w:b/>
          <w:sz w:val="32"/>
          <w:szCs w:val="32"/>
          <w:u w:val="single"/>
        </w:rPr>
        <w:t>“Well, only I can know whether I am in pain; another can only surmise it.”</w:t>
      </w:r>
      <w:r w:rsidR="006157AB">
        <w:rPr>
          <w:b/>
          <w:sz w:val="32"/>
          <w:szCs w:val="32"/>
          <w:u w:val="single"/>
        </w:rPr>
        <w:t>-</w:t>
      </w:r>
      <w:r>
        <w:rPr>
          <w:b/>
          <w:sz w:val="32"/>
          <w:szCs w:val="32"/>
          <w:u w:val="single"/>
        </w:rPr>
        <w:t xml:space="preserve">‘I sometimes know that another person is in pain.’ What reasons are there for and against this claim? </w:t>
      </w:r>
    </w:p>
    <w:p w:rsidR="0008359D" w:rsidRDefault="006A3EB1" w:rsidP="0008359D">
      <w:pPr>
        <w:rPr>
          <w:sz w:val="28"/>
          <w:szCs w:val="28"/>
        </w:rPr>
      </w:pPr>
      <w:r w:rsidRPr="006A3EB1">
        <w:rPr>
          <w:b/>
          <w:sz w:val="28"/>
          <w:szCs w:val="28"/>
          <w:u w:val="single"/>
        </w:rPr>
        <w:t>Introduction</w:t>
      </w:r>
      <w:r>
        <w:rPr>
          <w:b/>
          <w:sz w:val="28"/>
          <w:szCs w:val="28"/>
          <w:u w:val="single"/>
        </w:rPr>
        <w:t xml:space="preserve"> </w:t>
      </w:r>
    </w:p>
    <w:p w:rsidR="00A67283" w:rsidRDefault="006A3EB1" w:rsidP="0030676F">
      <w:pPr>
        <w:rPr>
          <w:sz w:val="28"/>
          <w:szCs w:val="28"/>
        </w:rPr>
      </w:pPr>
      <w:r>
        <w:rPr>
          <w:sz w:val="28"/>
          <w:szCs w:val="28"/>
        </w:rPr>
        <w:t xml:space="preserve">     </w:t>
      </w:r>
      <w:r w:rsidR="0030676F">
        <w:rPr>
          <w:sz w:val="28"/>
          <w:szCs w:val="28"/>
        </w:rPr>
        <w:t xml:space="preserve">  </w:t>
      </w:r>
      <w:r>
        <w:rPr>
          <w:sz w:val="28"/>
          <w:szCs w:val="28"/>
        </w:rPr>
        <w:t>In this essay I am going to try and show arguments ‘for’ and ‘against’ the abo</w:t>
      </w:r>
      <w:r w:rsidR="00EC4F6E">
        <w:rPr>
          <w:sz w:val="28"/>
          <w:szCs w:val="28"/>
        </w:rPr>
        <w:t>ve claim</w:t>
      </w:r>
      <w:r w:rsidR="0030676F">
        <w:rPr>
          <w:sz w:val="28"/>
          <w:szCs w:val="28"/>
        </w:rPr>
        <w:t xml:space="preserve">, ‘In what sense are my sensations private?’ by Ludwig Wittgenstein, and whether there can be such thing as a private language or whether all language is public. </w:t>
      </w:r>
    </w:p>
    <w:p w:rsidR="0030676F" w:rsidRDefault="00A67283" w:rsidP="0030676F">
      <w:pPr>
        <w:rPr>
          <w:sz w:val="28"/>
          <w:szCs w:val="28"/>
        </w:rPr>
      </w:pPr>
      <w:r>
        <w:rPr>
          <w:sz w:val="28"/>
          <w:szCs w:val="28"/>
        </w:rPr>
        <w:t xml:space="preserve">       </w:t>
      </w:r>
      <w:r w:rsidR="0030676F">
        <w:rPr>
          <w:sz w:val="28"/>
          <w:szCs w:val="28"/>
        </w:rPr>
        <w:t>‘Wittgenstein argues, in his later work, that this account of private language is inconsistent. If the idea of a private language is inconsistent, then a logical conclusion would be that all language serves a social function. This would have profound implications for other areas of philosophical and psychological study. For example, if one cannot have a private language, it might not make any sense to talk of private experiences or of private mental states.’</w:t>
      </w:r>
      <w:r w:rsidR="0030676F">
        <w:rPr>
          <w:rStyle w:val="FootnoteReference"/>
          <w:sz w:val="28"/>
          <w:szCs w:val="28"/>
        </w:rPr>
        <w:footnoteReference w:id="1"/>
      </w:r>
    </w:p>
    <w:p w:rsidR="009D0BD0" w:rsidRDefault="0030676F" w:rsidP="0008359D">
      <w:pPr>
        <w:rPr>
          <w:sz w:val="28"/>
          <w:szCs w:val="28"/>
        </w:rPr>
      </w:pPr>
      <w:r>
        <w:rPr>
          <w:sz w:val="28"/>
          <w:szCs w:val="28"/>
        </w:rPr>
        <w:t xml:space="preserve">       </w:t>
      </w:r>
      <w:r w:rsidR="006157AB">
        <w:rPr>
          <w:sz w:val="28"/>
          <w:szCs w:val="28"/>
        </w:rPr>
        <w:t xml:space="preserve">One reason </w:t>
      </w:r>
      <w:r w:rsidR="006157AB" w:rsidRPr="006157AB">
        <w:rPr>
          <w:i/>
          <w:sz w:val="28"/>
          <w:szCs w:val="28"/>
        </w:rPr>
        <w:t>for</w:t>
      </w:r>
      <w:r w:rsidR="008A5E16">
        <w:rPr>
          <w:sz w:val="28"/>
          <w:szCs w:val="28"/>
        </w:rPr>
        <w:t xml:space="preserve"> the claim that ‘only I can know whether I am in pain; another can only surmise it</w:t>
      </w:r>
      <w:r w:rsidR="006157AB">
        <w:rPr>
          <w:sz w:val="28"/>
          <w:szCs w:val="28"/>
        </w:rPr>
        <w:t>’ i</w:t>
      </w:r>
      <w:r w:rsidR="005D0015">
        <w:rPr>
          <w:sz w:val="28"/>
          <w:szCs w:val="28"/>
        </w:rPr>
        <w:t>s that only the person who has the</w:t>
      </w:r>
      <w:r w:rsidR="006157AB">
        <w:rPr>
          <w:sz w:val="28"/>
          <w:szCs w:val="28"/>
        </w:rPr>
        <w:t xml:space="preserve"> sensation, i.e. pain, can feel that sensation, no other person</w:t>
      </w:r>
      <w:r w:rsidR="007B6778">
        <w:rPr>
          <w:sz w:val="28"/>
          <w:szCs w:val="28"/>
        </w:rPr>
        <w:t xml:space="preserve"> ever</w:t>
      </w:r>
      <w:r w:rsidR="006157AB">
        <w:rPr>
          <w:sz w:val="28"/>
          <w:szCs w:val="28"/>
        </w:rPr>
        <w:t xml:space="preserve"> can, whi</w:t>
      </w:r>
      <w:r w:rsidR="008A5E16">
        <w:rPr>
          <w:sz w:val="28"/>
          <w:szCs w:val="28"/>
        </w:rPr>
        <w:t xml:space="preserve">ch makes any sensation private in one sense. </w:t>
      </w:r>
      <w:r w:rsidR="00DE4D6C">
        <w:rPr>
          <w:sz w:val="28"/>
          <w:szCs w:val="28"/>
        </w:rPr>
        <w:t xml:space="preserve">But if you hit your </w:t>
      </w:r>
      <w:r w:rsidR="008C2B11">
        <w:rPr>
          <w:sz w:val="28"/>
          <w:szCs w:val="28"/>
        </w:rPr>
        <w:t>hand with a hammer and</w:t>
      </w:r>
      <w:r w:rsidR="00DE4D6C">
        <w:rPr>
          <w:sz w:val="28"/>
          <w:szCs w:val="28"/>
        </w:rPr>
        <w:t xml:space="preserve"> you scream</w:t>
      </w:r>
      <w:r w:rsidR="007B6778">
        <w:rPr>
          <w:sz w:val="28"/>
          <w:szCs w:val="28"/>
        </w:rPr>
        <w:t>ed and shook</w:t>
      </w:r>
      <w:r w:rsidR="00EC4F6E">
        <w:rPr>
          <w:sz w:val="28"/>
          <w:szCs w:val="28"/>
        </w:rPr>
        <w:t xml:space="preserve"> your hand around</w:t>
      </w:r>
      <w:r w:rsidR="00DE4D6C">
        <w:rPr>
          <w:sz w:val="28"/>
          <w:szCs w:val="28"/>
        </w:rPr>
        <w:t xml:space="preserve">, then another person could surmise that you </w:t>
      </w:r>
      <w:r w:rsidR="007B6778">
        <w:rPr>
          <w:sz w:val="28"/>
          <w:szCs w:val="28"/>
        </w:rPr>
        <w:t>were in pain but</w:t>
      </w:r>
      <w:r w:rsidR="00EC4F6E">
        <w:rPr>
          <w:sz w:val="28"/>
          <w:szCs w:val="28"/>
        </w:rPr>
        <w:t xml:space="preserve"> could</w:t>
      </w:r>
      <w:r w:rsidR="007B6778">
        <w:rPr>
          <w:sz w:val="28"/>
          <w:szCs w:val="28"/>
        </w:rPr>
        <w:t xml:space="preserve"> still not be</w:t>
      </w:r>
      <w:r w:rsidR="00DE4D6C">
        <w:rPr>
          <w:sz w:val="28"/>
          <w:szCs w:val="28"/>
        </w:rPr>
        <w:t xml:space="preserve"> certain</w:t>
      </w:r>
      <w:r w:rsidR="007B6778">
        <w:rPr>
          <w:sz w:val="28"/>
          <w:szCs w:val="28"/>
        </w:rPr>
        <w:t xml:space="preserve"> of it</w:t>
      </w:r>
      <w:r w:rsidR="00DE4D6C">
        <w:rPr>
          <w:sz w:val="28"/>
          <w:szCs w:val="28"/>
        </w:rPr>
        <w:t xml:space="preserve"> because they could never be one hundred percent sure if you were, or were not, lying about being in pain, or even joking about it.</w:t>
      </w:r>
      <w:r w:rsidR="007B6778">
        <w:rPr>
          <w:sz w:val="28"/>
          <w:szCs w:val="28"/>
        </w:rPr>
        <w:t xml:space="preserve"> Wittgenstein would say that someone would always be certain if </w:t>
      </w:r>
      <w:r w:rsidR="00665A6E">
        <w:rPr>
          <w:sz w:val="28"/>
          <w:szCs w:val="28"/>
        </w:rPr>
        <w:t>they themselves were in pain and would never need to think about it</w:t>
      </w:r>
      <w:r w:rsidR="00200DFF">
        <w:rPr>
          <w:sz w:val="28"/>
          <w:szCs w:val="28"/>
        </w:rPr>
        <w:t>,</w:t>
      </w:r>
      <w:r w:rsidR="00665A6E">
        <w:rPr>
          <w:sz w:val="28"/>
          <w:szCs w:val="28"/>
        </w:rPr>
        <w:t xml:space="preserve"> and that it is not something</w:t>
      </w:r>
      <w:r w:rsidR="00EC4F6E">
        <w:rPr>
          <w:sz w:val="28"/>
          <w:szCs w:val="28"/>
        </w:rPr>
        <w:t xml:space="preserve"> that</w:t>
      </w:r>
      <w:r w:rsidR="00665A6E">
        <w:rPr>
          <w:sz w:val="28"/>
          <w:szCs w:val="28"/>
        </w:rPr>
        <w:t xml:space="preserve"> you could ever be mistaken about, but you can never be certain about someone else’s claim to be in pain.</w:t>
      </w:r>
      <w:r w:rsidR="00200DFF">
        <w:rPr>
          <w:sz w:val="28"/>
          <w:szCs w:val="28"/>
        </w:rPr>
        <w:t xml:space="preserve"> Even the sentence ‘I think I am in pain’ has no applicable use in life because you are always certain whether you are feeling a pain or not.</w:t>
      </w:r>
      <w:r w:rsidR="0094361F">
        <w:rPr>
          <w:sz w:val="28"/>
          <w:szCs w:val="28"/>
        </w:rPr>
        <w:t xml:space="preserve"> But the sentence ‘I think another is in pain’ is valid because you can never be certain</w:t>
      </w:r>
      <w:r w:rsidR="00EC4F6E">
        <w:rPr>
          <w:sz w:val="28"/>
          <w:szCs w:val="28"/>
        </w:rPr>
        <w:t xml:space="preserve"> of another person’s pain, you might think you </w:t>
      </w:r>
      <w:r w:rsidR="00EC4F6E" w:rsidRPr="00EC4F6E">
        <w:rPr>
          <w:i/>
          <w:sz w:val="28"/>
          <w:szCs w:val="28"/>
        </w:rPr>
        <w:t>know</w:t>
      </w:r>
      <w:r w:rsidR="00EC4F6E">
        <w:rPr>
          <w:sz w:val="28"/>
          <w:szCs w:val="28"/>
        </w:rPr>
        <w:t xml:space="preserve"> another is in pain, but unless you could share the same identical sensation at the same place and at the same time, which I do not think is possible, then you can never be absolutely certain</w:t>
      </w:r>
      <w:r w:rsidR="0094361F">
        <w:rPr>
          <w:sz w:val="28"/>
          <w:szCs w:val="28"/>
        </w:rPr>
        <w:t xml:space="preserve">. </w:t>
      </w:r>
      <w:r w:rsidR="004D6CF3">
        <w:rPr>
          <w:sz w:val="28"/>
          <w:szCs w:val="28"/>
        </w:rPr>
        <w:lastRenderedPageBreak/>
        <w:t>‘If we take</w:t>
      </w:r>
      <w:r w:rsidR="008C2B11">
        <w:rPr>
          <w:sz w:val="28"/>
          <w:szCs w:val="28"/>
        </w:rPr>
        <w:t xml:space="preserve"> </w:t>
      </w:r>
      <w:r w:rsidR="004D6CF3">
        <w:rPr>
          <w:sz w:val="28"/>
          <w:szCs w:val="28"/>
        </w:rPr>
        <w:t>the word ‘know’ to mean ‘know in such a way that doubt is logically excluded’ then the thesis is senseless, for there can be knowledge only where doubt is possible.’</w:t>
      </w:r>
      <w:r w:rsidR="004D6CF3">
        <w:rPr>
          <w:rStyle w:val="FootnoteReference"/>
          <w:sz w:val="28"/>
          <w:szCs w:val="28"/>
        </w:rPr>
        <w:footnoteReference w:id="2"/>
      </w:r>
      <w:r w:rsidR="00EC4F6E">
        <w:rPr>
          <w:sz w:val="28"/>
          <w:szCs w:val="28"/>
        </w:rPr>
        <w:t xml:space="preserve"> And as you cannot doubt whether you are in pain</w:t>
      </w:r>
      <w:r w:rsidR="004956F9">
        <w:rPr>
          <w:sz w:val="28"/>
          <w:szCs w:val="28"/>
        </w:rPr>
        <w:t xml:space="preserve">, the sentence ‘I </w:t>
      </w:r>
      <w:r w:rsidR="004956F9" w:rsidRPr="004956F9">
        <w:rPr>
          <w:i/>
          <w:sz w:val="28"/>
          <w:szCs w:val="28"/>
        </w:rPr>
        <w:t>think</w:t>
      </w:r>
      <w:r w:rsidR="004956F9">
        <w:rPr>
          <w:sz w:val="28"/>
          <w:szCs w:val="28"/>
        </w:rPr>
        <w:t xml:space="preserve"> I am in pain’ is</w:t>
      </w:r>
      <w:r w:rsidR="008719D1">
        <w:rPr>
          <w:sz w:val="28"/>
          <w:szCs w:val="28"/>
        </w:rPr>
        <w:t xml:space="preserve"> logically</w:t>
      </w:r>
      <w:r w:rsidR="004956F9">
        <w:rPr>
          <w:sz w:val="28"/>
          <w:szCs w:val="28"/>
        </w:rPr>
        <w:t xml:space="preserve"> senseless.</w:t>
      </w:r>
      <w:r w:rsidR="004D6CF3">
        <w:rPr>
          <w:sz w:val="28"/>
          <w:szCs w:val="28"/>
        </w:rPr>
        <w:t xml:space="preserve"> </w:t>
      </w:r>
    </w:p>
    <w:p w:rsidR="00061982" w:rsidRPr="001B0ED5" w:rsidRDefault="009D0BD0" w:rsidP="0008359D">
      <w:pPr>
        <w:rPr>
          <w:sz w:val="28"/>
          <w:szCs w:val="28"/>
        </w:rPr>
      </w:pPr>
      <w:r>
        <w:rPr>
          <w:sz w:val="28"/>
          <w:szCs w:val="28"/>
        </w:rPr>
        <w:t xml:space="preserve">       </w:t>
      </w:r>
      <w:r w:rsidR="008C2B11">
        <w:rPr>
          <w:sz w:val="28"/>
          <w:szCs w:val="28"/>
        </w:rPr>
        <w:t>People can</w:t>
      </w:r>
      <w:r w:rsidR="006A3EB1">
        <w:rPr>
          <w:sz w:val="28"/>
          <w:szCs w:val="28"/>
        </w:rPr>
        <w:t xml:space="preserve"> simulate being</w:t>
      </w:r>
      <w:r w:rsidR="005D0015">
        <w:rPr>
          <w:sz w:val="28"/>
          <w:szCs w:val="28"/>
        </w:rPr>
        <w:t xml:space="preserve"> in pain even when they are not, just as someone could be in pain but make it appear to anybody around</w:t>
      </w:r>
      <w:r w:rsidR="00C52EB1">
        <w:rPr>
          <w:sz w:val="28"/>
          <w:szCs w:val="28"/>
        </w:rPr>
        <w:t xml:space="preserve"> them</w:t>
      </w:r>
      <w:r w:rsidR="005D0015">
        <w:rPr>
          <w:sz w:val="28"/>
          <w:szCs w:val="28"/>
        </w:rPr>
        <w:t xml:space="preserve"> that they were not.</w:t>
      </w:r>
      <w:r w:rsidR="000E7240">
        <w:rPr>
          <w:sz w:val="28"/>
          <w:szCs w:val="28"/>
        </w:rPr>
        <w:t xml:space="preserve"> Wittgenstein would reply here that ‘there are cases in which the supposition of pretence is senseless: for instance, the case of infants and animals. In order to be able to pretend or to lie one needs to master certain skills which infants and animals lack.’</w:t>
      </w:r>
      <w:r w:rsidR="000E7240">
        <w:rPr>
          <w:rStyle w:val="FootnoteReference"/>
          <w:sz w:val="28"/>
          <w:szCs w:val="28"/>
        </w:rPr>
        <w:footnoteReference w:id="3"/>
      </w:r>
      <w:r w:rsidR="00DE4D6C">
        <w:rPr>
          <w:sz w:val="28"/>
          <w:szCs w:val="28"/>
        </w:rPr>
        <w:t xml:space="preserve"> </w:t>
      </w:r>
      <w:r w:rsidR="00C11BDC">
        <w:rPr>
          <w:sz w:val="28"/>
          <w:szCs w:val="28"/>
        </w:rPr>
        <w:t>Also, even if we all agreed on using the word ‘pain’ for what we might believe is the same sensation, different people from different social and economic backgrounds, and people with different psychologies, might have different pain thresholds or different reaction</w:t>
      </w:r>
      <w:r w:rsidR="00B82CE6">
        <w:rPr>
          <w:sz w:val="28"/>
          <w:szCs w:val="28"/>
        </w:rPr>
        <w:t>s to the same action with</w:t>
      </w:r>
      <w:r w:rsidR="00632A86">
        <w:rPr>
          <w:sz w:val="28"/>
          <w:szCs w:val="28"/>
        </w:rPr>
        <w:t xml:space="preserve"> the same force applied</w:t>
      </w:r>
      <w:r w:rsidR="005141E7">
        <w:rPr>
          <w:sz w:val="28"/>
          <w:szCs w:val="28"/>
        </w:rPr>
        <w:t>.</w:t>
      </w:r>
      <w:r w:rsidR="00CC7C76">
        <w:rPr>
          <w:sz w:val="28"/>
          <w:szCs w:val="28"/>
        </w:rPr>
        <w:t xml:space="preserve"> So,</w:t>
      </w:r>
      <w:r w:rsidR="006E13BB">
        <w:rPr>
          <w:sz w:val="28"/>
          <w:szCs w:val="28"/>
        </w:rPr>
        <w:t xml:space="preserve"> if you tried to make your sensations public by using verbal language instead of body language, we could, each one of us, be using the same word for slightly, or massively, different sensations. Even if the exact same sensations did occur in all of us from the same</w:t>
      </w:r>
      <w:r w:rsidR="00CC7C76">
        <w:rPr>
          <w:sz w:val="28"/>
          <w:szCs w:val="28"/>
        </w:rPr>
        <w:t xml:space="preserve"> action, with the same</w:t>
      </w:r>
      <w:r w:rsidR="006E13BB">
        <w:rPr>
          <w:sz w:val="28"/>
          <w:szCs w:val="28"/>
        </w:rPr>
        <w:t xml:space="preserve"> force, a punch in the arm</w:t>
      </w:r>
      <w:r w:rsidR="00CC7C76">
        <w:rPr>
          <w:sz w:val="28"/>
          <w:szCs w:val="28"/>
        </w:rPr>
        <w:t>,</w:t>
      </w:r>
      <w:r w:rsidR="006E13BB">
        <w:rPr>
          <w:sz w:val="28"/>
          <w:szCs w:val="28"/>
        </w:rPr>
        <w:t xml:space="preserve"> for example, </w:t>
      </w:r>
      <w:r w:rsidR="00CC7C76">
        <w:rPr>
          <w:sz w:val="28"/>
          <w:szCs w:val="28"/>
        </w:rPr>
        <w:t>just by using the same word for labelling the reaction from the punc</w:t>
      </w:r>
      <w:r w:rsidR="008D338A">
        <w:rPr>
          <w:sz w:val="28"/>
          <w:szCs w:val="28"/>
        </w:rPr>
        <w:t>h</w:t>
      </w:r>
      <w:r w:rsidR="008C2B11">
        <w:rPr>
          <w:sz w:val="28"/>
          <w:szCs w:val="28"/>
        </w:rPr>
        <w:t xml:space="preserve"> does not really mean anything. Just as half the world could see an apple and see the colour is red, and the other half of the world could see the same coloured apple and see the colour green.</w:t>
      </w:r>
      <w:r w:rsidR="00ED178E">
        <w:rPr>
          <w:sz w:val="28"/>
          <w:szCs w:val="28"/>
        </w:rPr>
        <w:t xml:space="preserve"> T</w:t>
      </w:r>
      <w:r w:rsidR="008C2B11">
        <w:rPr>
          <w:sz w:val="28"/>
          <w:szCs w:val="28"/>
        </w:rPr>
        <w:t xml:space="preserve">his could never be falsified or verified by </w:t>
      </w:r>
      <w:r w:rsidR="00665A6E">
        <w:rPr>
          <w:sz w:val="28"/>
          <w:szCs w:val="28"/>
        </w:rPr>
        <w:t>anyone, but it would not matter</w:t>
      </w:r>
      <w:r w:rsidR="008C2B11">
        <w:rPr>
          <w:sz w:val="28"/>
          <w:szCs w:val="28"/>
        </w:rPr>
        <w:t xml:space="preserve"> or change anything about the world or the people living in it</w:t>
      </w:r>
      <w:r w:rsidR="004B5815">
        <w:rPr>
          <w:sz w:val="28"/>
          <w:szCs w:val="28"/>
        </w:rPr>
        <w:t>. ‘No error or confusion would ensue. People would still agree in calling the same colours by the same names, even though the ‘appearances or ideas in their minds’ were different.’</w:t>
      </w:r>
      <w:r w:rsidR="004B5815">
        <w:rPr>
          <w:rStyle w:val="FootnoteReference"/>
          <w:sz w:val="28"/>
          <w:szCs w:val="28"/>
        </w:rPr>
        <w:footnoteReference w:id="4"/>
      </w:r>
      <w:r w:rsidR="00A73BDF">
        <w:rPr>
          <w:sz w:val="28"/>
          <w:szCs w:val="28"/>
        </w:rPr>
        <w:t xml:space="preserve"> A</w:t>
      </w:r>
      <w:r w:rsidR="008C2B11">
        <w:rPr>
          <w:sz w:val="28"/>
          <w:szCs w:val="28"/>
        </w:rPr>
        <w:t>nd the world would still go on working the</w:t>
      </w:r>
      <w:r w:rsidR="0079798E">
        <w:rPr>
          <w:sz w:val="28"/>
          <w:szCs w:val="28"/>
        </w:rPr>
        <w:t xml:space="preserve"> same</w:t>
      </w:r>
      <w:r w:rsidR="008C2B11">
        <w:rPr>
          <w:sz w:val="28"/>
          <w:szCs w:val="28"/>
        </w:rPr>
        <w:t xml:space="preserve"> way it does</w:t>
      </w:r>
      <w:r w:rsidR="00ED178E">
        <w:rPr>
          <w:sz w:val="28"/>
          <w:szCs w:val="28"/>
        </w:rPr>
        <w:t>.</w:t>
      </w:r>
      <w:r w:rsidR="00A73BDF">
        <w:rPr>
          <w:sz w:val="28"/>
          <w:szCs w:val="28"/>
        </w:rPr>
        <w:t xml:space="preserve"> There would be no disagreement about what should be called ‘red’ and what should be called ‘green’, and, therefore, no disagreement about the meanings of those words in public use.</w:t>
      </w:r>
      <w:r w:rsidR="008C2B11">
        <w:rPr>
          <w:sz w:val="28"/>
          <w:szCs w:val="28"/>
        </w:rPr>
        <w:t xml:space="preserve"> </w:t>
      </w:r>
      <w:r w:rsidR="00ED178E">
        <w:rPr>
          <w:sz w:val="28"/>
          <w:szCs w:val="28"/>
        </w:rPr>
        <w:t>E</w:t>
      </w:r>
      <w:r w:rsidR="005D0015">
        <w:rPr>
          <w:sz w:val="28"/>
          <w:szCs w:val="28"/>
        </w:rPr>
        <w:t>very time someone said ‘please will you pass me the red apple’, the people who see the apple as red will obviously pass the red apple, and the people who see the apple as green will also pass the same red apple because the colour red, to the people who see the apple as green, has still been labelled as red in their</w:t>
      </w:r>
      <w:r w:rsidR="00665A6E">
        <w:rPr>
          <w:sz w:val="28"/>
          <w:szCs w:val="28"/>
        </w:rPr>
        <w:t xml:space="preserve"> minds and everyone else’s.</w:t>
      </w:r>
      <w:r w:rsidR="005D0015">
        <w:rPr>
          <w:sz w:val="28"/>
          <w:szCs w:val="28"/>
        </w:rPr>
        <w:t xml:space="preserve"> </w:t>
      </w:r>
      <w:r w:rsidR="005C3404">
        <w:rPr>
          <w:sz w:val="28"/>
          <w:szCs w:val="28"/>
        </w:rPr>
        <w:t xml:space="preserve">So, when half the world see red, they call it red, and when the other half </w:t>
      </w:r>
      <w:r w:rsidR="005C3404">
        <w:rPr>
          <w:sz w:val="28"/>
          <w:szCs w:val="28"/>
        </w:rPr>
        <w:lastRenderedPageBreak/>
        <w:t xml:space="preserve">of the world see the same thing, which is green to them, they call it red too. </w:t>
      </w:r>
      <w:r w:rsidR="00816939">
        <w:rPr>
          <w:sz w:val="28"/>
          <w:szCs w:val="28"/>
        </w:rPr>
        <w:t>Though, again, this could never be falsified or verified by anyone to perform this experiment with.</w:t>
      </w:r>
    </w:p>
    <w:p w:rsidR="001B0ED5" w:rsidRPr="00A11DCF" w:rsidRDefault="00DE3576" w:rsidP="0008359D">
      <w:pPr>
        <w:rPr>
          <w:sz w:val="28"/>
          <w:szCs w:val="28"/>
        </w:rPr>
      </w:pPr>
      <w:r>
        <w:rPr>
          <w:sz w:val="28"/>
          <w:szCs w:val="28"/>
        </w:rPr>
        <w:t xml:space="preserve">     There is also the problem of other minds. </w:t>
      </w:r>
      <w:r w:rsidR="003155E5">
        <w:rPr>
          <w:sz w:val="28"/>
          <w:szCs w:val="28"/>
        </w:rPr>
        <w:t>That is, ‘If minds are independent of behaviour, how can we ever know for certain what others think and feel, or indeed, whether they think or feel anything at all?’</w:t>
      </w:r>
      <w:r w:rsidR="003155E5">
        <w:rPr>
          <w:rStyle w:val="FootnoteReference"/>
          <w:sz w:val="28"/>
          <w:szCs w:val="28"/>
        </w:rPr>
        <w:footnoteReference w:id="5"/>
      </w:r>
      <w:r w:rsidR="003155E5">
        <w:rPr>
          <w:sz w:val="28"/>
          <w:szCs w:val="28"/>
        </w:rPr>
        <w:t xml:space="preserve"> As bodily</w:t>
      </w:r>
      <w:r w:rsidR="004624AE">
        <w:rPr>
          <w:sz w:val="28"/>
          <w:szCs w:val="28"/>
        </w:rPr>
        <w:t xml:space="preserve"> sensations, and the mind as a</w:t>
      </w:r>
      <w:r w:rsidR="003155E5">
        <w:rPr>
          <w:sz w:val="28"/>
          <w:szCs w:val="28"/>
        </w:rPr>
        <w:t xml:space="preserve"> whole, all occur internally, we may never know wh</w:t>
      </w:r>
      <w:r w:rsidR="004624AE">
        <w:rPr>
          <w:sz w:val="28"/>
          <w:szCs w:val="28"/>
        </w:rPr>
        <w:t>at anybody else thinks or feels</w:t>
      </w:r>
      <w:r w:rsidR="003155E5">
        <w:rPr>
          <w:sz w:val="28"/>
          <w:szCs w:val="28"/>
        </w:rPr>
        <w:t xml:space="preserve"> or whether they think or feel anything at all, ‘Just as the contents of a box are logically independent of the label on the box</w:t>
      </w:r>
      <w:r w:rsidR="007F3A48">
        <w:rPr>
          <w:sz w:val="28"/>
          <w:szCs w:val="28"/>
        </w:rPr>
        <w:t>.’</w:t>
      </w:r>
      <w:r w:rsidR="007F3A48">
        <w:rPr>
          <w:rStyle w:val="FootnoteReference"/>
          <w:sz w:val="28"/>
          <w:szCs w:val="28"/>
        </w:rPr>
        <w:footnoteReference w:id="6"/>
      </w:r>
      <w:r w:rsidR="003155E5">
        <w:rPr>
          <w:sz w:val="28"/>
          <w:szCs w:val="28"/>
        </w:rPr>
        <w:t xml:space="preserve"> </w:t>
      </w:r>
      <w:r w:rsidR="007F3A48">
        <w:rPr>
          <w:sz w:val="28"/>
          <w:szCs w:val="28"/>
        </w:rPr>
        <w:t>Here there is always the problem of deception because people can choose to hide their feelings and simulate feelings that they do not have.</w:t>
      </w:r>
      <w:r w:rsidR="009F32FC">
        <w:rPr>
          <w:sz w:val="28"/>
          <w:szCs w:val="28"/>
        </w:rPr>
        <w:t xml:space="preserve"> </w:t>
      </w:r>
      <w:r w:rsidR="009F32FC">
        <w:rPr>
          <w:sz w:val="28"/>
          <w:szCs w:val="28"/>
        </w:rPr>
        <w:t>‘First, we learn that a certain behaviour is called an expression of pain; later we learn that there are exceptions: people may pretend to be in pain; their pain-behaviour may be insincere.’</w:t>
      </w:r>
      <w:r w:rsidR="009F32FC">
        <w:rPr>
          <w:rStyle w:val="FootnoteReference"/>
          <w:sz w:val="28"/>
          <w:szCs w:val="28"/>
        </w:rPr>
        <w:footnoteReference w:id="7"/>
      </w:r>
      <w:r w:rsidR="009F32FC">
        <w:rPr>
          <w:sz w:val="28"/>
          <w:szCs w:val="28"/>
        </w:rPr>
        <w:t xml:space="preserve"> However, I think this seems a bit of a limited qualification. Partly this is because deceit is also a form of behaviour: ‘there are criteria by which to tell whether someone is sincere or deceitful; otherwise we could not meaningfully speak of sincerity and deception.’</w:t>
      </w:r>
      <w:r w:rsidR="009F32FC">
        <w:rPr>
          <w:rStyle w:val="FootnoteReference"/>
          <w:sz w:val="28"/>
          <w:szCs w:val="28"/>
        </w:rPr>
        <w:footnoteReference w:id="8"/>
      </w:r>
      <w:r w:rsidR="009F32FC">
        <w:rPr>
          <w:sz w:val="28"/>
          <w:szCs w:val="28"/>
        </w:rPr>
        <w:t xml:space="preserve"> </w:t>
      </w:r>
      <w:r w:rsidR="007F3A48">
        <w:rPr>
          <w:sz w:val="28"/>
          <w:szCs w:val="28"/>
        </w:rPr>
        <w:t xml:space="preserve">There are people who also think that the contents of our minds may be to some extent incommunicable. ‘How do you know whether what you call your ‘pain’ is at all like the private experience that </w:t>
      </w:r>
      <w:proofErr w:type="spellStart"/>
      <w:r w:rsidR="007F3A48">
        <w:rPr>
          <w:i/>
          <w:sz w:val="28"/>
          <w:szCs w:val="28"/>
        </w:rPr>
        <w:t>i</w:t>
      </w:r>
      <w:proofErr w:type="spellEnd"/>
      <w:r w:rsidR="007F3A48">
        <w:rPr>
          <w:i/>
          <w:sz w:val="28"/>
          <w:szCs w:val="28"/>
        </w:rPr>
        <w:t xml:space="preserve"> </w:t>
      </w:r>
      <w:r w:rsidR="007F3A48">
        <w:rPr>
          <w:sz w:val="28"/>
          <w:szCs w:val="28"/>
        </w:rPr>
        <w:t>call ‘pain?’’</w:t>
      </w:r>
      <w:r w:rsidR="007F3A48">
        <w:rPr>
          <w:rStyle w:val="FootnoteReference"/>
          <w:sz w:val="28"/>
          <w:szCs w:val="28"/>
        </w:rPr>
        <w:footnoteReference w:id="9"/>
      </w:r>
      <w:r w:rsidR="004624AE">
        <w:rPr>
          <w:sz w:val="28"/>
          <w:szCs w:val="28"/>
        </w:rPr>
        <w:t xml:space="preserve"> One may well be able to surmise</w:t>
      </w:r>
      <w:r w:rsidR="007F3A48">
        <w:rPr>
          <w:sz w:val="28"/>
          <w:szCs w:val="28"/>
        </w:rPr>
        <w:t xml:space="preserve"> what someone is feeling, and from that what someone’s words mean, but one could never be one-hundred percent certain about it.</w:t>
      </w:r>
      <w:r w:rsidR="000A6C02">
        <w:rPr>
          <w:sz w:val="28"/>
          <w:szCs w:val="28"/>
        </w:rPr>
        <w:t xml:space="preserve"> But it is still part of our concept of pain that certain patterns of beha</w:t>
      </w:r>
      <w:r w:rsidR="004624AE">
        <w:rPr>
          <w:sz w:val="28"/>
          <w:szCs w:val="28"/>
        </w:rPr>
        <w:t>viour, for example, crying and gr</w:t>
      </w:r>
      <w:r w:rsidR="000A6C02">
        <w:rPr>
          <w:sz w:val="28"/>
          <w:szCs w:val="28"/>
        </w:rPr>
        <w:t>oaning, etc., are natural expressions of pain. ‘By analogy, it might be said to be part of our concept of a violin that it is a musical instrument that produces a certain kind of sound, although it produces that sound only when in good condition, well-tuned and competently handled.’</w:t>
      </w:r>
      <w:r w:rsidR="000A6C02">
        <w:rPr>
          <w:rStyle w:val="FootnoteReference"/>
          <w:sz w:val="28"/>
          <w:szCs w:val="28"/>
        </w:rPr>
        <w:footnoteReference w:id="10"/>
      </w:r>
      <w:r w:rsidR="000A6C02">
        <w:rPr>
          <w:sz w:val="28"/>
          <w:szCs w:val="28"/>
        </w:rPr>
        <w:t xml:space="preserve"> Similarly, pain, of a moderate degree, is expressed by such forms of behaviour only when the person who is in pain</w:t>
      </w:r>
      <w:r w:rsidR="004B5815">
        <w:rPr>
          <w:sz w:val="28"/>
          <w:szCs w:val="28"/>
        </w:rPr>
        <w:t xml:space="preserve"> is not tied down and is willing to show their feelings. ‘And as typical pain-behaviour is not always accompanied by pain (simulation, play-acting), so the sound of a violin may also be produced by something else, electronically.’</w:t>
      </w:r>
      <w:r w:rsidR="004B5815">
        <w:rPr>
          <w:rStyle w:val="FootnoteReference"/>
          <w:sz w:val="28"/>
          <w:szCs w:val="28"/>
        </w:rPr>
        <w:footnoteReference w:id="11"/>
      </w:r>
      <w:r w:rsidR="004B5815">
        <w:rPr>
          <w:sz w:val="28"/>
          <w:szCs w:val="28"/>
        </w:rPr>
        <w:t xml:space="preserve"> </w:t>
      </w:r>
      <w:r w:rsidR="009F32FC">
        <w:rPr>
          <w:sz w:val="28"/>
          <w:szCs w:val="28"/>
        </w:rPr>
        <w:t xml:space="preserve">So it would seem that there is </w:t>
      </w:r>
      <w:r w:rsidR="009F32FC" w:rsidRPr="009F32FC">
        <w:rPr>
          <w:i/>
          <w:sz w:val="28"/>
          <w:szCs w:val="28"/>
        </w:rPr>
        <w:t>some</w:t>
      </w:r>
      <w:r w:rsidR="009F32FC">
        <w:rPr>
          <w:sz w:val="28"/>
          <w:szCs w:val="28"/>
        </w:rPr>
        <w:t xml:space="preserve"> sense in which my sensations </w:t>
      </w:r>
      <w:r w:rsidR="009F32FC" w:rsidRPr="009F32FC">
        <w:rPr>
          <w:i/>
          <w:sz w:val="28"/>
          <w:szCs w:val="28"/>
        </w:rPr>
        <w:t>are</w:t>
      </w:r>
      <w:r w:rsidR="009F32FC">
        <w:rPr>
          <w:sz w:val="28"/>
          <w:szCs w:val="28"/>
        </w:rPr>
        <w:t xml:space="preserve"> private, if </w:t>
      </w:r>
      <w:r w:rsidR="009F32FC">
        <w:rPr>
          <w:sz w:val="28"/>
          <w:szCs w:val="28"/>
        </w:rPr>
        <w:lastRenderedPageBreak/>
        <w:t>one chooses to keep those sensations to one’s self, but that does not mean that there is s</w:t>
      </w:r>
      <w:r w:rsidR="001842E7">
        <w:rPr>
          <w:sz w:val="28"/>
          <w:szCs w:val="28"/>
        </w:rPr>
        <w:t>uch</w:t>
      </w:r>
      <w:r w:rsidR="00593307">
        <w:rPr>
          <w:sz w:val="28"/>
          <w:szCs w:val="28"/>
        </w:rPr>
        <w:t xml:space="preserve"> a</w:t>
      </w:r>
      <w:r w:rsidR="001842E7">
        <w:rPr>
          <w:sz w:val="28"/>
          <w:szCs w:val="28"/>
        </w:rPr>
        <w:t xml:space="preserve"> thing as a </w:t>
      </w:r>
      <w:r w:rsidR="00A11DCF">
        <w:rPr>
          <w:sz w:val="28"/>
          <w:szCs w:val="28"/>
        </w:rPr>
        <w:t>‘</w:t>
      </w:r>
      <w:r w:rsidR="001842E7">
        <w:rPr>
          <w:sz w:val="28"/>
          <w:szCs w:val="28"/>
        </w:rPr>
        <w:t>private language</w:t>
      </w:r>
      <w:r w:rsidR="00A11DCF">
        <w:rPr>
          <w:sz w:val="28"/>
          <w:szCs w:val="28"/>
        </w:rPr>
        <w:t>’</w:t>
      </w:r>
      <w:r w:rsidR="00381DBB">
        <w:rPr>
          <w:sz w:val="28"/>
          <w:szCs w:val="28"/>
        </w:rPr>
        <w:t xml:space="preserve"> to label those sensations with, all language could be public.</w:t>
      </w:r>
      <w:r w:rsidR="00A11DCF">
        <w:rPr>
          <w:sz w:val="28"/>
          <w:szCs w:val="28"/>
        </w:rPr>
        <w:t xml:space="preserve"> As Wittgenstein says in the </w:t>
      </w:r>
      <w:r w:rsidR="00A11DCF">
        <w:rPr>
          <w:i/>
          <w:sz w:val="28"/>
          <w:szCs w:val="28"/>
        </w:rPr>
        <w:t>Philosophical Investigations</w:t>
      </w:r>
      <w:r w:rsidR="00381DBB">
        <w:rPr>
          <w:sz w:val="28"/>
          <w:szCs w:val="28"/>
        </w:rPr>
        <w:t xml:space="preserve"> when speaking of the possibility of a private language,</w:t>
      </w:r>
      <w:r w:rsidR="00A11DCF">
        <w:rPr>
          <w:sz w:val="28"/>
          <w:szCs w:val="28"/>
        </w:rPr>
        <w:t xml:space="preserve"> ‘The individual words of this language are to refer to what can only be known to the person speaking; to his immediate private sensations. So another person cannot understand the language.’</w:t>
      </w:r>
      <w:r w:rsidR="00A11DCF">
        <w:rPr>
          <w:rStyle w:val="FootnoteReference"/>
          <w:sz w:val="28"/>
          <w:szCs w:val="28"/>
        </w:rPr>
        <w:footnoteReference w:id="12"/>
      </w:r>
      <w:r w:rsidR="00225288">
        <w:rPr>
          <w:sz w:val="28"/>
          <w:szCs w:val="28"/>
        </w:rPr>
        <w:t xml:space="preserve"> A private language must not be </w:t>
      </w:r>
      <w:r w:rsidR="002F66AE">
        <w:rPr>
          <w:sz w:val="28"/>
          <w:szCs w:val="28"/>
        </w:rPr>
        <w:t>capable of being translated</w:t>
      </w:r>
      <w:r w:rsidR="00225288">
        <w:rPr>
          <w:sz w:val="28"/>
          <w:szCs w:val="28"/>
        </w:rPr>
        <w:t xml:space="preserve"> into a public language and must only be able to be understood by one person and cannot be learned by another</w:t>
      </w:r>
      <w:r w:rsidR="002F66AE">
        <w:rPr>
          <w:sz w:val="28"/>
          <w:szCs w:val="28"/>
        </w:rPr>
        <w:t>. Only the person speaking the language should be able to understand it.</w:t>
      </w:r>
      <w:r w:rsidR="00AB4B1B">
        <w:rPr>
          <w:sz w:val="28"/>
          <w:szCs w:val="28"/>
        </w:rPr>
        <w:t xml:space="preserve"> As</w:t>
      </w:r>
      <w:r w:rsidR="00AD5B70" w:rsidRPr="00AD5B70">
        <w:rPr>
          <w:sz w:val="28"/>
          <w:szCs w:val="28"/>
        </w:rPr>
        <w:t xml:space="preserve"> </w:t>
      </w:r>
      <w:r w:rsidR="00AD5B70" w:rsidRPr="009A2A0C">
        <w:rPr>
          <w:sz w:val="28"/>
          <w:szCs w:val="28"/>
        </w:rPr>
        <w:t>Wittgenstein says</w:t>
      </w:r>
      <w:r w:rsidR="00AB4B1B">
        <w:rPr>
          <w:sz w:val="28"/>
          <w:szCs w:val="28"/>
        </w:rPr>
        <w:t>,</w:t>
      </w:r>
      <w:r w:rsidR="00AD5B70" w:rsidRPr="009A2A0C">
        <w:rPr>
          <w:sz w:val="28"/>
          <w:szCs w:val="28"/>
        </w:rPr>
        <w:t xml:space="preserve"> ‘it is not sufficient here, however, for the language to simply be one that has not yet been translated. In order to count as a private language in Wittgenstein’s sense, it must be in principle incapable of translation into an ordinary language: if, for example, I were to describe those inner experiences supposed to be inaccessible to others.’</w:t>
      </w:r>
      <w:r w:rsidR="00AD5B70">
        <w:rPr>
          <w:rStyle w:val="FootnoteReference"/>
          <w:sz w:val="28"/>
          <w:szCs w:val="28"/>
        </w:rPr>
        <w:footnoteReference w:id="13"/>
      </w:r>
      <w:r w:rsidR="002F66AE">
        <w:rPr>
          <w:sz w:val="28"/>
          <w:szCs w:val="28"/>
        </w:rPr>
        <w:t xml:space="preserve"> But Wittgenstein thinks that a private language in this sense is inco</w:t>
      </w:r>
      <w:r w:rsidR="00D30C2E">
        <w:rPr>
          <w:sz w:val="28"/>
          <w:szCs w:val="28"/>
        </w:rPr>
        <w:t>nsistent and thought that ‘the notion of a private language rested on two fundamental mistakes, one about the nature of experience, and one about the nature of language.’</w:t>
      </w:r>
      <w:r w:rsidR="00D30C2E">
        <w:rPr>
          <w:rStyle w:val="FootnoteReference"/>
          <w:sz w:val="28"/>
          <w:szCs w:val="28"/>
        </w:rPr>
        <w:footnoteReference w:id="14"/>
      </w:r>
      <w:r w:rsidR="00D30C2E">
        <w:rPr>
          <w:sz w:val="28"/>
          <w:szCs w:val="28"/>
        </w:rPr>
        <w:t xml:space="preserve"> He thought that experience was not actually private and </w:t>
      </w:r>
      <w:r w:rsidR="000119EA">
        <w:rPr>
          <w:sz w:val="28"/>
          <w:szCs w:val="28"/>
        </w:rPr>
        <w:t>that words can get their meaning in ways other than just bare ostensive definition</w:t>
      </w:r>
      <w:r w:rsidR="00AD5B70">
        <w:rPr>
          <w:sz w:val="28"/>
          <w:szCs w:val="28"/>
        </w:rPr>
        <w:t xml:space="preserve"> -</w:t>
      </w:r>
      <w:r w:rsidR="000119EA">
        <w:rPr>
          <w:sz w:val="28"/>
          <w:szCs w:val="28"/>
        </w:rPr>
        <w:t xml:space="preserve"> by being trained in the use of words in a language. </w:t>
      </w:r>
      <w:r w:rsidR="00BB3AF0">
        <w:rPr>
          <w:sz w:val="28"/>
          <w:szCs w:val="28"/>
        </w:rPr>
        <w:t xml:space="preserve">I think </w:t>
      </w:r>
      <w:r w:rsidR="00AB4B1B">
        <w:rPr>
          <w:sz w:val="28"/>
          <w:szCs w:val="28"/>
        </w:rPr>
        <w:t xml:space="preserve">Wittgenstein thought that </w:t>
      </w:r>
      <w:r w:rsidR="00BB3AF0">
        <w:rPr>
          <w:sz w:val="28"/>
          <w:szCs w:val="28"/>
        </w:rPr>
        <w:t xml:space="preserve">it was ‘acquaintance’ that gave meaning to words in our public language, but this could not be done with a private language if there was such a thing.  </w:t>
      </w:r>
      <w:r w:rsidR="00A61301">
        <w:rPr>
          <w:sz w:val="28"/>
          <w:szCs w:val="28"/>
        </w:rPr>
        <w:t>This is ‘one formulation of the idea that it is acquaintance which conveys meaning: it is only one’s own pain that one is acquainted with, so it is only from one’s own case that one knows what pain is.’</w:t>
      </w:r>
      <w:r w:rsidR="00A61301">
        <w:rPr>
          <w:rStyle w:val="FootnoteReference"/>
          <w:sz w:val="28"/>
          <w:szCs w:val="28"/>
        </w:rPr>
        <w:footnoteReference w:id="15"/>
      </w:r>
      <w:r w:rsidR="00A61301">
        <w:rPr>
          <w:sz w:val="28"/>
          <w:szCs w:val="28"/>
        </w:rPr>
        <w:t xml:space="preserve"> Therefore, if this is true, then we definitely do not learn a</w:t>
      </w:r>
      <w:r w:rsidR="00AB4B1B">
        <w:rPr>
          <w:sz w:val="28"/>
          <w:szCs w:val="28"/>
        </w:rPr>
        <w:t xml:space="preserve"> language from </w:t>
      </w:r>
      <w:r w:rsidR="00A61301">
        <w:rPr>
          <w:sz w:val="28"/>
          <w:szCs w:val="28"/>
        </w:rPr>
        <w:t>demonstration</w:t>
      </w:r>
      <w:r w:rsidR="00AB4B1B">
        <w:rPr>
          <w:sz w:val="28"/>
          <w:szCs w:val="28"/>
        </w:rPr>
        <w:t xml:space="preserve"> only</w:t>
      </w:r>
      <w:r w:rsidR="00A61301">
        <w:rPr>
          <w:sz w:val="28"/>
          <w:szCs w:val="28"/>
        </w:rPr>
        <w:t>.</w:t>
      </w:r>
      <w:r w:rsidR="00BB3AF0">
        <w:rPr>
          <w:sz w:val="28"/>
          <w:szCs w:val="28"/>
        </w:rPr>
        <w:t xml:space="preserve"> </w:t>
      </w:r>
      <w:bookmarkStart w:id="0" w:name="_GoBack"/>
      <w:bookmarkEnd w:id="0"/>
    </w:p>
    <w:p w:rsidR="00225288" w:rsidRDefault="001B0ED5" w:rsidP="0008359D">
      <w:pPr>
        <w:rPr>
          <w:sz w:val="28"/>
          <w:szCs w:val="28"/>
        </w:rPr>
      </w:pPr>
      <w:r>
        <w:rPr>
          <w:sz w:val="28"/>
          <w:szCs w:val="28"/>
        </w:rPr>
        <w:t xml:space="preserve">      </w:t>
      </w:r>
    </w:p>
    <w:p w:rsidR="00225288" w:rsidRDefault="00225288" w:rsidP="0008359D">
      <w:pPr>
        <w:rPr>
          <w:sz w:val="28"/>
          <w:szCs w:val="28"/>
        </w:rPr>
      </w:pPr>
    </w:p>
    <w:p w:rsidR="00225288" w:rsidRDefault="00225288" w:rsidP="0008359D">
      <w:pPr>
        <w:rPr>
          <w:sz w:val="28"/>
          <w:szCs w:val="28"/>
        </w:rPr>
      </w:pPr>
    </w:p>
    <w:p w:rsidR="00225288" w:rsidRDefault="00225288" w:rsidP="0008359D">
      <w:pPr>
        <w:rPr>
          <w:sz w:val="28"/>
          <w:szCs w:val="28"/>
        </w:rPr>
      </w:pPr>
    </w:p>
    <w:p w:rsidR="00225288" w:rsidRDefault="00225288" w:rsidP="0008359D">
      <w:pPr>
        <w:rPr>
          <w:sz w:val="28"/>
          <w:szCs w:val="28"/>
        </w:rPr>
      </w:pPr>
    </w:p>
    <w:p w:rsidR="00816939" w:rsidRPr="00727218" w:rsidRDefault="0030676F" w:rsidP="0008359D">
      <w:pPr>
        <w:rPr>
          <w:sz w:val="28"/>
          <w:szCs w:val="28"/>
        </w:rPr>
      </w:pPr>
      <w:r>
        <w:rPr>
          <w:sz w:val="28"/>
          <w:szCs w:val="28"/>
        </w:rPr>
        <w:t xml:space="preserve">  </w:t>
      </w:r>
      <w:r w:rsidR="00816939">
        <w:rPr>
          <w:sz w:val="28"/>
          <w:szCs w:val="28"/>
        </w:rPr>
        <w:t xml:space="preserve">     </w:t>
      </w:r>
    </w:p>
    <w:sectPr w:rsidR="00816939" w:rsidRPr="007272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2735" w:rsidRDefault="00532735" w:rsidP="00F07CC7">
      <w:pPr>
        <w:spacing w:after="0" w:line="240" w:lineRule="auto"/>
      </w:pPr>
      <w:r>
        <w:separator/>
      </w:r>
    </w:p>
  </w:endnote>
  <w:endnote w:type="continuationSeparator" w:id="0">
    <w:p w:rsidR="00532735" w:rsidRDefault="00532735" w:rsidP="00F07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2735" w:rsidRDefault="00532735" w:rsidP="00F07CC7">
      <w:pPr>
        <w:spacing w:after="0" w:line="240" w:lineRule="auto"/>
      </w:pPr>
      <w:r>
        <w:separator/>
      </w:r>
    </w:p>
  </w:footnote>
  <w:footnote w:type="continuationSeparator" w:id="0">
    <w:p w:rsidR="00532735" w:rsidRDefault="00532735" w:rsidP="00F07CC7">
      <w:pPr>
        <w:spacing w:after="0" w:line="240" w:lineRule="auto"/>
      </w:pPr>
      <w:r>
        <w:continuationSeparator/>
      </w:r>
    </w:p>
  </w:footnote>
  <w:footnote w:id="1">
    <w:p w:rsidR="0030676F" w:rsidRPr="003A1F43" w:rsidRDefault="0030676F">
      <w:pPr>
        <w:pStyle w:val="FootnoteText"/>
      </w:pPr>
      <w:r>
        <w:rPr>
          <w:rStyle w:val="FootnoteReference"/>
        </w:rPr>
        <w:footnoteRef/>
      </w:r>
      <w:r>
        <w:t xml:space="preserve"> </w:t>
      </w:r>
      <w:r w:rsidR="003A1F43">
        <w:t>Private language argument. (</w:t>
      </w:r>
      <w:proofErr w:type="spellStart"/>
      <w:r w:rsidR="003A1F43">
        <w:t>n.d.</w:t>
      </w:r>
      <w:proofErr w:type="spellEnd"/>
      <w:r w:rsidR="003A1F43">
        <w:t xml:space="preserve">). In </w:t>
      </w:r>
      <w:r w:rsidR="003A1F43">
        <w:rPr>
          <w:i/>
        </w:rPr>
        <w:t>Wikipedia</w:t>
      </w:r>
      <w:r w:rsidR="003A1F43">
        <w:t xml:space="preserve">. Retrieved May 11, 2018, from </w:t>
      </w:r>
      <w:r w:rsidR="003A1F43" w:rsidRPr="003A1F43">
        <w:t>https://en.wikipedia.org/wiki/Private_language_argument</w:t>
      </w:r>
    </w:p>
  </w:footnote>
  <w:footnote w:id="2">
    <w:p w:rsidR="004D6CF3" w:rsidRPr="004D6CF3" w:rsidRDefault="004D6CF3">
      <w:pPr>
        <w:pStyle w:val="FootnoteText"/>
        <w:rPr>
          <w:i/>
        </w:rPr>
      </w:pPr>
      <w:r>
        <w:rPr>
          <w:rStyle w:val="FootnoteReference"/>
        </w:rPr>
        <w:footnoteRef/>
      </w:r>
      <w:r>
        <w:t xml:space="preserve"> Anthony Kenny, </w:t>
      </w:r>
      <w:r>
        <w:rPr>
          <w:i/>
        </w:rPr>
        <w:t>Wittgenstein, revised edition, (</w:t>
      </w:r>
      <w:r w:rsidRPr="004D6CF3">
        <w:t>Oxford, Blackwell Publishing</w:t>
      </w:r>
      <w:r>
        <w:t>, 2006) p. 147</w:t>
      </w:r>
    </w:p>
  </w:footnote>
  <w:footnote w:id="3">
    <w:p w:rsidR="000E7240" w:rsidRDefault="000E7240">
      <w:pPr>
        <w:pStyle w:val="FootnoteText"/>
      </w:pPr>
      <w:r>
        <w:rPr>
          <w:rStyle w:val="FootnoteReference"/>
        </w:rPr>
        <w:footnoteRef/>
      </w:r>
      <w:r>
        <w:t xml:space="preserve"> Ibid. p. 147</w:t>
      </w:r>
    </w:p>
  </w:footnote>
  <w:footnote w:id="4">
    <w:p w:rsidR="00C54E1D" w:rsidRPr="004B5815" w:rsidRDefault="00C54E1D">
      <w:pPr>
        <w:pStyle w:val="FootnoteText"/>
      </w:pPr>
      <w:r>
        <w:rPr>
          <w:rStyle w:val="FootnoteReference"/>
        </w:rPr>
        <w:footnoteRef/>
      </w:r>
      <w:r>
        <w:t xml:space="preserve"> </w:t>
      </w:r>
      <w:proofErr w:type="spellStart"/>
      <w:r>
        <w:t>Severin</w:t>
      </w:r>
      <w:proofErr w:type="spellEnd"/>
      <w:r>
        <w:t xml:space="preserve"> Schroeder, </w:t>
      </w:r>
      <w:r>
        <w:rPr>
          <w:i/>
        </w:rPr>
        <w:t xml:space="preserve">Wittgenstein, </w:t>
      </w:r>
      <w:r>
        <w:t>(Cambridge: Polity Press, 2006) p. 206.</w:t>
      </w:r>
    </w:p>
  </w:footnote>
  <w:footnote w:id="5">
    <w:p w:rsidR="00C54E1D" w:rsidRPr="003155E5" w:rsidRDefault="00C54E1D">
      <w:pPr>
        <w:pStyle w:val="FootnoteText"/>
      </w:pPr>
      <w:r>
        <w:rPr>
          <w:rStyle w:val="FootnoteReference"/>
        </w:rPr>
        <w:footnoteRef/>
      </w:r>
      <w:r>
        <w:t xml:space="preserve"> </w:t>
      </w:r>
      <w:proofErr w:type="spellStart"/>
      <w:r>
        <w:t>Severin</w:t>
      </w:r>
      <w:proofErr w:type="spellEnd"/>
      <w:r>
        <w:t xml:space="preserve"> Schroeder, </w:t>
      </w:r>
      <w:r>
        <w:rPr>
          <w:i/>
        </w:rPr>
        <w:t xml:space="preserve">Wittgenstein, </w:t>
      </w:r>
      <w:r>
        <w:t>(Cambridge: Polity Press, 2006) p. 202.</w:t>
      </w:r>
    </w:p>
  </w:footnote>
  <w:footnote w:id="6">
    <w:p w:rsidR="00C54E1D" w:rsidRDefault="00C54E1D">
      <w:pPr>
        <w:pStyle w:val="FootnoteText"/>
      </w:pPr>
      <w:r>
        <w:rPr>
          <w:rStyle w:val="FootnoteReference"/>
        </w:rPr>
        <w:footnoteRef/>
      </w:r>
      <w:r>
        <w:t xml:space="preserve"> Ibid. p. 202.</w:t>
      </w:r>
    </w:p>
  </w:footnote>
  <w:footnote w:id="7">
    <w:p w:rsidR="009F32FC" w:rsidRDefault="009F32FC" w:rsidP="009F32FC">
      <w:pPr>
        <w:pStyle w:val="FootnoteText"/>
      </w:pPr>
      <w:r>
        <w:rPr>
          <w:rStyle w:val="FootnoteReference"/>
        </w:rPr>
        <w:footnoteRef/>
      </w:r>
      <w:r>
        <w:t xml:space="preserve"> </w:t>
      </w:r>
      <w:proofErr w:type="spellStart"/>
      <w:r>
        <w:t>Ibid.p</w:t>
      </w:r>
      <w:proofErr w:type="spellEnd"/>
      <w:r>
        <w:t>. 209.</w:t>
      </w:r>
    </w:p>
  </w:footnote>
  <w:footnote w:id="8">
    <w:p w:rsidR="009F32FC" w:rsidRDefault="009F32FC" w:rsidP="009F32FC">
      <w:pPr>
        <w:pStyle w:val="FootnoteText"/>
      </w:pPr>
      <w:r>
        <w:rPr>
          <w:rStyle w:val="FootnoteReference"/>
        </w:rPr>
        <w:footnoteRef/>
      </w:r>
      <w:r>
        <w:t xml:space="preserve"> </w:t>
      </w:r>
      <w:proofErr w:type="spellStart"/>
      <w:r>
        <w:t>Ibid.p</w:t>
      </w:r>
      <w:proofErr w:type="spellEnd"/>
      <w:r>
        <w:t>. 209.</w:t>
      </w:r>
    </w:p>
  </w:footnote>
  <w:footnote w:id="9">
    <w:p w:rsidR="00C54E1D" w:rsidRDefault="00C54E1D">
      <w:pPr>
        <w:pStyle w:val="FootnoteText"/>
      </w:pPr>
      <w:r>
        <w:rPr>
          <w:rStyle w:val="FootnoteReference"/>
        </w:rPr>
        <w:footnoteRef/>
      </w:r>
      <w:r>
        <w:t xml:space="preserve"> Ibid. p. 204.</w:t>
      </w:r>
    </w:p>
  </w:footnote>
  <w:footnote w:id="10">
    <w:p w:rsidR="00C54E1D" w:rsidRDefault="00C54E1D">
      <w:pPr>
        <w:pStyle w:val="FootnoteText"/>
      </w:pPr>
      <w:r>
        <w:rPr>
          <w:rStyle w:val="FootnoteReference"/>
        </w:rPr>
        <w:footnoteRef/>
      </w:r>
      <w:r>
        <w:t xml:space="preserve"> Ibid. p. 205.</w:t>
      </w:r>
    </w:p>
  </w:footnote>
  <w:footnote w:id="11">
    <w:p w:rsidR="00C54E1D" w:rsidRDefault="00C54E1D">
      <w:pPr>
        <w:pStyle w:val="FootnoteText"/>
      </w:pPr>
      <w:r>
        <w:rPr>
          <w:rStyle w:val="FootnoteReference"/>
        </w:rPr>
        <w:footnoteRef/>
      </w:r>
      <w:r>
        <w:t xml:space="preserve"> Ibid. p. 205.</w:t>
      </w:r>
    </w:p>
  </w:footnote>
  <w:footnote w:id="12">
    <w:p w:rsidR="00A11DCF" w:rsidRPr="00A11DCF" w:rsidRDefault="00A11DCF">
      <w:pPr>
        <w:pStyle w:val="FootnoteText"/>
      </w:pPr>
      <w:r>
        <w:rPr>
          <w:rStyle w:val="FootnoteReference"/>
        </w:rPr>
        <w:footnoteRef/>
      </w:r>
      <w:r>
        <w:t xml:space="preserve"> Ludwig Wittgenstein, </w:t>
      </w:r>
      <w:r>
        <w:rPr>
          <w:i/>
        </w:rPr>
        <w:t xml:space="preserve">Philosophical Investigations, translated by G.E.M. </w:t>
      </w:r>
      <w:proofErr w:type="spellStart"/>
      <w:r>
        <w:rPr>
          <w:i/>
        </w:rPr>
        <w:t>Anscombe</w:t>
      </w:r>
      <w:proofErr w:type="spellEnd"/>
      <w:r>
        <w:rPr>
          <w:i/>
        </w:rPr>
        <w:t xml:space="preserve">, </w:t>
      </w:r>
      <w:r>
        <w:t xml:space="preserve">(Oxford, Basil Blackwell &amp; Mott, Ltd., 1978) p. </w:t>
      </w:r>
      <w:r w:rsidR="00A43009">
        <w:t>88-9</w:t>
      </w:r>
    </w:p>
  </w:footnote>
  <w:footnote w:id="13">
    <w:p w:rsidR="00AD5B70" w:rsidRPr="00AD5B70" w:rsidRDefault="00AD5B70">
      <w:pPr>
        <w:pStyle w:val="FootnoteText"/>
      </w:pPr>
      <w:r>
        <w:rPr>
          <w:rStyle w:val="FootnoteReference"/>
        </w:rPr>
        <w:footnoteRef/>
      </w:r>
      <w:r>
        <w:t xml:space="preserve"> Anthony Kenny, </w:t>
      </w:r>
      <w:r>
        <w:rPr>
          <w:i/>
        </w:rPr>
        <w:t xml:space="preserve">Wittgenstein, revised edition, </w:t>
      </w:r>
      <w:r>
        <w:t>(Oxford, Blackwell Publishing, 2006) p. 142</w:t>
      </w:r>
    </w:p>
  </w:footnote>
  <w:footnote w:id="14">
    <w:p w:rsidR="00D30C2E" w:rsidRPr="00D30C2E" w:rsidRDefault="00D30C2E">
      <w:pPr>
        <w:pStyle w:val="FootnoteText"/>
      </w:pPr>
      <w:r>
        <w:rPr>
          <w:rStyle w:val="FootnoteReference"/>
        </w:rPr>
        <w:footnoteRef/>
      </w:r>
      <w:r>
        <w:t xml:space="preserve"> Anthony Kenny, </w:t>
      </w:r>
      <w:r>
        <w:rPr>
          <w:i/>
        </w:rPr>
        <w:t xml:space="preserve">Wittgenstein, revised edition, </w:t>
      </w:r>
      <w:r>
        <w:t>(Oxford, Blackwell Publishing, 2006) p. 142</w:t>
      </w:r>
    </w:p>
  </w:footnote>
  <w:footnote w:id="15">
    <w:p w:rsidR="00A61301" w:rsidRDefault="00A61301">
      <w:pPr>
        <w:pStyle w:val="FootnoteText"/>
      </w:pPr>
      <w:r>
        <w:rPr>
          <w:rStyle w:val="FootnoteReference"/>
        </w:rPr>
        <w:footnoteRef/>
      </w:r>
      <w:r>
        <w:t xml:space="preserve"> Ibid. p. 144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59D"/>
    <w:rsid w:val="000119EA"/>
    <w:rsid w:val="00061982"/>
    <w:rsid w:val="0008359D"/>
    <w:rsid w:val="000A6C02"/>
    <w:rsid w:val="000E7240"/>
    <w:rsid w:val="00160E06"/>
    <w:rsid w:val="001615DF"/>
    <w:rsid w:val="001842E7"/>
    <w:rsid w:val="001A2236"/>
    <w:rsid w:val="001B0ED5"/>
    <w:rsid w:val="001F6A3B"/>
    <w:rsid w:val="00200DFF"/>
    <w:rsid w:val="00225288"/>
    <w:rsid w:val="002713AC"/>
    <w:rsid w:val="00286832"/>
    <w:rsid w:val="002F66AE"/>
    <w:rsid w:val="0030676F"/>
    <w:rsid w:val="003155E5"/>
    <w:rsid w:val="00316EEE"/>
    <w:rsid w:val="00355A15"/>
    <w:rsid w:val="00365E90"/>
    <w:rsid w:val="00381DBB"/>
    <w:rsid w:val="003A1F43"/>
    <w:rsid w:val="003F554B"/>
    <w:rsid w:val="004624AE"/>
    <w:rsid w:val="004956F9"/>
    <w:rsid w:val="004B5815"/>
    <w:rsid w:val="004D6CF3"/>
    <w:rsid w:val="00510271"/>
    <w:rsid w:val="005141E7"/>
    <w:rsid w:val="00532735"/>
    <w:rsid w:val="00593307"/>
    <w:rsid w:val="005C3404"/>
    <w:rsid w:val="005D0015"/>
    <w:rsid w:val="006157AB"/>
    <w:rsid w:val="00632A86"/>
    <w:rsid w:val="00665A6E"/>
    <w:rsid w:val="0068294D"/>
    <w:rsid w:val="006A3EB1"/>
    <w:rsid w:val="006C6CDE"/>
    <w:rsid w:val="006E13BB"/>
    <w:rsid w:val="00727218"/>
    <w:rsid w:val="0079798E"/>
    <w:rsid w:val="007B6778"/>
    <w:rsid w:val="007F3A48"/>
    <w:rsid w:val="00816939"/>
    <w:rsid w:val="00840C65"/>
    <w:rsid w:val="008719D1"/>
    <w:rsid w:val="008A5E16"/>
    <w:rsid w:val="008C2B11"/>
    <w:rsid w:val="008D338A"/>
    <w:rsid w:val="0094361F"/>
    <w:rsid w:val="00943943"/>
    <w:rsid w:val="009A2A0C"/>
    <w:rsid w:val="009D0BD0"/>
    <w:rsid w:val="009F32FC"/>
    <w:rsid w:val="00A11DCF"/>
    <w:rsid w:val="00A43009"/>
    <w:rsid w:val="00A61301"/>
    <w:rsid w:val="00A67283"/>
    <w:rsid w:val="00A73BDF"/>
    <w:rsid w:val="00AB4B1B"/>
    <w:rsid w:val="00AD5B70"/>
    <w:rsid w:val="00B82CE6"/>
    <w:rsid w:val="00BB3AF0"/>
    <w:rsid w:val="00BE6154"/>
    <w:rsid w:val="00C11BDC"/>
    <w:rsid w:val="00C52EB1"/>
    <w:rsid w:val="00C54E1D"/>
    <w:rsid w:val="00CC7C76"/>
    <w:rsid w:val="00CE7668"/>
    <w:rsid w:val="00D30C2E"/>
    <w:rsid w:val="00DE3576"/>
    <w:rsid w:val="00DE4D6C"/>
    <w:rsid w:val="00EB7BCA"/>
    <w:rsid w:val="00EC4F6E"/>
    <w:rsid w:val="00ED178E"/>
    <w:rsid w:val="00F07CC7"/>
    <w:rsid w:val="00FF27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6A0626-01A6-4433-816E-2DF69352B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8359D"/>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08359D"/>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8359D"/>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08359D"/>
    <w:rPr>
      <w:rFonts w:ascii="Tahoma" w:eastAsia="SimSun" w:hAnsi="Tahoma" w:cs="Tahoma"/>
      <w:b/>
      <w:bCs/>
      <w:sz w:val="20"/>
      <w:szCs w:val="20"/>
      <w:lang w:eastAsia="zh-CN"/>
    </w:rPr>
  </w:style>
  <w:style w:type="paragraph" w:styleId="NormalWeb">
    <w:name w:val="Normal (Web)"/>
    <w:basedOn w:val="Normal"/>
    <w:rsid w:val="0008359D"/>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FootnoteText">
    <w:name w:val="footnote text"/>
    <w:basedOn w:val="Normal"/>
    <w:link w:val="FootnoteTextChar"/>
    <w:uiPriority w:val="99"/>
    <w:semiHidden/>
    <w:unhideWhenUsed/>
    <w:rsid w:val="00F07CC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07CC7"/>
    <w:rPr>
      <w:sz w:val="20"/>
      <w:szCs w:val="20"/>
    </w:rPr>
  </w:style>
  <w:style w:type="character" w:styleId="FootnoteReference">
    <w:name w:val="footnote reference"/>
    <w:basedOn w:val="DefaultParagraphFont"/>
    <w:uiPriority w:val="99"/>
    <w:semiHidden/>
    <w:unhideWhenUsed/>
    <w:rsid w:val="00F07CC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4C060-4DF7-4337-B9A6-D8414E733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6</Pages>
  <Words>1447</Words>
  <Characters>8249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Invate</dc:creator>
  <cp:keywords/>
  <dc:description/>
  <cp:lastModifiedBy>Invate</cp:lastModifiedBy>
  <cp:revision>4</cp:revision>
  <dcterms:created xsi:type="dcterms:W3CDTF">2018-05-11T15:41:00Z</dcterms:created>
  <dcterms:modified xsi:type="dcterms:W3CDTF">2018-05-11T16:41:00Z</dcterms:modified>
</cp:coreProperties>
</file>