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00A2D" w14:textId="02E36726" w:rsidR="0025615D" w:rsidRDefault="0025615D" w:rsidP="0025615D">
      <w:pPr>
        <w:pStyle w:val="TableParagraph"/>
        <w:ind w:left="0"/>
        <w:jc w:val="center"/>
        <w:rPr>
          <w:rFonts w:ascii="Times New Roman" w:hAnsi="Times New Roman" w:cs="Times New Roman"/>
          <w:b/>
          <w:sz w:val="28"/>
          <w:szCs w:val="28"/>
        </w:rPr>
      </w:pPr>
      <w:r w:rsidRPr="0025615D">
        <w:rPr>
          <w:rFonts w:ascii="Times New Roman" w:hAnsi="Times New Roman" w:cs="Times New Roman"/>
          <w:b/>
          <w:sz w:val="28"/>
          <w:szCs w:val="28"/>
        </w:rPr>
        <w:t>ECIE5010</w:t>
      </w:r>
    </w:p>
    <w:p w14:paraId="20928014" w14:textId="77777777" w:rsidR="0025615D" w:rsidRPr="0025615D" w:rsidRDefault="0025615D" w:rsidP="0025615D">
      <w:pPr>
        <w:pStyle w:val="TableParagraph"/>
        <w:ind w:left="0"/>
        <w:jc w:val="center"/>
        <w:rPr>
          <w:rFonts w:ascii="Times New Roman" w:hAnsi="Times New Roman" w:cs="Times New Roman"/>
          <w:bCs/>
          <w:sz w:val="28"/>
          <w:szCs w:val="28"/>
        </w:rPr>
      </w:pPr>
    </w:p>
    <w:p w14:paraId="59115A28" w14:textId="6A05C629" w:rsidR="0025615D" w:rsidRPr="0025615D" w:rsidRDefault="0025615D" w:rsidP="0025615D">
      <w:pPr>
        <w:pStyle w:val="TableParagraph"/>
        <w:ind w:left="0"/>
        <w:jc w:val="center"/>
        <w:rPr>
          <w:rFonts w:ascii="Times New Roman" w:hAnsi="Times New Roman" w:cs="Times New Roman"/>
          <w:b/>
          <w:sz w:val="28"/>
          <w:szCs w:val="28"/>
        </w:rPr>
      </w:pPr>
      <w:r w:rsidRPr="0025615D">
        <w:rPr>
          <w:rFonts w:ascii="Times New Roman" w:hAnsi="Times New Roman" w:cs="Times New Roman"/>
          <w:bCs/>
          <w:sz w:val="28"/>
          <w:szCs w:val="28"/>
        </w:rPr>
        <w:t>‘</w:t>
      </w:r>
      <w:r w:rsidRPr="0025615D">
        <w:rPr>
          <w:rFonts w:ascii="Times New Roman" w:hAnsi="Times New Roman" w:cs="Times New Roman"/>
          <w:b/>
          <w:sz w:val="28"/>
          <w:szCs w:val="28"/>
        </w:rPr>
        <w:t>The Multi Agency model in Wales promotes the welfare of children and young people’. Critically discuss this</w:t>
      </w:r>
    </w:p>
    <w:p w14:paraId="40EF8022" w14:textId="77777777" w:rsidR="0025615D" w:rsidRDefault="0025615D" w:rsidP="0025615D">
      <w:pPr>
        <w:pStyle w:val="NormalWeb"/>
        <w:spacing w:line="360" w:lineRule="auto"/>
        <w:rPr>
          <w:color w:val="000000"/>
        </w:rPr>
      </w:pPr>
    </w:p>
    <w:p w14:paraId="6EDCBA8E" w14:textId="5A994760" w:rsidR="001B4096" w:rsidRPr="0025615D" w:rsidRDefault="008C5426" w:rsidP="0025615D">
      <w:pPr>
        <w:pStyle w:val="NormalWeb"/>
        <w:spacing w:line="360" w:lineRule="auto"/>
        <w:rPr>
          <w:color w:val="000000"/>
        </w:rPr>
      </w:pPr>
      <w:r w:rsidRPr="0025615D">
        <w:rPr>
          <w:color w:val="000000"/>
        </w:rPr>
        <w:t>The welfare of children and young people is a central priority across education, social care</w:t>
      </w:r>
      <w:r w:rsidRPr="0025615D">
        <w:rPr>
          <w:color w:val="000000"/>
        </w:rPr>
        <w:t xml:space="preserve"> </w:t>
      </w:r>
      <w:r w:rsidRPr="0025615D">
        <w:rPr>
          <w:color w:val="000000"/>
        </w:rPr>
        <w:t>and wider public services in Wales (</w:t>
      </w:r>
      <w:r w:rsidR="00147DF9" w:rsidRPr="0025615D">
        <w:rPr>
          <w:rStyle w:val="whitespace-normal"/>
          <w:rFonts w:eastAsiaTheme="majorEastAsia"/>
          <w:color w:val="000000"/>
        </w:rPr>
        <w:t>Education Wales, 2020</w:t>
      </w:r>
      <w:r w:rsidRPr="0025615D">
        <w:rPr>
          <w:color w:val="000000"/>
        </w:rPr>
        <w:t xml:space="preserve">). This reflects a growing recognition that safeguarding is not the responsibility of a single </w:t>
      </w:r>
      <w:r w:rsidRPr="0025615D">
        <w:rPr>
          <w:color w:val="000000"/>
        </w:rPr>
        <w:t>service but</w:t>
      </w:r>
      <w:r w:rsidRPr="0025615D">
        <w:rPr>
          <w:color w:val="000000"/>
        </w:rPr>
        <w:t xml:space="preserve"> instead requires a coordinated and holistic approach to meet the diverse needs of children. As a result, the multi-agency model</w:t>
      </w:r>
      <w:r w:rsidRPr="0025615D">
        <w:rPr>
          <w:color w:val="000000"/>
        </w:rPr>
        <w:t xml:space="preserve">, </w:t>
      </w:r>
      <w:r w:rsidRPr="0025615D">
        <w:rPr>
          <w:color w:val="000000"/>
        </w:rPr>
        <w:t>bringing together professionals from sectors such as education, health, social services and the police</w:t>
      </w:r>
      <w:r w:rsidRPr="0025615D">
        <w:rPr>
          <w:color w:val="000000"/>
        </w:rPr>
        <w:t xml:space="preserve">, </w:t>
      </w:r>
      <w:r w:rsidRPr="0025615D">
        <w:rPr>
          <w:color w:val="000000"/>
        </w:rPr>
        <w:t>has been developed to safeguard children and promote their overall well-being (</w:t>
      </w:r>
      <w:r w:rsidRPr="0025615D">
        <w:rPr>
          <w:rStyle w:val="whitespace-normal"/>
          <w:rFonts w:eastAsiaTheme="majorEastAsia"/>
          <w:color w:val="000000"/>
        </w:rPr>
        <w:t>Welsh Government</w:t>
      </w:r>
      <w:r w:rsidRPr="0025615D">
        <w:rPr>
          <w:color w:val="000000"/>
        </w:rPr>
        <w:t xml:space="preserve">, 2025). This collaborative approach aims to ensure that concerns are identified early, information is effectively </w:t>
      </w:r>
      <w:proofErr w:type="gramStart"/>
      <w:r w:rsidRPr="0025615D">
        <w:rPr>
          <w:color w:val="000000"/>
        </w:rPr>
        <w:t>shared</w:t>
      </w:r>
      <w:proofErr w:type="gramEnd"/>
      <w:r w:rsidRPr="0025615D">
        <w:rPr>
          <w:color w:val="000000"/>
        </w:rPr>
        <w:t xml:space="preserve"> and appropriate support is provided </w:t>
      </w:r>
      <w:r w:rsidR="0025615D">
        <w:rPr>
          <w:color w:val="000000"/>
        </w:rPr>
        <w:t>promptly</w:t>
      </w:r>
      <w:r w:rsidRPr="0025615D">
        <w:rPr>
          <w:color w:val="000000"/>
        </w:rPr>
        <w:t>.</w:t>
      </w:r>
      <w:r w:rsidRPr="0025615D">
        <w:rPr>
          <w:color w:val="000000"/>
        </w:rPr>
        <w:t xml:space="preserve"> </w:t>
      </w:r>
      <w:r w:rsidRPr="0025615D">
        <w:rPr>
          <w:color w:val="000000"/>
        </w:rPr>
        <w:t>Although multi-agency working is widely recognised as essential for improving outcomes for children and young people, its effectiveness is shaped by both its strengths and ongoing challenges</w:t>
      </w:r>
      <w:r w:rsidR="00147DF9" w:rsidRPr="0025615D">
        <w:rPr>
          <w:color w:val="000000"/>
        </w:rPr>
        <w:t xml:space="preserve">. </w:t>
      </w:r>
      <w:r w:rsidRPr="0025615D">
        <w:rPr>
          <w:color w:val="000000"/>
        </w:rPr>
        <w:t xml:space="preserve">While it can lead to more </w:t>
      </w:r>
      <w:r w:rsidRPr="0025615D">
        <w:rPr>
          <w:color w:val="000000"/>
        </w:rPr>
        <w:t>suitable</w:t>
      </w:r>
      <w:r w:rsidRPr="0025615D">
        <w:rPr>
          <w:color w:val="000000"/>
        </w:rPr>
        <w:t xml:space="preserve"> support and better-informed decision-making, issues such as communication barriers, differences in professional priorities and resource limitations can impact how well it functions in practice</w:t>
      </w:r>
      <w:r w:rsidR="00147DF9" w:rsidRPr="0025615D">
        <w:rPr>
          <w:color w:val="000000"/>
        </w:rPr>
        <w:t xml:space="preserve"> </w:t>
      </w:r>
      <w:r w:rsidR="00147DF9" w:rsidRPr="0025615D">
        <w:rPr>
          <w:color w:val="000000"/>
        </w:rPr>
        <w:t>(</w:t>
      </w:r>
      <w:r w:rsidR="00147DF9" w:rsidRPr="0025615D">
        <w:rPr>
          <w:rStyle w:val="whitespace-normal"/>
          <w:rFonts w:eastAsiaTheme="majorEastAsia"/>
          <w:color w:val="000000"/>
        </w:rPr>
        <w:t>NSPCC</w:t>
      </w:r>
      <w:r w:rsidR="00147DF9" w:rsidRPr="0025615D">
        <w:rPr>
          <w:color w:val="000000"/>
        </w:rPr>
        <w:t>, 2025)</w:t>
      </w:r>
      <w:r w:rsidRPr="0025615D">
        <w:rPr>
          <w:color w:val="000000"/>
        </w:rPr>
        <w:t xml:space="preserve">. This essay critically examines the extent to which the multi-agency model in Wales promotes </w:t>
      </w:r>
      <w:r w:rsidRPr="0025615D">
        <w:rPr>
          <w:color w:val="000000"/>
        </w:rPr>
        <w:t xml:space="preserve">the welfare of </w:t>
      </w:r>
      <w:r w:rsidRPr="0025615D">
        <w:rPr>
          <w:color w:val="000000"/>
        </w:rPr>
        <w:t>child</w:t>
      </w:r>
      <w:r w:rsidRPr="0025615D">
        <w:rPr>
          <w:color w:val="000000"/>
        </w:rPr>
        <w:t>ren and young people</w:t>
      </w:r>
      <w:r w:rsidRPr="0025615D">
        <w:rPr>
          <w:color w:val="000000"/>
        </w:rPr>
        <w:t xml:space="preserve">. It demonstrates an understanding of safeguarding and child protection, explores the role of schools within this framework, considers relevant policies and analyses the barriers that can affect effective practice, while also linking to </w:t>
      </w:r>
      <w:r w:rsidRPr="0025615D">
        <w:rPr>
          <w:color w:val="000000"/>
        </w:rPr>
        <w:t xml:space="preserve">some of the </w:t>
      </w:r>
      <w:r w:rsidRPr="0025615D">
        <w:rPr>
          <w:color w:val="000000"/>
        </w:rPr>
        <w:t>theoretical perspectives</w:t>
      </w:r>
      <w:r w:rsidRPr="0025615D">
        <w:rPr>
          <w:color w:val="000000"/>
        </w:rPr>
        <w:t xml:space="preserve"> surrounding this topic</w:t>
      </w:r>
      <w:r w:rsidRPr="0025615D">
        <w:rPr>
          <w:color w:val="000000"/>
        </w:rPr>
        <w:t>.</w:t>
      </w:r>
    </w:p>
    <w:p w14:paraId="4F3420E5" w14:textId="372AED77" w:rsidR="001B4096" w:rsidRPr="0025615D" w:rsidRDefault="008C5426" w:rsidP="0025615D">
      <w:pPr>
        <w:pStyle w:val="NormalWeb"/>
        <w:spacing w:line="360" w:lineRule="auto"/>
        <w:rPr>
          <w:color w:val="000000"/>
        </w:rPr>
      </w:pPr>
      <w:r w:rsidRPr="0025615D">
        <w:rPr>
          <w:color w:val="000000"/>
        </w:rPr>
        <w:t>As stated by Ofsted (2021), s</w:t>
      </w:r>
      <w:r w:rsidRPr="0025615D">
        <w:rPr>
          <w:color w:val="000000"/>
        </w:rPr>
        <w:t>afeguarding children</w:t>
      </w:r>
      <w:r w:rsidRPr="0025615D">
        <w:rPr>
          <w:color w:val="000000"/>
        </w:rPr>
        <w:t xml:space="preserve"> and young people</w:t>
      </w:r>
      <w:r w:rsidRPr="0025615D">
        <w:rPr>
          <w:color w:val="000000"/>
        </w:rPr>
        <w:t xml:space="preserve"> involves protecting them from all forms of abuse or harm, whether this occurs inside or outside the home, including risks associated with the online environment. It also includes taking proactive steps to prevent any negative impact on a child’s health or development, ensuring they are brought up in safe, stable and supportive care environments</w:t>
      </w:r>
      <w:r w:rsidRPr="0025615D">
        <w:rPr>
          <w:color w:val="000000"/>
        </w:rPr>
        <w:t xml:space="preserve"> </w:t>
      </w:r>
      <w:r w:rsidRPr="0025615D">
        <w:rPr>
          <w:color w:val="000000"/>
        </w:rPr>
        <w:t>to enable every child to achieve the best possible outcomes in life</w:t>
      </w:r>
      <w:r w:rsidRPr="0025615D">
        <w:rPr>
          <w:color w:val="000000"/>
        </w:rPr>
        <w:t>.</w:t>
      </w:r>
      <w:r w:rsidRPr="0025615D">
        <w:rPr>
          <w:color w:val="000000"/>
        </w:rPr>
        <w:t xml:space="preserve"> This highlights that safeguarding is a broad, ongoing responsibility that underpins all work with children and young people.</w:t>
      </w:r>
      <w:r w:rsidRPr="0025615D">
        <w:rPr>
          <w:color w:val="000000"/>
        </w:rPr>
        <w:t xml:space="preserve"> </w:t>
      </w:r>
      <w:r w:rsidRPr="0025615D">
        <w:rPr>
          <w:color w:val="000000"/>
        </w:rPr>
        <w:t xml:space="preserve">In comparison, child protection is a more specific element within safeguarding. It focuses on both preventing and responding to situations where children may be experiencing, or are at risk of, exploitation, abuse, neglect, </w:t>
      </w:r>
      <w:r w:rsidRPr="0025615D">
        <w:rPr>
          <w:color w:val="000000"/>
        </w:rPr>
        <w:lastRenderedPageBreak/>
        <w:t>harmful practices, or violence (</w:t>
      </w:r>
      <w:r w:rsidRPr="0025615D">
        <w:rPr>
          <w:rStyle w:val="whitespace-normal"/>
          <w:rFonts w:eastAsiaTheme="majorEastAsia"/>
          <w:color w:val="000000"/>
        </w:rPr>
        <w:t>UNICEF</w:t>
      </w:r>
      <w:r w:rsidRPr="0025615D">
        <w:rPr>
          <w:color w:val="000000"/>
        </w:rPr>
        <w:t>, 2021). In this sense, safeguarding is largely preventative, aiming to reduce risks and promote well-being before harm occurs, whereas child protection is more reactive and centres on targeted intervention when concerns arise.</w:t>
      </w:r>
      <w:r w:rsidR="00147DF9" w:rsidRPr="0025615D">
        <w:rPr>
          <w:color w:val="000000"/>
        </w:rPr>
        <w:t xml:space="preserve"> </w:t>
      </w:r>
      <w:r w:rsidR="001B4096" w:rsidRPr="0025615D">
        <w:rPr>
          <w:color w:val="000000"/>
        </w:rPr>
        <w:t>Schools play a key role in promoting the welfare of children, as they are often the main setting in which children’s behaviour, development, and well-being are consistently observed. Teachers and school staff are well placed to notice signs of abuse, neglect, or emotional difficulties. They support child welfare through safeguarding policies, the use of designated safeguarding leads (DSLs), ongoing staff training and pastoral care systems. Schools also contribute to early intervention by collaborating with external agencies, including social services, healthcare professionals and the police</w:t>
      </w:r>
      <w:r w:rsidR="00CC2E2E" w:rsidRPr="0025615D">
        <w:rPr>
          <w:color w:val="000000"/>
        </w:rPr>
        <w:t xml:space="preserve"> (UK Government, 2026)</w:t>
      </w:r>
      <w:r w:rsidR="001B4096" w:rsidRPr="0025615D">
        <w:rPr>
          <w:color w:val="000000"/>
        </w:rPr>
        <w:t>. However, despite their central role, schools can face challenges such as time constraints, limited resources, and gaps in training, all of which may affect how effectively they carry out their safeguarding responsibilities</w:t>
      </w:r>
      <w:r w:rsidR="00CC2E2E" w:rsidRPr="0025615D">
        <w:rPr>
          <w:color w:val="000000"/>
        </w:rPr>
        <w:t xml:space="preserve"> (</w:t>
      </w:r>
      <w:r w:rsidR="00CC2E2E" w:rsidRPr="0025615D">
        <w:rPr>
          <w:color w:val="000000"/>
        </w:rPr>
        <w:t>Department for Education</w:t>
      </w:r>
      <w:r w:rsidR="00CC2E2E" w:rsidRPr="0025615D">
        <w:rPr>
          <w:color w:val="000000"/>
        </w:rPr>
        <w:t>,</w:t>
      </w:r>
      <w:r w:rsidR="00CC2E2E" w:rsidRPr="0025615D">
        <w:rPr>
          <w:color w:val="000000"/>
        </w:rPr>
        <w:t xml:space="preserve"> 2025</w:t>
      </w:r>
      <w:r w:rsidR="00CC2E2E" w:rsidRPr="0025615D">
        <w:rPr>
          <w:color w:val="000000"/>
        </w:rPr>
        <w:t>)</w:t>
      </w:r>
      <w:r w:rsidR="001B4096" w:rsidRPr="0025615D">
        <w:rPr>
          <w:color w:val="000000"/>
        </w:rPr>
        <w:t>.</w:t>
      </w:r>
      <w:r w:rsidR="00CC2E2E" w:rsidRPr="0025615D">
        <w:rPr>
          <w:color w:val="000000"/>
        </w:rPr>
        <w:t xml:space="preserve"> </w:t>
      </w:r>
    </w:p>
    <w:p w14:paraId="148A29BB" w14:textId="5687A264" w:rsidR="00230EC0" w:rsidRPr="0025615D" w:rsidRDefault="00CC2E2E" w:rsidP="0025615D">
      <w:pPr>
        <w:pStyle w:val="NormalWeb"/>
        <w:spacing w:line="360" w:lineRule="auto"/>
        <w:rPr>
          <w:color w:val="000000"/>
        </w:rPr>
      </w:pPr>
      <w:r w:rsidRPr="0025615D">
        <w:rPr>
          <w:color w:val="000000"/>
        </w:rPr>
        <w:t xml:space="preserve">The legislative framework underpinning multi-agency working in Wales has evolved significantly in response to past failures. </w:t>
      </w:r>
      <w:r w:rsidRPr="0025615D">
        <w:rPr>
          <w:color w:val="000000"/>
        </w:rPr>
        <w:t xml:space="preserve"> As stated by </w:t>
      </w:r>
      <w:proofErr w:type="spellStart"/>
      <w:r w:rsidRPr="0025615D">
        <w:rPr>
          <w:color w:val="000000"/>
        </w:rPr>
        <w:t>Cheminais</w:t>
      </w:r>
      <w:proofErr w:type="spellEnd"/>
      <w:r w:rsidRPr="0025615D">
        <w:rPr>
          <w:color w:val="000000"/>
        </w:rPr>
        <w:t xml:space="preserve"> (2009) </w:t>
      </w:r>
      <w:r w:rsidRPr="0025615D">
        <w:rPr>
          <w:color w:val="000000"/>
        </w:rPr>
        <w:t>The Children Act (2004) established the principle that safeguarding is a shared responsibility and introduced structures to improve cooperation between agencies. Similarly, the Social Services and Well-being Wales Act (2014) emphasises partnership working and places a duty on local authorities and partner organisations to promote the well-being of children. This Act adopts a holistic definition of well-being, including physical, emotional, educational and social aspects (Welsh Government, 2014).</w:t>
      </w:r>
      <w:r w:rsidR="00177F51" w:rsidRPr="0025615D">
        <w:rPr>
          <w:color w:val="000000"/>
        </w:rPr>
        <w:t xml:space="preserve"> </w:t>
      </w:r>
      <w:r w:rsidR="00177F51" w:rsidRPr="0025615D">
        <w:rPr>
          <w:color w:val="000000"/>
        </w:rPr>
        <w:t>The</w:t>
      </w:r>
      <w:r w:rsidR="00177F51" w:rsidRPr="0025615D">
        <w:rPr>
          <w:rStyle w:val="apple-converted-space"/>
          <w:rFonts w:eastAsiaTheme="majorEastAsia"/>
          <w:color w:val="000000"/>
        </w:rPr>
        <w:t> </w:t>
      </w:r>
      <w:r w:rsidR="00177F51" w:rsidRPr="0025615D">
        <w:rPr>
          <w:rStyle w:val="whitespace-normal"/>
          <w:rFonts w:eastAsiaTheme="majorEastAsia"/>
          <w:color w:val="000000"/>
        </w:rPr>
        <w:t>United Nations Convention on the Rights of the Child</w:t>
      </w:r>
      <w:r w:rsidR="00177F51" w:rsidRPr="0025615D">
        <w:rPr>
          <w:rStyle w:val="apple-converted-space"/>
          <w:rFonts w:eastAsiaTheme="majorEastAsia"/>
          <w:color w:val="000000"/>
        </w:rPr>
        <w:t> </w:t>
      </w:r>
      <w:r w:rsidR="00177F51" w:rsidRPr="0025615D">
        <w:rPr>
          <w:color w:val="000000"/>
        </w:rPr>
        <w:t>(1989) sets out an important international framework that underpins safeguarding policy in Wales. It highlights key rights such as protection from harm (Article 19), the right for children to have a voice (Article 12) and access to services that support their development.</w:t>
      </w:r>
      <w:r w:rsidR="00177F51" w:rsidRPr="0025615D">
        <w:rPr>
          <w:rStyle w:val="apple-converted-space"/>
          <w:rFonts w:eastAsiaTheme="majorEastAsia"/>
          <w:color w:val="000000"/>
        </w:rPr>
        <w:t> </w:t>
      </w:r>
      <w:r w:rsidR="00177F51" w:rsidRPr="0025615D">
        <w:rPr>
          <w:rStyle w:val="whitespace-normal"/>
          <w:rFonts w:eastAsiaTheme="majorEastAsia"/>
          <w:color w:val="000000"/>
        </w:rPr>
        <w:t>Michael Freeman</w:t>
      </w:r>
      <w:r w:rsidR="00177F51" w:rsidRPr="0025615D">
        <w:rPr>
          <w:rStyle w:val="apple-converted-space"/>
          <w:rFonts w:eastAsiaTheme="majorEastAsia"/>
          <w:color w:val="000000"/>
        </w:rPr>
        <w:t> </w:t>
      </w:r>
      <w:r w:rsidR="00177F51" w:rsidRPr="0025615D">
        <w:rPr>
          <w:color w:val="000000"/>
        </w:rPr>
        <w:t>(201</w:t>
      </w:r>
      <w:r w:rsidR="00230EC0" w:rsidRPr="0025615D">
        <w:rPr>
          <w:color w:val="000000"/>
        </w:rPr>
        <w:t>0</w:t>
      </w:r>
      <w:r w:rsidR="00177F51" w:rsidRPr="0025615D">
        <w:rPr>
          <w:color w:val="000000"/>
        </w:rPr>
        <w:t xml:space="preserve">) suggests that the UNCRC has shifted </w:t>
      </w:r>
      <w:r w:rsidR="00230EC0" w:rsidRPr="0025615D">
        <w:rPr>
          <w:color w:val="000000"/>
        </w:rPr>
        <w:t>the way</w:t>
      </w:r>
      <w:r w:rsidR="00177F51" w:rsidRPr="0025615D">
        <w:rPr>
          <w:color w:val="000000"/>
        </w:rPr>
        <w:t xml:space="preserve"> children are viewed, moving from passive recipients of care to individuals with their own rights. However, others argue that although the UNCRC is highly influential, putting it into practice is not always consistent, particularly where there are limits on resources </w:t>
      </w:r>
      <w:r w:rsidR="0025615D">
        <w:rPr>
          <w:rStyle w:val="whitespace-normal"/>
          <w:rFonts w:eastAsiaTheme="majorEastAsia"/>
          <w:color w:val="000000"/>
        </w:rPr>
        <w:t>(</w:t>
      </w:r>
      <w:r w:rsidR="00177F51" w:rsidRPr="0025615D">
        <w:rPr>
          <w:rStyle w:val="whitespace-normal"/>
          <w:rFonts w:eastAsiaTheme="majorEastAsia"/>
          <w:color w:val="000000"/>
        </w:rPr>
        <w:t>Reynaert</w:t>
      </w:r>
      <w:r w:rsidR="00177F51" w:rsidRPr="0025615D">
        <w:rPr>
          <w:rStyle w:val="apple-converted-space"/>
          <w:rFonts w:eastAsiaTheme="majorEastAsia"/>
          <w:color w:val="000000"/>
        </w:rPr>
        <w:t> </w:t>
      </w:r>
      <w:r w:rsidR="00177F51" w:rsidRPr="0025615D">
        <w:rPr>
          <w:color w:val="000000"/>
        </w:rPr>
        <w:t>et al., 2009).</w:t>
      </w:r>
      <w:r w:rsidR="001F193E" w:rsidRPr="0025615D">
        <w:rPr>
          <w:color w:val="000000"/>
        </w:rPr>
        <w:t xml:space="preserve"> </w:t>
      </w:r>
      <w:r w:rsidR="00230EC0" w:rsidRPr="0025615D">
        <w:rPr>
          <w:color w:val="000000"/>
        </w:rPr>
        <w:t xml:space="preserve">Wales </w:t>
      </w:r>
      <w:r w:rsidR="00C1666B" w:rsidRPr="0025615D">
        <w:rPr>
          <w:color w:val="000000"/>
        </w:rPr>
        <w:t xml:space="preserve">Safeguarding Procedures </w:t>
      </w:r>
      <w:r w:rsidR="00230EC0" w:rsidRPr="0025615D">
        <w:rPr>
          <w:color w:val="000000"/>
        </w:rPr>
        <w:t>(202</w:t>
      </w:r>
      <w:r w:rsidR="00C1666B" w:rsidRPr="0025615D">
        <w:rPr>
          <w:color w:val="000000"/>
        </w:rPr>
        <w:t>3</w:t>
      </w:r>
      <w:r w:rsidR="00230EC0" w:rsidRPr="0025615D">
        <w:rPr>
          <w:color w:val="000000"/>
        </w:rPr>
        <w:t>) represent a more recent effort to strengthen safeguarding practice, providing clear guidance on roles, responsibilities and processes. These procedures emphasise timely information sharing and child-centred practice. They reflect lessons learned from serious case reviews, which have repeatedly identified failures in communication and coordination</w:t>
      </w:r>
      <w:r w:rsidR="001F193E" w:rsidRPr="0025615D">
        <w:rPr>
          <w:color w:val="000000"/>
        </w:rPr>
        <w:t xml:space="preserve">. </w:t>
      </w:r>
      <w:r w:rsidR="00230EC0" w:rsidRPr="0025615D">
        <w:rPr>
          <w:color w:val="000000"/>
        </w:rPr>
        <w:t>Similarly</w:t>
      </w:r>
      <w:r w:rsidR="00230EC0" w:rsidRPr="0025615D">
        <w:rPr>
          <w:i/>
          <w:iCs/>
          <w:color w:val="000000"/>
        </w:rPr>
        <w:t>,</w:t>
      </w:r>
      <w:r w:rsidR="00230EC0" w:rsidRPr="0025615D">
        <w:rPr>
          <w:rStyle w:val="apple-converted-space"/>
          <w:rFonts w:eastAsiaTheme="majorEastAsia"/>
          <w:i/>
          <w:iCs/>
          <w:color w:val="000000"/>
        </w:rPr>
        <w:t> </w:t>
      </w:r>
      <w:r w:rsidR="001F193E" w:rsidRPr="0025615D">
        <w:rPr>
          <w:color w:val="000000"/>
        </w:rPr>
        <w:t>UK</w:t>
      </w:r>
      <w:r w:rsidR="00230EC0" w:rsidRPr="0025615D">
        <w:rPr>
          <w:color w:val="000000"/>
        </w:rPr>
        <w:t xml:space="preserve"> Government</w:t>
      </w:r>
      <w:r w:rsidR="0025615D">
        <w:rPr>
          <w:color w:val="000000"/>
        </w:rPr>
        <w:t xml:space="preserve"> (</w:t>
      </w:r>
      <w:r w:rsidR="00230EC0" w:rsidRPr="0025615D">
        <w:rPr>
          <w:color w:val="000000"/>
        </w:rPr>
        <w:t>20</w:t>
      </w:r>
      <w:r w:rsidR="001F193E" w:rsidRPr="0025615D">
        <w:rPr>
          <w:color w:val="000000"/>
        </w:rPr>
        <w:t>26</w:t>
      </w:r>
      <w:r w:rsidR="00230EC0" w:rsidRPr="0025615D">
        <w:rPr>
          <w:color w:val="000000"/>
        </w:rPr>
        <w:t>) outlines</w:t>
      </w:r>
      <w:r w:rsidR="0025615D">
        <w:rPr>
          <w:color w:val="000000"/>
        </w:rPr>
        <w:t xml:space="preserve"> in </w:t>
      </w:r>
      <w:r w:rsidR="0025615D" w:rsidRPr="0025615D">
        <w:rPr>
          <w:rStyle w:val="Emphasis"/>
          <w:rFonts w:eastAsiaTheme="majorEastAsia"/>
          <w:i w:val="0"/>
          <w:iCs w:val="0"/>
          <w:color w:val="000000"/>
        </w:rPr>
        <w:t xml:space="preserve">Working </w:t>
      </w:r>
      <w:r w:rsidR="0025615D" w:rsidRPr="0025615D">
        <w:rPr>
          <w:rStyle w:val="Emphasis"/>
          <w:rFonts w:eastAsiaTheme="majorEastAsia"/>
          <w:i w:val="0"/>
          <w:iCs w:val="0"/>
          <w:color w:val="000000"/>
        </w:rPr>
        <w:lastRenderedPageBreak/>
        <w:t>Together to Safeguard Children</w:t>
      </w:r>
      <w:r w:rsidR="0025615D">
        <w:rPr>
          <w:rStyle w:val="apple-converted-space"/>
          <w:rFonts w:eastAsiaTheme="majorEastAsia"/>
          <w:color w:val="000000"/>
        </w:rPr>
        <w:t xml:space="preserve">, </w:t>
      </w:r>
      <w:r w:rsidR="005763EE">
        <w:rPr>
          <w:rStyle w:val="apple-converted-space"/>
          <w:rFonts w:eastAsiaTheme="majorEastAsia"/>
          <w:color w:val="000000"/>
        </w:rPr>
        <w:t xml:space="preserve">the same </w:t>
      </w:r>
      <w:r w:rsidR="00230EC0" w:rsidRPr="0025615D">
        <w:rPr>
          <w:color w:val="000000"/>
        </w:rPr>
        <w:t xml:space="preserve">expectations for multi-agency collaboration, although it applies primarily to England, it still influences practice </w:t>
      </w:r>
      <w:r w:rsidR="001F193E" w:rsidRPr="0025615D">
        <w:rPr>
          <w:color w:val="000000"/>
        </w:rPr>
        <w:t>in Wales</w:t>
      </w:r>
      <w:r w:rsidR="00230EC0" w:rsidRPr="0025615D">
        <w:rPr>
          <w:color w:val="000000"/>
        </w:rPr>
        <w:t>. Despite these developments, Munro (2011) argues that policy reform often follows crises, suggesting a reactive rather than proactive approach to safeguarding.</w:t>
      </w:r>
    </w:p>
    <w:p w14:paraId="68C2ED1B" w14:textId="24C08BC2" w:rsidR="005F1421" w:rsidRPr="0025615D" w:rsidRDefault="001F193E" w:rsidP="0025615D">
      <w:pPr>
        <w:pStyle w:val="NormalWeb"/>
        <w:spacing w:line="360" w:lineRule="auto"/>
        <w:rPr>
          <w:color w:val="000000"/>
        </w:rPr>
      </w:pPr>
      <w:r w:rsidRPr="0025615D">
        <w:rPr>
          <w:color w:val="000000"/>
        </w:rPr>
        <w:t>The value of multi-agency working can be better understood through theories of child development and well-being.</w:t>
      </w:r>
      <w:r w:rsidRPr="0025615D">
        <w:rPr>
          <w:rStyle w:val="whitespace-normal"/>
          <w:rFonts w:eastAsiaTheme="majorEastAsia"/>
          <w:color w:val="000000"/>
        </w:rPr>
        <w:t xml:space="preserve"> Bronfenbrenner</w:t>
      </w:r>
      <w:r w:rsidRPr="0025615D">
        <w:rPr>
          <w:color w:val="000000"/>
        </w:rPr>
        <w:t>’s ecological systems theory (1979) explains that a child’s development is influenced by different layers of their environment, such as family, school</w:t>
      </w:r>
      <w:r w:rsidRPr="0025615D">
        <w:rPr>
          <w:color w:val="000000"/>
        </w:rPr>
        <w:t xml:space="preserve"> </w:t>
      </w:r>
      <w:r w:rsidRPr="0025615D">
        <w:rPr>
          <w:color w:val="000000"/>
        </w:rPr>
        <w:t>and the wider community</w:t>
      </w:r>
      <w:r w:rsidRPr="0025615D">
        <w:rPr>
          <w:color w:val="000000"/>
        </w:rPr>
        <w:t xml:space="preserve"> (Tong and An, 2024)</w:t>
      </w:r>
      <w:r w:rsidRPr="0025615D">
        <w:rPr>
          <w:color w:val="000000"/>
        </w:rPr>
        <w:t>. Multi-agency working reflects this idea by bringing these different systems together to support the child more effectively. In a similar way,</w:t>
      </w:r>
      <w:r w:rsidRPr="0025615D">
        <w:rPr>
          <w:rStyle w:val="apple-converted-space"/>
          <w:rFonts w:eastAsiaTheme="majorEastAsia"/>
          <w:color w:val="000000"/>
        </w:rPr>
        <w:t> </w:t>
      </w:r>
      <w:r w:rsidRPr="0025615D">
        <w:rPr>
          <w:rStyle w:val="whitespace-normal"/>
          <w:rFonts w:eastAsiaTheme="majorEastAsia"/>
          <w:color w:val="000000"/>
        </w:rPr>
        <w:t>Abraham Maslow</w:t>
      </w:r>
      <w:r w:rsidRPr="0025615D">
        <w:rPr>
          <w:color w:val="000000"/>
        </w:rPr>
        <w:t>’s hierarchy of needs (1943) highlights that children must first feel safe, secure</w:t>
      </w:r>
      <w:r w:rsidRPr="0025615D">
        <w:rPr>
          <w:color w:val="000000"/>
        </w:rPr>
        <w:t xml:space="preserve"> </w:t>
      </w:r>
      <w:r w:rsidRPr="0025615D">
        <w:rPr>
          <w:color w:val="000000"/>
        </w:rPr>
        <w:t>and supported before they can progress and reach their full potential</w:t>
      </w:r>
      <w:r w:rsidR="005F1421" w:rsidRPr="0025615D">
        <w:rPr>
          <w:color w:val="000000"/>
        </w:rPr>
        <w:t xml:space="preserve"> (McLoed, 2025)</w:t>
      </w:r>
      <w:r w:rsidRPr="0025615D">
        <w:rPr>
          <w:color w:val="000000"/>
        </w:rPr>
        <w:t>. Safeguarding practices are therefore essential in making sure these basic needs are met.</w:t>
      </w:r>
      <w:r w:rsidR="005F1421" w:rsidRPr="0025615D">
        <w:rPr>
          <w:color w:val="000000"/>
        </w:rPr>
        <w:t xml:space="preserve"> </w:t>
      </w:r>
      <w:r w:rsidR="005F1421" w:rsidRPr="0025615D">
        <w:rPr>
          <w:rStyle w:val="whitespace-normal"/>
          <w:rFonts w:eastAsiaTheme="majorEastAsia"/>
          <w:color w:val="000000"/>
        </w:rPr>
        <w:t>Bowlby</w:t>
      </w:r>
      <w:r w:rsidR="005F1421" w:rsidRPr="0025615D">
        <w:rPr>
          <w:color w:val="000000"/>
        </w:rPr>
        <w:t>’s attachment theory (19</w:t>
      </w:r>
      <w:r w:rsidR="005F1421" w:rsidRPr="0025615D">
        <w:rPr>
          <w:color w:val="000000"/>
        </w:rPr>
        <w:t>7</w:t>
      </w:r>
      <w:r w:rsidR="005F1421" w:rsidRPr="0025615D">
        <w:rPr>
          <w:color w:val="000000"/>
        </w:rPr>
        <w:t>9) also highlights how important secure and stable relationships are in a child’s early development</w:t>
      </w:r>
      <w:r w:rsidR="005763EE">
        <w:rPr>
          <w:color w:val="000000"/>
        </w:rPr>
        <w:t xml:space="preserve"> </w:t>
      </w:r>
      <w:r w:rsidR="005763EE" w:rsidRPr="0025615D">
        <w:rPr>
          <w:color w:val="000000"/>
        </w:rPr>
        <w:t>(The Attachment Project, 2024)</w:t>
      </w:r>
      <w:r w:rsidR="005763EE">
        <w:rPr>
          <w:color w:val="000000"/>
        </w:rPr>
        <w:t xml:space="preserve">. </w:t>
      </w:r>
      <w:r w:rsidR="005F1421" w:rsidRPr="0025615D">
        <w:rPr>
          <w:color w:val="000000"/>
        </w:rPr>
        <w:t>Multi-agency support can help families create more stable and supportive environments for children. However, when services are not well coordinated, it can have a negative impact—especially for children who experience several placements, which may disrupt their attachments (</w:t>
      </w:r>
      <w:r w:rsidR="005F1421" w:rsidRPr="0025615D">
        <w:rPr>
          <w:rStyle w:val="whitespace-normal"/>
          <w:rFonts w:eastAsiaTheme="majorEastAsia"/>
          <w:color w:val="000000"/>
        </w:rPr>
        <w:t>David Howe</w:t>
      </w:r>
      <w:r w:rsidR="005F1421" w:rsidRPr="0025615D">
        <w:rPr>
          <w:color w:val="000000"/>
        </w:rPr>
        <w:t>, 20</w:t>
      </w:r>
      <w:r w:rsidR="00C65167" w:rsidRPr="0025615D">
        <w:rPr>
          <w:color w:val="000000"/>
        </w:rPr>
        <w:t>17</w:t>
      </w:r>
      <w:r w:rsidR="005F1421" w:rsidRPr="0025615D">
        <w:rPr>
          <w:color w:val="000000"/>
        </w:rPr>
        <w:t>). This shows how important consistency and strong collaboration are within safeguarding practice.</w:t>
      </w:r>
      <w:r w:rsidR="00D33549" w:rsidRPr="0025615D">
        <w:rPr>
          <w:color w:val="000000"/>
        </w:rPr>
        <w:t xml:space="preserve"> </w:t>
      </w:r>
    </w:p>
    <w:p w14:paraId="001E8CD4" w14:textId="77777777" w:rsidR="0025615D" w:rsidRPr="0025615D" w:rsidRDefault="00C65167" w:rsidP="0025615D">
      <w:pPr>
        <w:pStyle w:val="NormalWeb"/>
        <w:spacing w:line="360" w:lineRule="auto"/>
        <w:rPr>
          <w:color w:val="000000"/>
        </w:rPr>
      </w:pPr>
      <w:r w:rsidRPr="0025615D">
        <w:rPr>
          <w:color w:val="000000"/>
        </w:rPr>
        <w:t>In Wales, multi-agency working is put into practice through approaches such as Multi-Agency Safeguarding Hubs (MASH). MASH brings together professionals from services like social care, the police, health and education so they can share information and make joint decisions about safeguarding concerns (</w:t>
      </w:r>
      <w:r w:rsidRPr="0025615D">
        <w:rPr>
          <w:rStyle w:val="whitespace-normal"/>
          <w:rFonts w:eastAsiaTheme="majorEastAsia"/>
          <w:color w:val="000000"/>
        </w:rPr>
        <w:t>Home Office</w:t>
      </w:r>
      <w:r w:rsidRPr="0025615D">
        <w:rPr>
          <w:color w:val="000000"/>
        </w:rPr>
        <w:t>, 2014). The aim is to make responses more efficient and ensure children get the right support at the right time. Othe</w:t>
      </w:r>
      <w:r w:rsidR="006A1F8F" w:rsidRPr="0025615D">
        <w:rPr>
          <w:color w:val="000000"/>
        </w:rPr>
        <w:t>r approaches such a</w:t>
      </w:r>
      <w:r w:rsidRPr="0025615D">
        <w:rPr>
          <w:color w:val="000000"/>
        </w:rPr>
        <w:t>s, the Team Around the Child (TAC), focus more on coordinated planning that keeps the child at the centre (</w:t>
      </w:r>
      <w:r w:rsidR="00D33549" w:rsidRPr="0025615D">
        <w:rPr>
          <w:rStyle w:val="whitespace-normal"/>
          <w:rFonts w:eastAsiaTheme="majorEastAsia"/>
          <w:color w:val="000000"/>
        </w:rPr>
        <w:t>SEND Pathways, 2026</w:t>
      </w:r>
      <w:r w:rsidRPr="0025615D">
        <w:rPr>
          <w:color w:val="000000"/>
        </w:rPr>
        <w:t>). Overall, these approaches show a move towards earlier intervention and more joined-up support, which reflects the preventative focus of current safeguarding policy.</w:t>
      </w:r>
      <w:r w:rsidR="00D33549" w:rsidRPr="0025615D">
        <w:rPr>
          <w:color w:val="000000"/>
        </w:rPr>
        <w:t xml:space="preserve"> </w:t>
      </w:r>
    </w:p>
    <w:p w14:paraId="2C55841F" w14:textId="09BE566A" w:rsidR="0025615D" w:rsidRPr="0025615D" w:rsidRDefault="00D33549" w:rsidP="0025615D">
      <w:pPr>
        <w:pStyle w:val="NormalWeb"/>
        <w:spacing w:line="360" w:lineRule="auto"/>
        <w:rPr>
          <w:color w:val="000000"/>
        </w:rPr>
      </w:pPr>
      <w:r w:rsidRPr="0025615D">
        <w:rPr>
          <w:color w:val="000000"/>
        </w:rPr>
        <w:t xml:space="preserve">However, despite these strengths, significant challenges and barriers remain. </w:t>
      </w:r>
      <w:r w:rsidR="00D25F29" w:rsidRPr="0025615D">
        <w:rPr>
          <w:color w:val="000000"/>
        </w:rPr>
        <w:t xml:space="preserve">Dixon et al. (2022) </w:t>
      </w:r>
      <w:r w:rsidR="00167AED" w:rsidRPr="0025615D">
        <w:rPr>
          <w:color w:val="000000"/>
        </w:rPr>
        <w:t>suggest that c</w:t>
      </w:r>
      <w:r w:rsidRPr="0025615D">
        <w:rPr>
          <w:color w:val="000000"/>
        </w:rPr>
        <w:t>ommunication issues are frequently identified as a key barrier to effective multi-agency working</w:t>
      </w:r>
      <w:r w:rsidR="00D25F29" w:rsidRPr="0025615D">
        <w:rPr>
          <w:color w:val="000000"/>
        </w:rPr>
        <w:t xml:space="preserve">. </w:t>
      </w:r>
      <w:r w:rsidRPr="0025615D">
        <w:rPr>
          <w:color w:val="000000"/>
        </w:rPr>
        <w:t xml:space="preserve">Differences in professional language, priorities and organisational cultures can lead to misunderstandings or delays. Information sharing, while </w:t>
      </w:r>
      <w:r w:rsidRPr="0025615D">
        <w:rPr>
          <w:color w:val="000000"/>
        </w:rPr>
        <w:lastRenderedPageBreak/>
        <w:t>essential, can be complicated by concerns about confidentiality and data protection</w:t>
      </w:r>
      <w:r w:rsidR="00167AED" w:rsidRPr="0025615D">
        <w:rPr>
          <w:color w:val="000000"/>
        </w:rPr>
        <w:t>.</w:t>
      </w:r>
      <w:r w:rsidR="00162401" w:rsidRPr="0025615D">
        <w:rPr>
          <w:color w:val="000000"/>
        </w:rPr>
        <w:t xml:space="preserve"> </w:t>
      </w:r>
      <w:proofErr w:type="spellStart"/>
      <w:r w:rsidR="00162401" w:rsidRPr="0025615D">
        <w:rPr>
          <w:color w:val="000000"/>
        </w:rPr>
        <w:t>Cheminais</w:t>
      </w:r>
      <w:proofErr w:type="spellEnd"/>
      <w:r w:rsidR="00162401" w:rsidRPr="0025615D">
        <w:rPr>
          <w:color w:val="000000"/>
        </w:rPr>
        <w:t xml:space="preserve"> (2022) highlights that resource constraints remain a significant barrier to effective multi-agency working. High caseloads, staff shortages and limited funding reduce the capacity of professionals to collaborate meaningfully and consistently. This is supported by </w:t>
      </w:r>
      <w:r w:rsidR="00162401" w:rsidRPr="0025615D">
        <w:rPr>
          <w:color w:val="000000"/>
        </w:rPr>
        <w:t>Bywaters et al. (2017)</w:t>
      </w:r>
      <w:r w:rsidR="00162401" w:rsidRPr="0025615D">
        <w:rPr>
          <w:color w:val="000000"/>
        </w:rPr>
        <w:t xml:space="preserve">, who argue that increasing demand on services, particularly in deprived areas, places unsustainable pressure on safeguarding systems. In such contexts, practitioners may prioritise immediate risk over preventative work, limiting the effectiveness of early intervention strategies. Furthermore, </w:t>
      </w:r>
      <w:r w:rsidR="00E509C3" w:rsidRPr="0025615D">
        <w:rPr>
          <w:color w:val="000000"/>
        </w:rPr>
        <w:t xml:space="preserve">Curnin et al. </w:t>
      </w:r>
      <w:r w:rsidR="00E509C3" w:rsidRPr="0025615D">
        <w:rPr>
          <w:color w:val="000000"/>
        </w:rPr>
        <w:t>(2015)</w:t>
      </w:r>
      <w:r w:rsidR="00162401" w:rsidRPr="0025615D">
        <w:rPr>
          <w:color w:val="000000"/>
        </w:rPr>
        <w:t xml:space="preserve"> identif</w:t>
      </w:r>
      <w:r w:rsidR="00E509C3" w:rsidRPr="0025615D">
        <w:rPr>
          <w:color w:val="000000"/>
        </w:rPr>
        <w:t>y</w:t>
      </w:r>
      <w:r w:rsidR="00162401" w:rsidRPr="0025615D">
        <w:rPr>
          <w:color w:val="000000"/>
        </w:rPr>
        <w:t xml:space="preserve"> role ambiguity as a persistent issue within multi-agency frameworks, where unclear responsibilities can lead to duplication of efforts or, more critically, gaps in support. </w:t>
      </w:r>
      <w:r w:rsidR="00E509C3" w:rsidRPr="0025615D">
        <w:rPr>
          <w:color w:val="000000"/>
        </w:rPr>
        <w:t>These organisational weaknesses can weaken how effectively the multi-agency model works together as a unified system.</w:t>
      </w:r>
      <w:r w:rsidR="00147DF9" w:rsidRPr="0025615D">
        <w:rPr>
          <w:color w:val="000000"/>
        </w:rPr>
        <w:t xml:space="preserve"> </w:t>
      </w:r>
      <w:r w:rsidR="00162401" w:rsidRPr="0025615D">
        <w:rPr>
          <w:color w:val="000000"/>
        </w:rPr>
        <w:t>Power imbalances between agencies further complicate collaboration. The Wales Centre for Public Policy (2021) notes that certain professionals, particularly those in roles such as social services, may dominate decision-making processes, potentially m</w:t>
      </w:r>
      <w:r w:rsidR="00E509C3" w:rsidRPr="0025615D">
        <w:rPr>
          <w:color w:val="000000"/>
        </w:rPr>
        <w:t>inimising</w:t>
      </w:r>
      <w:r w:rsidR="00162401" w:rsidRPr="0025615D">
        <w:rPr>
          <w:color w:val="000000"/>
        </w:rPr>
        <w:t xml:space="preserve"> the contributions of education or health practitioners. </w:t>
      </w:r>
      <w:r w:rsidR="00E509C3" w:rsidRPr="0025615D">
        <w:rPr>
          <w:color w:val="000000"/>
        </w:rPr>
        <w:t>Jacklin- Jarvis (2015) argues</w:t>
      </w:r>
      <w:r w:rsidR="00162401" w:rsidRPr="0025615D">
        <w:rPr>
          <w:color w:val="000000"/>
        </w:rPr>
        <w:t xml:space="preserve"> that such imbalances can weaken professional relationships and reduce the overall effectiveness of safeguarding interventions. Consequently, while multi-agency working is designed to be collaborative, in practice it can reflect hierarchical structures that limit equal participation</w:t>
      </w:r>
      <w:r w:rsidR="00E509C3" w:rsidRPr="0025615D">
        <w:rPr>
          <w:color w:val="000000"/>
        </w:rPr>
        <w:t xml:space="preserve"> and can subsequently affect the welfare of children and young people</w:t>
      </w:r>
      <w:r w:rsidR="00162401" w:rsidRPr="0025615D">
        <w:rPr>
          <w:color w:val="000000"/>
        </w:rPr>
        <w:t>.</w:t>
      </w:r>
      <w:r w:rsidR="00147DF9" w:rsidRPr="0025615D">
        <w:rPr>
          <w:color w:val="000000"/>
        </w:rPr>
        <w:t xml:space="preserve"> </w:t>
      </w:r>
      <w:r w:rsidR="00162401" w:rsidRPr="0025615D">
        <w:rPr>
          <w:color w:val="000000"/>
        </w:rPr>
        <w:t xml:space="preserve">From a critical perspective, although policy frameworks consistently emphasise the importance of hearing the child’s voice, this principle is not always realised in practice. The Lundy Model of Participation (2007) provides a useful framework for understanding meaningful engagement, arguing that children must be given space, voice, audience and influence. </w:t>
      </w:r>
      <w:r w:rsidR="00E509C3" w:rsidRPr="0025615D">
        <w:rPr>
          <w:color w:val="000000"/>
        </w:rPr>
        <w:t xml:space="preserve">It </w:t>
      </w:r>
      <w:r w:rsidR="00162401" w:rsidRPr="0025615D">
        <w:rPr>
          <w:color w:val="000000"/>
        </w:rPr>
        <w:t>emphasise</w:t>
      </w:r>
      <w:r w:rsidR="00E509C3" w:rsidRPr="0025615D">
        <w:rPr>
          <w:color w:val="000000"/>
        </w:rPr>
        <w:t>s</w:t>
      </w:r>
      <w:r w:rsidR="00162401" w:rsidRPr="0025615D">
        <w:rPr>
          <w:color w:val="000000"/>
        </w:rPr>
        <w:t xml:space="preserve"> that participation is not simply about listening to children but ensuring their views actively shape decision-making processes</w:t>
      </w:r>
      <w:r w:rsidR="00E509C3" w:rsidRPr="0025615D">
        <w:rPr>
          <w:color w:val="000000"/>
        </w:rPr>
        <w:t xml:space="preserve"> (</w:t>
      </w:r>
      <w:r w:rsidR="00E509C3" w:rsidRPr="0025615D">
        <w:rPr>
          <w:color w:val="000000"/>
        </w:rPr>
        <w:t>Ward and Lundy</w:t>
      </w:r>
      <w:r w:rsidR="00E509C3" w:rsidRPr="0025615D">
        <w:rPr>
          <w:color w:val="000000"/>
        </w:rPr>
        <w:t>,</w:t>
      </w:r>
      <w:r w:rsidR="00E509C3" w:rsidRPr="0025615D">
        <w:rPr>
          <w:color w:val="000000"/>
        </w:rPr>
        <w:t xml:space="preserve"> 2024)</w:t>
      </w:r>
      <w:r w:rsidR="00162401" w:rsidRPr="0025615D">
        <w:rPr>
          <w:color w:val="000000"/>
        </w:rPr>
        <w:t xml:space="preserve">. </w:t>
      </w:r>
      <w:r w:rsidR="00E509C3" w:rsidRPr="0025615D">
        <w:rPr>
          <w:color w:val="000000"/>
        </w:rPr>
        <w:t>However, in complex multi-agency systems, children’s views can sometimes be missed because of pressures such as limited time, formal procedures, or a stronger focus on managing risk rather than building relationships (</w:t>
      </w:r>
      <w:r w:rsidR="00E509C3" w:rsidRPr="0025615D">
        <w:rPr>
          <w:rStyle w:val="whitespace-normal"/>
          <w:rFonts w:eastAsiaTheme="majorEastAsia"/>
          <w:color w:val="000000"/>
        </w:rPr>
        <w:t>Winte</w:t>
      </w:r>
      <w:r w:rsidR="005D2149" w:rsidRPr="0025615D">
        <w:rPr>
          <w:rStyle w:val="whitespace-normal"/>
          <w:rFonts w:eastAsiaTheme="majorEastAsia"/>
          <w:color w:val="000000"/>
        </w:rPr>
        <w:t>r and Ruch</w:t>
      </w:r>
      <w:r w:rsidR="00E509C3" w:rsidRPr="0025615D">
        <w:rPr>
          <w:color w:val="000000"/>
        </w:rPr>
        <w:t>, 20</w:t>
      </w:r>
      <w:r w:rsidR="005D2149" w:rsidRPr="0025615D">
        <w:rPr>
          <w:color w:val="000000"/>
        </w:rPr>
        <w:t>25</w:t>
      </w:r>
      <w:r w:rsidR="00E509C3" w:rsidRPr="0025615D">
        <w:rPr>
          <w:color w:val="000000"/>
        </w:rPr>
        <w:t>). This raises questions about whether safeguarding systems are genuinely centred on the child, or whether they are more driven by processes and procedures.</w:t>
      </w:r>
      <w:r w:rsidR="00147DF9" w:rsidRPr="0025615D">
        <w:rPr>
          <w:color w:val="000000"/>
        </w:rPr>
        <w:t xml:space="preserve"> </w:t>
      </w:r>
    </w:p>
    <w:p w14:paraId="67648F4A" w14:textId="094334FB" w:rsidR="005D2149" w:rsidRPr="0025615D" w:rsidRDefault="00162401" w:rsidP="0025615D">
      <w:pPr>
        <w:pStyle w:val="NormalWeb"/>
        <w:spacing w:line="360" w:lineRule="auto"/>
        <w:rPr>
          <w:color w:val="000000"/>
        </w:rPr>
      </w:pPr>
      <w:r w:rsidRPr="0025615D">
        <w:rPr>
          <w:color w:val="000000"/>
        </w:rPr>
        <w:t xml:space="preserve">Evidence from serious case reviews continues to highlight recurring failures in safeguarding practice. Brandon et al. (2020) found that issues such as poor communication, lack of professional curiosity, and failure to share information effectively remain common despite ongoing policy reforms. </w:t>
      </w:r>
      <w:r w:rsidR="005D2149" w:rsidRPr="0025615D">
        <w:rPr>
          <w:color w:val="000000"/>
        </w:rPr>
        <w:t>In a similar way,</w:t>
      </w:r>
      <w:r w:rsidR="005D2149" w:rsidRPr="0025615D">
        <w:rPr>
          <w:rStyle w:val="whitespace-normal"/>
          <w:rFonts w:eastAsiaTheme="majorEastAsia"/>
          <w:color w:val="000000"/>
        </w:rPr>
        <w:t xml:space="preserve"> Munro</w:t>
      </w:r>
      <w:r w:rsidR="005D2149" w:rsidRPr="0025615D">
        <w:rPr>
          <w:rStyle w:val="apple-converted-space"/>
          <w:rFonts w:eastAsiaTheme="majorEastAsia"/>
          <w:color w:val="000000"/>
        </w:rPr>
        <w:t> </w:t>
      </w:r>
      <w:r w:rsidR="005D2149" w:rsidRPr="0025615D">
        <w:rPr>
          <w:color w:val="000000"/>
        </w:rPr>
        <w:t xml:space="preserve">(2011) argues that too much focus on </w:t>
      </w:r>
      <w:r w:rsidR="005D2149" w:rsidRPr="0025615D">
        <w:rPr>
          <w:color w:val="000000"/>
        </w:rPr>
        <w:lastRenderedPageBreak/>
        <w:t>procedures can create a “compliance culture,” where professionals prioritise ticking boxes instead of really thinking about what children need. This highlights that although policies are important for guidance, they do not by themselves ensure effective practice—skilled and reflective professionals are still essential.</w:t>
      </w:r>
      <w:r w:rsidR="005D2149" w:rsidRPr="0025615D">
        <w:rPr>
          <w:color w:val="000000"/>
        </w:rPr>
        <w:t xml:space="preserve"> </w:t>
      </w:r>
      <w:r w:rsidR="005D2149" w:rsidRPr="0025615D">
        <w:rPr>
          <w:color w:val="000000"/>
        </w:rPr>
        <w:t>In addition,</w:t>
      </w:r>
      <w:r w:rsidR="005D2149" w:rsidRPr="0025615D">
        <w:rPr>
          <w:color w:val="000000"/>
        </w:rPr>
        <w:t xml:space="preserve"> a</w:t>
      </w:r>
      <w:r w:rsidR="005D2149" w:rsidRPr="0025615D">
        <w:rPr>
          <w:color w:val="000000"/>
        </w:rPr>
        <w:t xml:space="preserve">s Riley et al. (2019) </w:t>
      </w:r>
      <w:r w:rsidR="005763EE">
        <w:rPr>
          <w:color w:val="000000"/>
        </w:rPr>
        <w:t>suggest,</w:t>
      </w:r>
      <w:r w:rsidR="005D2149" w:rsidRPr="0025615D">
        <w:rPr>
          <w:color w:val="000000"/>
        </w:rPr>
        <w:t xml:space="preserve"> </w:t>
      </w:r>
      <w:r w:rsidR="005D2149" w:rsidRPr="0025615D">
        <w:rPr>
          <w:color w:val="000000"/>
        </w:rPr>
        <w:t>the multi-agency model has clear limitations when it comes to tackling wider structural inequalities that affect children’s welfare. Issues such as poverty, social exclusion</w:t>
      </w:r>
      <w:r w:rsidR="005D2149" w:rsidRPr="0025615D">
        <w:rPr>
          <w:color w:val="000000"/>
        </w:rPr>
        <w:t xml:space="preserve"> </w:t>
      </w:r>
      <w:r w:rsidR="005D2149" w:rsidRPr="0025615D">
        <w:rPr>
          <w:color w:val="000000"/>
        </w:rPr>
        <w:t>and adverse childhood experiences (ACEs) play a major role in shaping children’s life chances and overall development</w:t>
      </w:r>
      <w:r w:rsidR="005D2149" w:rsidRPr="0025615D">
        <w:rPr>
          <w:color w:val="000000"/>
        </w:rPr>
        <w:t>.</w:t>
      </w:r>
      <w:r w:rsidR="005D2149" w:rsidRPr="0025615D">
        <w:rPr>
          <w:color w:val="000000"/>
        </w:rPr>
        <w:t xml:space="preserve"> Featherstone et al. (2014) argue that safeguarding systems tend to focus too heavily on individual families, particularly parenting behaviours, rather than addressing the broader social and economic conditions that influence family life. This perspective is reinforced by Morris et al. (2018), who suggest that austerity has deepened existing inequalities</w:t>
      </w:r>
      <w:r w:rsidR="00E2312B" w:rsidRPr="0025615D">
        <w:rPr>
          <w:color w:val="000000"/>
        </w:rPr>
        <w:t xml:space="preserve"> such as poverty</w:t>
      </w:r>
      <w:r w:rsidR="005D2149" w:rsidRPr="0025615D">
        <w:rPr>
          <w:color w:val="000000"/>
        </w:rPr>
        <w:t>, leading to greater demand for safeguarding support while simultaneously reducing the resources available to services. As a result, although multi-agency working can provide important support and intervention, it is limited in its ability to address the underlying causes of vulnerability without wider changes in social and economic policy.</w:t>
      </w:r>
    </w:p>
    <w:p w14:paraId="19BE1269" w14:textId="4850751A" w:rsidR="00147DF9" w:rsidRPr="0025615D" w:rsidRDefault="00147DF9" w:rsidP="0025615D">
      <w:pPr>
        <w:pStyle w:val="NormalWeb"/>
        <w:spacing w:line="360" w:lineRule="auto"/>
        <w:rPr>
          <w:color w:val="000000"/>
        </w:rPr>
      </w:pPr>
      <w:r w:rsidRPr="0025615D">
        <w:rPr>
          <w:color w:val="000000"/>
        </w:rPr>
        <w:t>In conclusion, the multi-agency model in Wales plays a vital role in promoting the welfare of children and young people by encouraging collaboration between key services such as education, health, social care, and the police. This joined-up approach reflects a clear shift towards early intervention, information sharing, and holistic support, all of which are essential in identifying and responding to safeguarding concerns effectively. The model is strongly underpinned by legislation, policy developments, and theoretical perspectives, which collectively highlight the importance of viewing a child’s development within their wider social context and ensuring their basic needs for safety, stability, and well-being are met.</w:t>
      </w:r>
      <w:r w:rsidRPr="0025615D">
        <w:rPr>
          <w:color w:val="000000"/>
        </w:rPr>
        <w:t xml:space="preserve"> </w:t>
      </w:r>
      <w:r w:rsidRPr="0025615D">
        <w:rPr>
          <w:color w:val="000000"/>
        </w:rPr>
        <w:t xml:space="preserve">However, although the framework is well established in policy and structure, this essay has shown that its effectiveness in practice is more complex. Barriers such as communication difficulties, resource limitations, role ambiguity, and differences in professional priorities can weaken collaboration between agencies. In addition, issues such as power imbalances and inconsistent implementation of the child’s voice demonstrate that safeguarding is not always fully child-centred in practice. Serious case reviews and academic research further highlight </w:t>
      </w:r>
      <w:proofErr w:type="gramStart"/>
      <w:r w:rsidRPr="0025615D">
        <w:rPr>
          <w:color w:val="000000"/>
        </w:rPr>
        <w:t>that recurring weaknesses</w:t>
      </w:r>
      <w:proofErr w:type="gramEnd"/>
      <w:r w:rsidRPr="0025615D">
        <w:rPr>
          <w:color w:val="000000"/>
        </w:rPr>
        <w:t>, such as poor information sharing and a lack of professional curiosity, continue to impact outcomes despite ongoing reforms.</w:t>
      </w:r>
      <w:r w:rsidRPr="0025615D">
        <w:rPr>
          <w:color w:val="000000"/>
        </w:rPr>
        <w:t xml:space="preserve"> </w:t>
      </w:r>
      <w:r w:rsidRPr="0025615D">
        <w:rPr>
          <w:color w:val="000000"/>
        </w:rPr>
        <w:t xml:space="preserve">Furthermore, while multi-agency working is effective in responding to individual cases of concern, it is more limited in </w:t>
      </w:r>
      <w:r w:rsidRPr="0025615D">
        <w:rPr>
          <w:color w:val="000000"/>
        </w:rPr>
        <w:lastRenderedPageBreak/>
        <w:t>addressing wider structural issues such as poverty, inequality, and adverse childhood experiences, which significantly influence children’s life chances. This suggests that safeguarding systems alone cannot fully improve outcomes without broader social and economic change.</w:t>
      </w:r>
      <w:r w:rsidR="0025615D" w:rsidRPr="0025615D">
        <w:rPr>
          <w:color w:val="000000"/>
        </w:rPr>
        <w:t xml:space="preserve"> </w:t>
      </w:r>
      <w:r w:rsidRPr="0025615D">
        <w:rPr>
          <w:color w:val="000000"/>
        </w:rPr>
        <w:t>Overall, the multi-agency model remains an essential and valuable approach to safeguarding in Wales, offering a strong framework for cooperation and early intervention. However, its success depends not only on policy and structure, but also on effective communication</w:t>
      </w:r>
      <w:r w:rsidRPr="0025615D">
        <w:rPr>
          <w:color w:val="000000"/>
        </w:rPr>
        <w:t xml:space="preserve"> and</w:t>
      </w:r>
      <w:r w:rsidRPr="0025615D">
        <w:rPr>
          <w:color w:val="000000"/>
        </w:rPr>
        <w:t xml:space="preserve"> adequate resources. To fully promote the welfare of children and young people, these systems must continue to develop while also recognising and addressing the wider societal factors that impact children’s lives.</w:t>
      </w:r>
    </w:p>
    <w:p w14:paraId="4AFADB37" w14:textId="77777777" w:rsidR="00147DF9" w:rsidRPr="00147DF9" w:rsidRDefault="00147DF9" w:rsidP="00162401">
      <w:pPr>
        <w:pStyle w:val="NormalWeb"/>
        <w:rPr>
          <w:color w:val="000000"/>
        </w:rPr>
      </w:pPr>
    </w:p>
    <w:p w14:paraId="28007E98" w14:textId="02CB25D9" w:rsidR="00162401" w:rsidRDefault="00162401" w:rsidP="000C00F4">
      <w:pPr>
        <w:pStyle w:val="NormalWeb"/>
        <w:rPr>
          <w:color w:val="000000"/>
        </w:rPr>
      </w:pPr>
    </w:p>
    <w:p w14:paraId="0C7C5D46" w14:textId="7D0BDFEF" w:rsidR="004B3542" w:rsidRPr="004B3542" w:rsidRDefault="002945BE" w:rsidP="004B3542">
      <w:pPr>
        <w:pStyle w:val="NormalWeb"/>
        <w:rPr>
          <w:b/>
          <w:bCs/>
          <w:color w:val="000000"/>
          <w:sz w:val="32"/>
          <w:szCs w:val="32"/>
        </w:rPr>
      </w:pPr>
      <w:r w:rsidRPr="002945BE">
        <w:rPr>
          <w:b/>
          <w:bCs/>
          <w:color w:val="000000"/>
          <w:sz w:val="32"/>
          <w:szCs w:val="32"/>
        </w:rPr>
        <w:t>References:</w:t>
      </w:r>
    </w:p>
    <w:p w14:paraId="1A130645"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Brandon, M., Sidebotham, P., </w:t>
      </w:r>
      <w:proofErr w:type="spellStart"/>
      <w:r w:rsidRPr="00C3559F">
        <w:rPr>
          <w:color w:val="000000" w:themeColor="text1"/>
        </w:rPr>
        <w:t>Belderson</w:t>
      </w:r>
      <w:proofErr w:type="spellEnd"/>
      <w:r w:rsidRPr="00C3559F">
        <w:rPr>
          <w:color w:val="000000" w:themeColor="text1"/>
        </w:rPr>
        <w:t>, P., Cleaver, H., Dickens, J., Garstang, J., Harris, J., Sorensen, P. and Wate, R. (2020)</w:t>
      </w:r>
      <w:r w:rsidRPr="00C3559F">
        <w:rPr>
          <w:rStyle w:val="apple-converted-space"/>
          <w:rFonts w:eastAsiaTheme="majorEastAsia"/>
          <w:color w:val="000000" w:themeColor="text1"/>
        </w:rPr>
        <w:t> </w:t>
      </w:r>
      <w:r w:rsidRPr="00C3559F">
        <w:rPr>
          <w:i/>
          <w:iCs/>
          <w:color w:val="000000" w:themeColor="text1"/>
        </w:rPr>
        <w:t>Complexity and challenge: a triennial analysis of SCRs</w:t>
      </w:r>
      <w:r w:rsidRPr="00C3559F">
        <w:rPr>
          <w:color w:val="000000" w:themeColor="text1"/>
        </w:rPr>
        <w:t xml:space="preserve">. Available at: </w:t>
      </w:r>
      <w:hyperlink r:id="rId4" w:history="1">
        <w:r w:rsidRPr="00C3559F">
          <w:rPr>
            <w:rStyle w:val="Hyperlink"/>
            <w:color w:val="000000" w:themeColor="text1"/>
          </w:rPr>
          <w:t>https://ueaeprints.uea.ac.uk/id/eprint/74649/1/TRIENNIAL_SCR_REPORT_2014_to_2017.pdf</w:t>
        </w:r>
      </w:hyperlink>
      <w:r w:rsidRPr="00C3559F">
        <w:rPr>
          <w:color w:val="000000" w:themeColor="text1"/>
        </w:rPr>
        <w:t xml:space="preserve"> (Accessed 20 April 2026)</w:t>
      </w:r>
    </w:p>
    <w:p w14:paraId="437B449B" w14:textId="77777777" w:rsidR="004B3542" w:rsidRDefault="004B3542" w:rsidP="004B3542">
      <w:pPr>
        <w:pStyle w:val="NormalWeb"/>
        <w:shd w:val="clear" w:color="auto" w:fill="FFFFFF"/>
        <w:spacing w:before="0" w:beforeAutospacing="0" w:after="0" w:afterAutospacing="0" w:line="360" w:lineRule="auto"/>
        <w:rPr>
          <w:color w:val="000000" w:themeColor="text1"/>
        </w:rPr>
      </w:pPr>
    </w:p>
    <w:p w14:paraId="66E4559D"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Bywaters, P., Brady, G., Bunting, L., Daniel, B., Featherstone, B., Jones, C., Morris, K., Scourfield, J., Sparks, T. and Webb, C. (2017) </w:t>
      </w:r>
      <w:r w:rsidRPr="00C3559F">
        <w:rPr>
          <w:color w:val="000000" w:themeColor="text1"/>
        </w:rPr>
        <w:t>‘</w:t>
      </w:r>
      <w:r w:rsidRPr="00C3559F">
        <w:rPr>
          <w:color w:val="000000" w:themeColor="text1"/>
        </w:rPr>
        <w:t>Inequalities in English child protection practice under austerity: A universal challenge?</w:t>
      </w:r>
      <w:r w:rsidRPr="00C3559F">
        <w:rPr>
          <w:color w:val="000000" w:themeColor="text1"/>
        </w:rPr>
        <w:t xml:space="preserve">’ </w:t>
      </w:r>
      <w:r w:rsidRPr="00C3559F">
        <w:rPr>
          <w:i/>
          <w:iCs/>
          <w:color w:val="000000" w:themeColor="text1"/>
        </w:rPr>
        <w:t>Child &amp; Family Social Work</w:t>
      </w:r>
      <w:r w:rsidRPr="00C3559F">
        <w:rPr>
          <w:color w:val="000000" w:themeColor="text1"/>
        </w:rPr>
        <w:t>, 23(1), pp.53–61. Doi.org/10.1111/cfs.12383.</w:t>
      </w:r>
    </w:p>
    <w:p w14:paraId="4BD2C6D9"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60B54BFD" w14:textId="77777777" w:rsidR="004B3542" w:rsidRDefault="004B3542" w:rsidP="004B3542">
      <w:pPr>
        <w:pStyle w:val="NormalWeb"/>
        <w:shd w:val="clear" w:color="auto" w:fill="FFFFFF"/>
        <w:spacing w:before="0" w:beforeAutospacing="0" w:after="0" w:afterAutospacing="0" w:line="360" w:lineRule="auto"/>
        <w:rPr>
          <w:color w:val="000000" w:themeColor="text1"/>
        </w:rPr>
      </w:pPr>
      <w:proofErr w:type="spellStart"/>
      <w:r w:rsidRPr="00C3559F">
        <w:rPr>
          <w:color w:val="000000" w:themeColor="text1"/>
        </w:rPr>
        <w:t>Cheminais</w:t>
      </w:r>
      <w:proofErr w:type="spellEnd"/>
      <w:r w:rsidRPr="00C3559F">
        <w:rPr>
          <w:color w:val="000000" w:themeColor="text1"/>
        </w:rPr>
        <w:t xml:space="preserve">, R. (2009) </w:t>
      </w:r>
      <w:r w:rsidRPr="00C3559F">
        <w:rPr>
          <w:i/>
          <w:iCs/>
          <w:color w:val="000000" w:themeColor="text1"/>
        </w:rPr>
        <w:t>Effective Multi-Agency Partnerships: Putting Every Child Matters into Practice</w:t>
      </w:r>
      <w:r w:rsidRPr="00C3559F">
        <w:rPr>
          <w:color w:val="000000" w:themeColor="text1"/>
        </w:rPr>
        <w:t>. Doi.org/10.4135/9781446288269.</w:t>
      </w:r>
    </w:p>
    <w:p w14:paraId="1729DE2C"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26310E97" w14:textId="77777777" w:rsidR="004B3542" w:rsidRDefault="004B3542" w:rsidP="004B3542">
      <w:pPr>
        <w:pStyle w:val="NormalWeb"/>
        <w:shd w:val="clear" w:color="auto" w:fill="FFFFFF"/>
        <w:spacing w:before="0" w:beforeAutospacing="0" w:after="0" w:afterAutospacing="0" w:line="360" w:lineRule="auto"/>
        <w:rPr>
          <w:color w:val="000000" w:themeColor="text1"/>
        </w:rPr>
      </w:pPr>
      <w:proofErr w:type="spellStart"/>
      <w:r w:rsidRPr="00C3559F">
        <w:rPr>
          <w:rStyle w:val="Emphasis"/>
          <w:rFonts w:eastAsiaTheme="majorEastAsia"/>
          <w:i w:val="0"/>
          <w:iCs w:val="0"/>
          <w:color w:val="000000" w:themeColor="text1"/>
        </w:rPr>
        <w:t>Cheminais</w:t>
      </w:r>
      <w:proofErr w:type="spellEnd"/>
      <w:r w:rsidRPr="00C3559F">
        <w:rPr>
          <w:color w:val="000000" w:themeColor="text1"/>
        </w:rPr>
        <w:t>. R. (2022)</w:t>
      </w:r>
      <w:r w:rsidRPr="00C3559F">
        <w:rPr>
          <w:rStyle w:val="apple-converted-space"/>
          <w:rFonts w:eastAsiaTheme="majorEastAsia"/>
          <w:color w:val="000000" w:themeColor="text1"/>
        </w:rPr>
        <w:t> </w:t>
      </w:r>
      <w:r w:rsidRPr="00C3559F">
        <w:rPr>
          <w:i/>
          <w:iCs/>
          <w:color w:val="000000" w:themeColor="text1"/>
        </w:rPr>
        <w:t xml:space="preserve">The Benefits and Challenges of Collaborative Multi-Agency ... | Lecture notes Communication. </w:t>
      </w:r>
      <w:r w:rsidRPr="00C3559F">
        <w:rPr>
          <w:color w:val="000000" w:themeColor="text1"/>
        </w:rPr>
        <w:t xml:space="preserve">Available at: </w:t>
      </w:r>
      <w:hyperlink r:id="rId5" w:history="1">
        <w:r w:rsidRPr="00C3559F">
          <w:rPr>
            <w:rStyle w:val="Hyperlink"/>
            <w:color w:val="000000" w:themeColor="text1"/>
          </w:rPr>
          <w:t>https://www.docsity.com/en/docs/the-benefits-and-challenges-of-collaborative-multi-agency/8926975/</w:t>
        </w:r>
      </w:hyperlink>
      <w:r w:rsidRPr="00C3559F">
        <w:rPr>
          <w:color w:val="000000" w:themeColor="text1"/>
        </w:rPr>
        <w:t xml:space="preserve"> (Accessed 20 April 2026)</w:t>
      </w:r>
    </w:p>
    <w:p w14:paraId="0D355D6F"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43097CFD"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lastRenderedPageBreak/>
        <w:t xml:space="preserve">Curnin, S., Owen, C., Paton, D., Trist, C. and Parsons, D. (2015) </w:t>
      </w:r>
      <w:r w:rsidRPr="00C3559F">
        <w:rPr>
          <w:color w:val="000000" w:themeColor="text1"/>
        </w:rPr>
        <w:t>‘</w:t>
      </w:r>
      <w:r w:rsidRPr="00C3559F">
        <w:rPr>
          <w:color w:val="000000" w:themeColor="text1"/>
        </w:rPr>
        <w:t>Role Clarity, Swift Trust and Multi-Agency Coordination</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Journal of Contingencies and Crisis Management</w:t>
      </w:r>
      <w:r w:rsidRPr="00C3559F">
        <w:rPr>
          <w:color w:val="000000" w:themeColor="text1"/>
        </w:rPr>
        <w:t>, 23(1), pp.29–35. Doi.org/10.1111/1468-5973.12072.</w:t>
      </w:r>
    </w:p>
    <w:p w14:paraId="7728AE55"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5E0CD059"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Department for Education (2025)</w:t>
      </w:r>
      <w:r w:rsidRPr="00C3559F">
        <w:rPr>
          <w:rStyle w:val="apple-converted-space"/>
          <w:rFonts w:eastAsiaTheme="majorEastAsia"/>
          <w:color w:val="000000" w:themeColor="text1"/>
        </w:rPr>
        <w:t xml:space="preserve"> </w:t>
      </w:r>
      <w:r w:rsidRPr="00C3559F">
        <w:rPr>
          <w:i/>
          <w:iCs/>
          <w:color w:val="000000" w:themeColor="text1"/>
        </w:rPr>
        <w:t xml:space="preserve">Keeping children safe in education 2025. </w:t>
      </w:r>
      <w:r w:rsidRPr="00C3559F">
        <w:rPr>
          <w:color w:val="000000" w:themeColor="text1"/>
        </w:rPr>
        <w:t xml:space="preserve">Available at: </w:t>
      </w:r>
      <w:hyperlink r:id="rId6" w:history="1">
        <w:r w:rsidRPr="00C3559F">
          <w:rPr>
            <w:rStyle w:val="Hyperlink"/>
            <w:color w:val="000000" w:themeColor="text1"/>
          </w:rPr>
          <w:t>https://assets.publishing.service.gov.uk/media/68add931969253904d155860/Keeping_children_safe_in_education_from_1_September_2025.pdf</w:t>
        </w:r>
      </w:hyperlink>
      <w:r w:rsidRPr="00C3559F">
        <w:rPr>
          <w:color w:val="000000" w:themeColor="text1"/>
        </w:rPr>
        <w:t xml:space="preserve"> (Accessed 18 April 2026)</w:t>
      </w:r>
    </w:p>
    <w:p w14:paraId="2BE76085"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2CA1C964"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Dixon, S., Kendall, B., Driscoll, J. and Pope, C. (2022) </w:t>
      </w:r>
      <w:r w:rsidRPr="00C3559F">
        <w:rPr>
          <w:color w:val="000000" w:themeColor="text1"/>
        </w:rPr>
        <w:t>‘</w:t>
      </w:r>
      <w:r w:rsidRPr="00C3559F">
        <w:rPr>
          <w:color w:val="000000" w:themeColor="text1"/>
        </w:rPr>
        <w:t>Supporting the ‘Multi’ in Multi-agency working: Learning with and from Each Other Could Enable multi-agency Safeguarding</w:t>
      </w:r>
      <w:r w:rsidRPr="00C3559F">
        <w:rPr>
          <w:color w:val="000000" w:themeColor="text1"/>
        </w:rPr>
        <w:t>’</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British Journal of General Practice</w:t>
      </w:r>
      <w:r w:rsidRPr="00C3559F">
        <w:rPr>
          <w:color w:val="000000" w:themeColor="text1"/>
        </w:rPr>
        <w:t>, 72(722), pp.438–439. Doi.org/10.3399/bjgp22x720617.</w:t>
      </w:r>
    </w:p>
    <w:p w14:paraId="3B83F73E"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55B7B9C0"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Education Wales (2020) </w:t>
      </w:r>
      <w:r w:rsidRPr="00C3559F">
        <w:rPr>
          <w:i/>
          <w:iCs/>
          <w:color w:val="000000" w:themeColor="text1"/>
        </w:rPr>
        <w:t>Keeping learners safe</w:t>
      </w:r>
      <w:r w:rsidRPr="00C3559F">
        <w:rPr>
          <w:color w:val="000000" w:themeColor="text1"/>
        </w:rPr>
        <w:t xml:space="preserve">. Available at: </w:t>
      </w:r>
      <w:hyperlink r:id="rId7" w:history="1">
        <w:r w:rsidRPr="00C3559F">
          <w:rPr>
            <w:rStyle w:val="Hyperlink"/>
            <w:color w:val="000000" w:themeColor="text1"/>
          </w:rPr>
          <w:t>https://www.gov.wales/sites/default/files/publications/2020-10/keeping-learners-safe-the-role-of-local-authorities-governing-bodies-and-proprietors-of-independent-schools-under-the-education-act.pdf</w:t>
        </w:r>
      </w:hyperlink>
      <w:r w:rsidRPr="00C3559F">
        <w:rPr>
          <w:color w:val="000000" w:themeColor="text1"/>
        </w:rPr>
        <w:t xml:space="preserve"> (Accessed 20 April 2026)</w:t>
      </w:r>
    </w:p>
    <w:p w14:paraId="2B2293B8"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045DCBFA" w14:textId="77777777" w:rsidR="004B3542" w:rsidRDefault="004B3542" w:rsidP="004B3542">
      <w:pPr>
        <w:pStyle w:val="NormalWeb"/>
        <w:shd w:val="clear" w:color="auto" w:fill="FFFFFF"/>
        <w:spacing w:before="0" w:beforeAutospacing="0" w:after="0" w:afterAutospacing="0" w:line="360" w:lineRule="auto"/>
        <w:rPr>
          <w:color w:val="000000" w:themeColor="text1"/>
          <w:shd w:val="clear" w:color="auto" w:fill="FFFFFF"/>
        </w:rPr>
      </w:pPr>
      <w:r w:rsidRPr="00C3559F">
        <w:rPr>
          <w:color w:val="000000" w:themeColor="text1"/>
          <w:shd w:val="clear" w:color="auto" w:fill="FFFFFF"/>
        </w:rPr>
        <w:t xml:space="preserve">Featherstone, B., Morris, K. and White, S. (2014) </w:t>
      </w:r>
      <w:r w:rsidRPr="00C3559F">
        <w:rPr>
          <w:i/>
          <w:iCs/>
          <w:color w:val="000000" w:themeColor="text1"/>
        </w:rPr>
        <w:t>Re-imagining child protection: Towards humane social work with families</w:t>
      </w:r>
      <w:r w:rsidRPr="00C3559F">
        <w:rPr>
          <w:color w:val="000000" w:themeColor="text1"/>
          <w:shd w:val="clear" w:color="auto" w:fill="FFFFFF"/>
        </w:rPr>
        <w:t>. Policy Press.</w:t>
      </w:r>
    </w:p>
    <w:p w14:paraId="089C487E" w14:textId="77777777" w:rsidR="004B3542" w:rsidRDefault="004B3542" w:rsidP="004B3542">
      <w:pPr>
        <w:pStyle w:val="NormalWeb"/>
        <w:shd w:val="clear" w:color="auto" w:fill="FFFFFF"/>
        <w:spacing w:before="0" w:beforeAutospacing="0" w:after="0" w:afterAutospacing="0" w:line="360" w:lineRule="auto"/>
        <w:rPr>
          <w:color w:val="000000" w:themeColor="text1"/>
        </w:rPr>
      </w:pPr>
    </w:p>
    <w:p w14:paraId="1D66E567" w14:textId="77777777" w:rsidR="004B3542" w:rsidRDefault="004B3542" w:rsidP="004B3542">
      <w:pPr>
        <w:pStyle w:val="NormalWeb"/>
        <w:shd w:val="clear" w:color="auto" w:fill="FFFFFF"/>
        <w:spacing w:before="0" w:beforeAutospacing="0" w:after="0" w:afterAutospacing="0" w:line="360" w:lineRule="auto"/>
        <w:rPr>
          <w:color w:val="000000" w:themeColor="text1"/>
          <w:shd w:val="clear" w:color="auto" w:fill="FFFFFF"/>
        </w:rPr>
      </w:pPr>
      <w:r w:rsidRPr="00C3559F">
        <w:rPr>
          <w:color w:val="000000" w:themeColor="text1"/>
          <w:shd w:val="clear" w:color="auto" w:fill="FFFFFF"/>
        </w:rPr>
        <w:t xml:space="preserve">Freeman, M. (2010) </w:t>
      </w:r>
      <w:r w:rsidRPr="00C3559F">
        <w:rPr>
          <w:color w:val="000000" w:themeColor="text1"/>
          <w:shd w:val="clear" w:color="auto" w:fill="FFFFFF"/>
        </w:rPr>
        <w:t>‘</w:t>
      </w:r>
      <w:r w:rsidRPr="00C3559F">
        <w:rPr>
          <w:color w:val="000000" w:themeColor="text1"/>
          <w:shd w:val="clear" w:color="auto" w:fill="FFFFFF"/>
        </w:rPr>
        <w:t>The Human Rights of Children</w:t>
      </w:r>
      <w:r w:rsidRPr="00C3559F">
        <w:rPr>
          <w:color w:val="000000" w:themeColor="text1"/>
          <w:shd w:val="clear" w:color="auto" w:fill="FFFFFF"/>
        </w:rPr>
        <w:t>’</w:t>
      </w:r>
      <w:r w:rsidRPr="00C3559F">
        <w:rPr>
          <w:color w:val="000000" w:themeColor="text1"/>
          <w:shd w:val="clear" w:color="auto" w:fill="FFFFFF"/>
        </w:rPr>
        <w:t xml:space="preserve"> </w:t>
      </w:r>
      <w:r w:rsidRPr="00C3559F">
        <w:rPr>
          <w:i/>
          <w:iCs/>
          <w:color w:val="000000" w:themeColor="text1"/>
        </w:rPr>
        <w:t>Current legal problems</w:t>
      </w:r>
      <w:r w:rsidRPr="00C3559F">
        <w:rPr>
          <w:color w:val="000000" w:themeColor="text1"/>
          <w:shd w:val="clear" w:color="auto" w:fill="FFFFFF"/>
        </w:rPr>
        <w:t>, 63(1), pp. 1–44. Doi.org/10.1093/</w:t>
      </w:r>
      <w:proofErr w:type="spellStart"/>
      <w:r w:rsidRPr="00C3559F">
        <w:rPr>
          <w:color w:val="000000" w:themeColor="text1"/>
          <w:shd w:val="clear" w:color="auto" w:fill="FFFFFF"/>
        </w:rPr>
        <w:t>clp</w:t>
      </w:r>
      <w:proofErr w:type="spellEnd"/>
      <w:r w:rsidRPr="00C3559F">
        <w:rPr>
          <w:color w:val="000000" w:themeColor="text1"/>
          <w:shd w:val="clear" w:color="auto" w:fill="FFFFFF"/>
        </w:rPr>
        <w:t>/63.1.1.</w:t>
      </w:r>
    </w:p>
    <w:p w14:paraId="04363325"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shd w:val="clear" w:color="auto" w:fill="FFFFFF"/>
        </w:rPr>
      </w:pPr>
    </w:p>
    <w:p w14:paraId="0F7B6102"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Home Office (2014)</w:t>
      </w:r>
      <w:r w:rsidRPr="00C3559F">
        <w:rPr>
          <w:rStyle w:val="apple-converted-space"/>
          <w:rFonts w:eastAsiaTheme="majorEastAsia"/>
          <w:color w:val="000000" w:themeColor="text1"/>
        </w:rPr>
        <w:t> </w:t>
      </w:r>
      <w:r w:rsidRPr="00C3559F">
        <w:rPr>
          <w:i/>
          <w:iCs/>
          <w:color w:val="000000" w:themeColor="text1"/>
        </w:rPr>
        <w:t>Multi Agency Working and Information Sharing Project Final report</w:t>
      </w:r>
      <w:r w:rsidRPr="00C3559F">
        <w:rPr>
          <w:color w:val="000000" w:themeColor="text1"/>
        </w:rPr>
        <w:t xml:space="preserve">. Available at: </w:t>
      </w:r>
      <w:hyperlink r:id="rId8" w:history="1">
        <w:r w:rsidRPr="00C3559F">
          <w:rPr>
            <w:rStyle w:val="Hyperlink"/>
            <w:color w:val="000000" w:themeColor="text1"/>
          </w:rPr>
          <w:t>https://assets.publishing.service.gov.uk/media/5a750ddb40f0b6360e472fa5/MASH.pdf</w:t>
        </w:r>
      </w:hyperlink>
      <w:r w:rsidRPr="00C3559F">
        <w:rPr>
          <w:color w:val="000000" w:themeColor="text1"/>
        </w:rPr>
        <w:t xml:space="preserve"> (Accessed 20 April 2026)</w:t>
      </w:r>
    </w:p>
    <w:p w14:paraId="65895CFC"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0B45533C"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Howe, D. (2017)</w:t>
      </w:r>
      <w:r w:rsidRPr="00C3559F">
        <w:rPr>
          <w:rStyle w:val="apple-converted-space"/>
          <w:rFonts w:eastAsiaTheme="majorEastAsia"/>
          <w:color w:val="000000" w:themeColor="text1"/>
        </w:rPr>
        <w:t> </w:t>
      </w:r>
      <w:r w:rsidRPr="00C3559F">
        <w:rPr>
          <w:i/>
          <w:iCs/>
          <w:color w:val="000000" w:themeColor="text1"/>
        </w:rPr>
        <w:t>Child Abuse and Neglect</w:t>
      </w:r>
      <w:r w:rsidRPr="00C3559F">
        <w:rPr>
          <w:color w:val="000000" w:themeColor="text1"/>
        </w:rPr>
        <w:t xml:space="preserve">. Available at: </w:t>
      </w:r>
      <w:hyperlink r:id="rId9" w:history="1">
        <w:r w:rsidRPr="00C3559F">
          <w:rPr>
            <w:rStyle w:val="Hyperlink"/>
            <w:color w:val="000000" w:themeColor="text1"/>
          </w:rPr>
          <w:t>https://books.google.co.uk/books?hl=en&amp;lr=&amp;id=x5lGEAAAQBAJ&amp;oi=fnd&amp;pg=PA2&amp;dq=Howe</w:t>
        </w:r>
      </w:hyperlink>
      <w:r w:rsidRPr="00C3559F">
        <w:rPr>
          <w:color w:val="000000" w:themeColor="text1"/>
        </w:rPr>
        <w:t xml:space="preserve"> (Accessed 20 April 2026)</w:t>
      </w:r>
    </w:p>
    <w:p w14:paraId="7D96DF8A"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lastRenderedPageBreak/>
        <w:t xml:space="preserve">Jacklin-Jarvis, C. (2015) </w:t>
      </w:r>
      <w:r w:rsidRPr="00C3559F">
        <w:rPr>
          <w:color w:val="000000" w:themeColor="text1"/>
        </w:rPr>
        <w:t>‘</w:t>
      </w:r>
      <w:r w:rsidRPr="00C3559F">
        <w:rPr>
          <w:color w:val="000000" w:themeColor="text1"/>
        </w:rPr>
        <w:t>Collaborating across sector boundaries: a story of tensions and dilemmas</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Voluntary Sector Review</w:t>
      </w:r>
      <w:r w:rsidRPr="00C3559F">
        <w:rPr>
          <w:color w:val="000000" w:themeColor="text1"/>
        </w:rPr>
        <w:t>, 6(3), pp.285–302. Doi.org/10.1332/204080515x14448338369886.</w:t>
      </w:r>
    </w:p>
    <w:p w14:paraId="4A32375B"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200A9A8F"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McLeod, S. (2025)</w:t>
      </w:r>
      <w:r w:rsidRPr="00C3559F">
        <w:rPr>
          <w:rStyle w:val="apple-converted-space"/>
          <w:rFonts w:eastAsiaTheme="majorEastAsia"/>
          <w:color w:val="000000" w:themeColor="text1"/>
        </w:rPr>
        <w:t> </w:t>
      </w:r>
      <w:r w:rsidRPr="00C3559F">
        <w:rPr>
          <w:i/>
          <w:iCs/>
          <w:color w:val="000000" w:themeColor="text1"/>
        </w:rPr>
        <w:t>Maslow’s Hierarchy of Needs</w:t>
      </w:r>
      <w:r w:rsidRPr="00C3559F">
        <w:rPr>
          <w:color w:val="000000" w:themeColor="text1"/>
        </w:rPr>
        <w:t xml:space="preserve">. Available at: </w:t>
      </w:r>
      <w:hyperlink r:id="rId10" w:history="1">
        <w:r w:rsidRPr="00C3559F">
          <w:rPr>
            <w:rStyle w:val="Hyperlink"/>
            <w:color w:val="000000" w:themeColor="text1"/>
          </w:rPr>
          <w:t>https://www.researchgate.net/publication/383241976_Maslow</w:t>
        </w:r>
      </w:hyperlink>
      <w:r w:rsidRPr="00C3559F">
        <w:rPr>
          <w:color w:val="000000" w:themeColor="text1"/>
        </w:rPr>
        <w:t xml:space="preserve"> (Accessed 20 April 2026)</w:t>
      </w:r>
    </w:p>
    <w:p w14:paraId="3DB1D613"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51D8294E"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Morris, K., Mason, W., Bywaters, P., Featherstone, B., Daniel, B., Brady, G., Bunting, L., Hooper, J., Mirza, N., Scourfield, J. and Webb, C. (2018)</w:t>
      </w:r>
      <w:r w:rsidRPr="00C3559F">
        <w:rPr>
          <w:color w:val="000000" w:themeColor="text1"/>
        </w:rPr>
        <w:t>’</w:t>
      </w:r>
      <w:r w:rsidRPr="00C3559F">
        <w:rPr>
          <w:color w:val="000000" w:themeColor="text1"/>
        </w:rPr>
        <w:t xml:space="preserve"> Social work, poverty, and child welfare interventions</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Child &amp; Family Social Work</w:t>
      </w:r>
      <w:r w:rsidRPr="00C3559F">
        <w:rPr>
          <w:color w:val="000000" w:themeColor="text1"/>
        </w:rPr>
        <w:t>, 23(3), pp.364–372. Doi.org/10.1111/cfs.12423.</w:t>
      </w:r>
    </w:p>
    <w:p w14:paraId="28D4071D"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6CB56881"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Munro, E. (2011)</w:t>
      </w:r>
      <w:r w:rsidRPr="00C3559F">
        <w:rPr>
          <w:rStyle w:val="apple-converted-space"/>
          <w:rFonts w:eastAsiaTheme="majorEastAsia"/>
          <w:color w:val="000000" w:themeColor="text1"/>
        </w:rPr>
        <w:t> </w:t>
      </w:r>
      <w:r w:rsidRPr="00C3559F">
        <w:rPr>
          <w:i/>
          <w:iCs/>
          <w:color w:val="000000" w:themeColor="text1"/>
        </w:rPr>
        <w:t>The Munro Review of Child Protection: Final Report a child-centred System</w:t>
      </w:r>
      <w:r w:rsidRPr="00C3559F">
        <w:rPr>
          <w:color w:val="000000" w:themeColor="text1"/>
        </w:rPr>
        <w:t xml:space="preserve">. Available at: </w:t>
      </w:r>
      <w:hyperlink r:id="rId11" w:history="1">
        <w:r w:rsidRPr="00C3559F">
          <w:rPr>
            <w:rStyle w:val="Hyperlink"/>
            <w:color w:val="000000" w:themeColor="text1"/>
          </w:rPr>
          <w:t>https://assets.publishing.service.gov.uk/media/5a7b455ee5274a34770ea939/Munro-Review.pdf</w:t>
        </w:r>
      </w:hyperlink>
      <w:r w:rsidRPr="00C3559F">
        <w:rPr>
          <w:color w:val="000000" w:themeColor="text1"/>
        </w:rPr>
        <w:t xml:space="preserve"> (Accessed 18 April 2026)</w:t>
      </w:r>
    </w:p>
    <w:p w14:paraId="4A65CBD8"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06770E89"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Munro, E. (2011) </w:t>
      </w:r>
      <w:r w:rsidRPr="00C3559F">
        <w:rPr>
          <w:i/>
          <w:iCs/>
          <w:color w:val="000000" w:themeColor="text1"/>
        </w:rPr>
        <w:t>The Munro Review of Child Protection: Final Report a child-centred System</w:t>
      </w:r>
      <w:r w:rsidRPr="00C3559F">
        <w:rPr>
          <w:color w:val="000000" w:themeColor="text1"/>
        </w:rPr>
        <w:t xml:space="preserve">. Available at: </w:t>
      </w:r>
      <w:hyperlink r:id="rId12" w:history="1">
        <w:r w:rsidRPr="00C3559F">
          <w:rPr>
            <w:rStyle w:val="Hyperlink"/>
            <w:color w:val="000000" w:themeColor="text1"/>
          </w:rPr>
          <w:t>https://assets.publishing.service.gov.uk/media/5a7b455ee5274a34770ea939/Munro-Review.pdf</w:t>
        </w:r>
      </w:hyperlink>
      <w:r w:rsidRPr="00C3559F">
        <w:rPr>
          <w:color w:val="000000" w:themeColor="text1"/>
        </w:rPr>
        <w:t xml:space="preserve"> (Accessed 20 April 2026)</w:t>
      </w:r>
    </w:p>
    <w:p w14:paraId="3930C5E3"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20754004"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NSPCC (2025)</w:t>
      </w:r>
      <w:r w:rsidRPr="00C3559F">
        <w:rPr>
          <w:rStyle w:val="apple-converted-space"/>
          <w:rFonts w:eastAsiaTheme="majorEastAsia"/>
          <w:color w:val="000000" w:themeColor="text1"/>
        </w:rPr>
        <w:t> </w:t>
      </w:r>
      <w:r w:rsidRPr="00C3559F">
        <w:rPr>
          <w:i/>
          <w:iCs/>
          <w:color w:val="000000" w:themeColor="text1"/>
        </w:rPr>
        <w:t xml:space="preserve">Effective multi-agency working and information sharing: evidence snapshot. </w:t>
      </w:r>
      <w:r w:rsidRPr="00C3559F">
        <w:rPr>
          <w:color w:val="000000" w:themeColor="text1"/>
        </w:rPr>
        <w:t xml:space="preserve">Available at: </w:t>
      </w:r>
      <w:hyperlink r:id="rId13" w:history="1">
        <w:r w:rsidRPr="00C3559F">
          <w:rPr>
            <w:rStyle w:val="Hyperlink"/>
            <w:color w:val="000000" w:themeColor="text1"/>
          </w:rPr>
          <w:t>https://learning.nspcc.org.uk/research-resources/2025/effective-multi-agency-working-information-sharing-evidence-snapshot</w:t>
        </w:r>
      </w:hyperlink>
      <w:r w:rsidRPr="00C3559F">
        <w:rPr>
          <w:color w:val="000000" w:themeColor="text1"/>
        </w:rPr>
        <w:t xml:space="preserve"> (Accessed 20 April 2026)</w:t>
      </w:r>
    </w:p>
    <w:p w14:paraId="50E93660"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4D258D4E"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‌Reynaert, D., </w:t>
      </w:r>
      <w:proofErr w:type="spellStart"/>
      <w:r w:rsidRPr="00C3559F">
        <w:rPr>
          <w:color w:val="000000" w:themeColor="text1"/>
        </w:rPr>
        <w:t>Bouverne</w:t>
      </w:r>
      <w:proofErr w:type="spellEnd"/>
      <w:r w:rsidRPr="00C3559F">
        <w:rPr>
          <w:color w:val="000000" w:themeColor="text1"/>
        </w:rPr>
        <w:t xml:space="preserve">-de-Bie, M. and Vandevelde, S. (2009) </w:t>
      </w:r>
      <w:r w:rsidRPr="00C3559F">
        <w:rPr>
          <w:color w:val="000000" w:themeColor="text1"/>
        </w:rPr>
        <w:t>‘</w:t>
      </w:r>
      <w:r w:rsidRPr="00C3559F">
        <w:rPr>
          <w:color w:val="000000" w:themeColor="text1"/>
        </w:rPr>
        <w:t>A Review of Children’s Rights Literature Since the Adoption of the United Nations Convention on the Rights of the Child</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Childhood</w:t>
      </w:r>
      <w:r w:rsidRPr="00C3559F">
        <w:rPr>
          <w:color w:val="000000" w:themeColor="text1"/>
        </w:rPr>
        <w:t>, 16(4), pp.518–534. Doi.org/10.1177/0907568209344270.</w:t>
      </w:r>
    </w:p>
    <w:p w14:paraId="7B3983CE"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34AAB77D"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Riley, G., Bailey, J., Bright, D. and Davies, A. (2019)</w:t>
      </w:r>
      <w:r w:rsidRPr="00C3559F">
        <w:rPr>
          <w:rStyle w:val="apple-converted-space"/>
          <w:rFonts w:eastAsiaTheme="majorEastAsia"/>
          <w:color w:val="000000" w:themeColor="text1"/>
        </w:rPr>
        <w:t> </w:t>
      </w:r>
      <w:r w:rsidRPr="00C3559F">
        <w:rPr>
          <w:i/>
          <w:iCs/>
          <w:color w:val="000000" w:themeColor="text1"/>
        </w:rPr>
        <w:t>A NATIONAL SURVEY Knowledge and awareness of Adverse Childhood Experiences (ACEs) in the public service workforce in Wales</w:t>
      </w:r>
      <w:r w:rsidRPr="00C3559F">
        <w:rPr>
          <w:color w:val="000000" w:themeColor="text1"/>
        </w:rPr>
        <w:t xml:space="preserve">. Available at: </w:t>
      </w:r>
      <w:hyperlink r:id="rId14" w:history="1">
        <w:r w:rsidRPr="00C3559F">
          <w:rPr>
            <w:rStyle w:val="Hyperlink"/>
            <w:color w:val="000000" w:themeColor="text1"/>
          </w:rPr>
          <w:t>https://phw.nhs.wales/news/new-survey-shows-both-good-welsh-public-sector-awareness-of-adverse-childhood-experiences-aces-and-opportunities-for-</w:t>
        </w:r>
        <w:r w:rsidRPr="00C3559F">
          <w:rPr>
            <w:rStyle w:val="Hyperlink"/>
            <w:color w:val="000000" w:themeColor="text1"/>
          </w:rPr>
          <w:lastRenderedPageBreak/>
          <w:t>improvement/knowledge-and-awareness-of-adverse-childhood-experiences-in-the-public-service-workforce-in-wales/</w:t>
        </w:r>
      </w:hyperlink>
      <w:r w:rsidRPr="00C3559F">
        <w:rPr>
          <w:color w:val="000000" w:themeColor="text1"/>
        </w:rPr>
        <w:t xml:space="preserve"> (Accessed 21 April 2026)</w:t>
      </w:r>
    </w:p>
    <w:p w14:paraId="71C8DA6D"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144DFB33"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SEND Pathways (2026) </w:t>
      </w:r>
      <w:r w:rsidRPr="00C3559F">
        <w:rPr>
          <w:i/>
          <w:iCs/>
          <w:color w:val="000000" w:themeColor="text1"/>
        </w:rPr>
        <w:t>Team around the Child meetings – SEND Pathways</w:t>
      </w:r>
      <w:r w:rsidRPr="00C3559F">
        <w:rPr>
          <w:color w:val="000000" w:themeColor="text1"/>
        </w:rPr>
        <w:t xml:space="preserve">. Available at: </w:t>
      </w:r>
      <w:hyperlink r:id="rId15" w:history="1">
        <w:r w:rsidRPr="00C3559F">
          <w:rPr>
            <w:rStyle w:val="Hyperlink"/>
            <w:color w:val="000000" w:themeColor="text1"/>
          </w:rPr>
          <w:t>https://sendpathways.co.uk/team-around-the-child-meetings/</w:t>
        </w:r>
      </w:hyperlink>
      <w:r w:rsidRPr="00C3559F">
        <w:rPr>
          <w:color w:val="000000" w:themeColor="text1"/>
        </w:rPr>
        <w:t xml:space="preserve"> (Accessed 20 April 2026)</w:t>
      </w:r>
    </w:p>
    <w:p w14:paraId="13C0848A"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0EAA7D44"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‌The Attachment Project (2024)</w:t>
      </w:r>
      <w:r w:rsidRPr="00C3559F">
        <w:rPr>
          <w:rStyle w:val="apple-converted-space"/>
          <w:rFonts w:eastAsiaTheme="majorEastAsia"/>
          <w:color w:val="000000" w:themeColor="text1"/>
        </w:rPr>
        <w:t> </w:t>
      </w:r>
      <w:r w:rsidRPr="00C3559F">
        <w:rPr>
          <w:i/>
          <w:iCs/>
          <w:color w:val="000000" w:themeColor="text1"/>
        </w:rPr>
        <w:t>John Bowlby and Attachment Theory: Stages and Working Model</w:t>
      </w:r>
      <w:r w:rsidRPr="00C3559F">
        <w:rPr>
          <w:color w:val="000000" w:themeColor="text1"/>
        </w:rPr>
        <w:t xml:space="preserve">. Available at: </w:t>
      </w:r>
      <w:hyperlink r:id="rId16" w:history="1">
        <w:r w:rsidRPr="00C3559F">
          <w:rPr>
            <w:rStyle w:val="Hyperlink"/>
            <w:color w:val="000000" w:themeColor="text1"/>
          </w:rPr>
          <w:t>https://www.attachmentproject.com/attachment</w:t>
        </w:r>
        <w:r w:rsidRPr="00C3559F">
          <w:rPr>
            <w:rStyle w:val="Hyperlink"/>
            <w:color w:val="000000" w:themeColor="text1"/>
          </w:rPr>
          <w:t>-</w:t>
        </w:r>
        <w:r w:rsidRPr="00C3559F">
          <w:rPr>
            <w:rStyle w:val="Hyperlink"/>
            <w:color w:val="000000" w:themeColor="text1"/>
          </w:rPr>
          <w:t>theory/john-bowlby/</w:t>
        </w:r>
      </w:hyperlink>
      <w:r w:rsidRPr="00C3559F">
        <w:rPr>
          <w:color w:val="000000" w:themeColor="text1"/>
        </w:rPr>
        <w:t xml:space="preserve"> (Accessed 20 April 2026)</w:t>
      </w:r>
    </w:p>
    <w:p w14:paraId="49111FEC"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3D9453D9"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‌Tong, P. and An, I.S. (2024) </w:t>
      </w:r>
      <w:r w:rsidRPr="00C3559F">
        <w:rPr>
          <w:color w:val="000000" w:themeColor="text1"/>
        </w:rPr>
        <w:t>‘</w:t>
      </w:r>
      <w:r w:rsidRPr="00C3559F">
        <w:rPr>
          <w:color w:val="000000" w:themeColor="text1"/>
        </w:rPr>
        <w:t>Review of studies applying Bronfenbrenner’s bioecological theory in international and intercultural education research</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Frontiers in Psychology</w:t>
      </w:r>
      <w:r w:rsidRPr="00C3559F">
        <w:rPr>
          <w:color w:val="000000" w:themeColor="text1"/>
        </w:rPr>
        <w:t>, 14(14), pp.1–17. Doi.org/10.3389/fpsyg.2023.1233925.</w:t>
      </w:r>
    </w:p>
    <w:p w14:paraId="494A325F"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7E6183DF"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UK Government (2026) </w:t>
      </w:r>
      <w:r w:rsidRPr="00C3559F">
        <w:rPr>
          <w:i/>
          <w:iCs/>
          <w:color w:val="000000" w:themeColor="text1"/>
        </w:rPr>
        <w:t>Working Together to Safeguard Children 2026.</w:t>
      </w:r>
      <w:r w:rsidRPr="00C3559F">
        <w:rPr>
          <w:color w:val="000000" w:themeColor="text1"/>
        </w:rPr>
        <w:t xml:space="preserve"> Available at: </w:t>
      </w:r>
      <w:hyperlink r:id="rId17" w:history="1">
        <w:r w:rsidRPr="00C3559F">
          <w:rPr>
            <w:rStyle w:val="Hyperlink"/>
            <w:color w:val="000000" w:themeColor="text1"/>
          </w:rPr>
          <w:t>https://assets.publishing.service.gov.uk/media/69c2c4ce380a2a73a7cf9df4/Working_together_to_safeguard_children_2026.pdf</w:t>
        </w:r>
      </w:hyperlink>
      <w:r w:rsidRPr="00C3559F">
        <w:rPr>
          <w:color w:val="000000" w:themeColor="text1"/>
        </w:rPr>
        <w:t xml:space="preserve"> (Accessed 18 April 2026)</w:t>
      </w:r>
    </w:p>
    <w:p w14:paraId="1C154F34"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7E0CEC42"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UNICEF (1989) </w:t>
      </w:r>
      <w:r w:rsidRPr="00C3559F">
        <w:rPr>
          <w:i/>
          <w:iCs/>
          <w:color w:val="000000" w:themeColor="text1"/>
        </w:rPr>
        <w:t>UN convention on the rights of the child (UNCRC)</w:t>
      </w:r>
      <w:r w:rsidRPr="00C3559F">
        <w:rPr>
          <w:color w:val="000000" w:themeColor="text1"/>
        </w:rPr>
        <w:t xml:space="preserve">. Available at: </w:t>
      </w:r>
      <w:hyperlink r:id="rId18" w:history="1">
        <w:r w:rsidRPr="00C3559F">
          <w:rPr>
            <w:rStyle w:val="Hyperlink"/>
            <w:color w:val="000000" w:themeColor="text1"/>
          </w:rPr>
          <w:t>https://www.unicef.org.uk/what-we-do/un-convention-child-rights/</w:t>
        </w:r>
      </w:hyperlink>
      <w:r w:rsidRPr="00C3559F">
        <w:rPr>
          <w:color w:val="000000" w:themeColor="text1"/>
        </w:rPr>
        <w:t xml:space="preserve"> (Accessed 18 April 2026)</w:t>
      </w:r>
    </w:p>
    <w:p w14:paraId="35E14E3A"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50D08FB2"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Wales Centre For Public Policy (2021) </w:t>
      </w:r>
      <w:r w:rsidRPr="00C3559F">
        <w:rPr>
          <w:i/>
          <w:iCs/>
          <w:color w:val="000000" w:themeColor="text1"/>
        </w:rPr>
        <w:t>Multi-agency working and outcomes for children looked after: Evidence review</w:t>
      </w:r>
      <w:r w:rsidRPr="00C3559F">
        <w:rPr>
          <w:color w:val="000000" w:themeColor="text1"/>
        </w:rPr>
        <w:t xml:space="preserve">. Available at: </w:t>
      </w:r>
      <w:hyperlink r:id="rId19" w:history="1">
        <w:r w:rsidRPr="00C3559F">
          <w:rPr>
            <w:rStyle w:val="Hyperlink"/>
            <w:color w:val="000000" w:themeColor="text1"/>
          </w:rPr>
          <w:t>https://wcpp.org.uk/wp-content/uploads/Multi-agency-working-and-outcomes-for-children-looked-after-Evidence-review.pdf</w:t>
        </w:r>
      </w:hyperlink>
      <w:r w:rsidRPr="00C3559F">
        <w:rPr>
          <w:color w:val="000000" w:themeColor="text1"/>
        </w:rPr>
        <w:t xml:space="preserve"> (Accessed 20 April 2026)</w:t>
      </w:r>
    </w:p>
    <w:p w14:paraId="782C7CA5"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6C2572E8"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‌Wales Safeguarding Procedures (2023)</w:t>
      </w:r>
      <w:r w:rsidRPr="00C3559F">
        <w:rPr>
          <w:rStyle w:val="apple-converted-space"/>
          <w:rFonts w:eastAsiaTheme="majorEastAsia"/>
          <w:color w:val="000000" w:themeColor="text1"/>
        </w:rPr>
        <w:t> </w:t>
      </w:r>
      <w:r w:rsidRPr="00C3559F">
        <w:rPr>
          <w:i/>
          <w:iCs/>
          <w:color w:val="000000" w:themeColor="text1"/>
        </w:rPr>
        <w:t>Safeguarding Wales</w:t>
      </w:r>
      <w:r w:rsidRPr="00C3559F">
        <w:rPr>
          <w:color w:val="000000" w:themeColor="text1"/>
        </w:rPr>
        <w:t xml:space="preserve">. Available at: </w:t>
      </w:r>
      <w:hyperlink r:id="rId20" w:history="1">
        <w:r w:rsidRPr="00C3559F">
          <w:rPr>
            <w:rStyle w:val="Hyperlink"/>
            <w:color w:val="000000" w:themeColor="text1"/>
          </w:rPr>
          <w:t>https://www.safeguarding.wales/en/</w:t>
        </w:r>
      </w:hyperlink>
      <w:r w:rsidRPr="00C3559F">
        <w:rPr>
          <w:color w:val="000000" w:themeColor="text1"/>
        </w:rPr>
        <w:t xml:space="preserve"> (Accessed 18 April 2026)</w:t>
      </w:r>
    </w:p>
    <w:p w14:paraId="46F65589"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73B626EA"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 xml:space="preserve">Ward, C. and Lundy, L. (2024) </w:t>
      </w:r>
      <w:r w:rsidRPr="00C3559F">
        <w:rPr>
          <w:color w:val="000000" w:themeColor="text1"/>
        </w:rPr>
        <w:t>‘</w:t>
      </w:r>
      <w:r w:rsidRPr="00C3559F">
        <w:rPr>
          <w:color w:val="000000" w:themeColor="text1"/>
        </w:rPr>
        <w:t>Space, Voice, Audience, and Influence: The Lundy Model and Early Childhood</w:t>
      </w:r>
      <w:r w:rsidRPr="00C3559F">
        <w:rPr>
          <w:color w:val="000000" w:themeColor="text1"/>
        </w:rPr>
        <w:t>’</w:t>
      </w:r>
      <w:r w:rsidRPr="00C3559F">
        <w:rPr>
          <w:color w:val="000000" w:themeColor="text1"/>
        </w:rPr>
        <w:t>.</w:t>
      </w:r>
      <w:r w:rsidRPr="00C3559F">
        <w:rPr>
          <w:rStyle w:val="apple-converted-space"/>
          <w:rFonts w:eastAsiaTheme="majorEastAsia"/>
          <w:color w:val="000000" w:themeColor="text1"/>
        </w:rPr>
        <w:t> </w:t>
      </w:r>
      <w:r w:rsidRPr="00C3559F">
        <w:rPr>
          <w:i/>
          <w:iCs/>
          <w:color w:val="000000" w:themeColor="text1"/>
        </w:rPr>
        <w:t>International perspectives on early childhood education and development,</w:t>
      </w:r>
      <w:r w:rsidRPr="00C3559F">
        <w:rPr>
          <w:color w:val="000000" w:themeColor="text1"/>
        </w:rPr>
        <w:t xml:space="preserve"> 42, pp.17–28. Doi.org/10.1007/978-3-031-56484-0_2.</w:t>
      </w:r>
    </w:p>
    <w:p w14:paraId="4EBC0BAC" w14:textId="77777777" w:rsidR="004B3542" w:rsidRDefault="004B3542" w:rsidP="004B3542">
      <w:pPr>
        <w:pStyle w:val="NormalWeb"/>
        <w:shd w:val="clear" w:color="auto" w:fill="FFFFFF"/>
        <w:spacing w:before="0" w:beforeAutospacing="0" w:after="0" w:afterAutospacing="0" w:line="360" w:lineRule="auto"/>
        <w:rPr>
          <w:color w:val="000000" w:themeColor="text1"/>
        </w:rPr>
      </w:pPr>
    </w:p>
    <w:p w14:paraId="2DFFC9EF" w14:textId="77777777" w:rsidR="004B3542"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lastRenderedPageBreak/>
        <w:t>‌Welsh Government (2014)</w:t>
      </w:r>
      <w:r w:rsidRPr="00C3559F">
        <w:rPr>
          <w:rStyle w:val="apple-converted-space"/>
          <w:rFonts w:eastAsiaTheme="majorEastAsia"/>
          <w:color w:val="000000" w:themeColor="text1"/>
        </w:rPr>
        <w:t> </w:t>
      </w:r>
      <w:r w:rsidRPr="00C3559F">
        <w:rPr>
          <w:i/>
          <w:iCs/>
          <w:color w:val="000000" w:themeColor="text1"/>
        </w:rPr>
        <w:t>Social Services and Well-being (Wales) Act 2014</w:t>
      </w:r>
      <w:r w:rsidRPr="00C3559F">
        <w:rPr>
          <w:color w:val="000000" w:themeColor="text1"/>
        </w:rPr>
        <w:t xml:space="preserve">. Available at: </w:t>
      </w:r>
      <w:hyperlink r:id="rId21" w:history="1">
        <w:r w:rsidRPr="00C3559F">
          <w:rPr>
            <w:rStyle w:val="Hyperlink"/>
            <w:color w:val="000000" w:themeColor="text1"/>
          </w:rPr>
          <w:t>https://www.legislation.gov.uk/anaw/2014/4/contents</w:t>
        </w:r>
      </w:hyperlink>
      <w:r w:rsidRPr="00C3559F">
        <w:rPr>
          <w:color w:val="000000" w:themeColor="text1"/>
        </w:rPr>
        <w:t xml:space="preserve"> (Accessed 18 April 2026)</w:t>
      </w:r>
    </w:p>
    <w:p w14:paraId="1048B1F2"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p>
    <w:p w14:paraId="48F29118" w14:textId="77777777" w:rsidR="004B3542" w:rsidRPr="00C3559F" w:rsidRDefault="004B3542" w:rsidP="004B3542">
      <w:pPr>
        <w:pStyle w:val="NormalWeb"/>
        <w:shd w:val="clear" w:color="auto" w:fill="FFFFFF"/>
        <w:spacing w:before="0" w:beforeAutospacing="0" w:after="0" w:afterAutospacing="0" w:line="360" w:lineRule="auto"/>
        <w:rPr>
          <w:color w:val="000000" w:themeColor="text1"/>
        </w:rPr>
      </w:pPr>
      <w:r w:rsidRPr="00C3559F">
        <w:rPr>
          <w:color w:val="000000" w:themeColor="text1"/>
        </w:rPr>
        <w:t>Welsh Government (2025)</w:t>
      </w:r>
      <w:r w:rsidRPr="00C3559F">
        <w:rPr>
          <w:rStyle w:val="apple-converted-space"/>
          <w:rFonts w:eastAsiaTheme="majorEastAsia"/>
          <w:color w:val="000000" w:themeColor="text1"/>
        </w:rPr>
        <w:t> </w:t>
      </w:r>
      <w:r w:rsidRPr="00C3559F">
        <w:rPr>
          <w:i/>
          <w:iCs/>
          <w:color w:val="000000" w:themeColor="text1"/>
        </w:rPr>
        <w:t xml:space="preserve">National multi-agency practice framework for children’s services. </w:t>
      </w:r>
      <w:r w:rsidRPr="00C3559F">
        <w:rPr>
          <w:color w:val="000000" w:themeColor="text1"/>
        </w:rPr>
        <w:t xml:space="preserve">Available at: </w:t>
      </w:r>
      <w:hyperlink r:id="rId22" w:history="1">
        <w:r w:rsidRPr="00C3559F">
          <w:rPr>
            <w:rStyle w:val="Hyperlink"/>
            <w:color w:val="000000" w:themeColor="text1"/>
          </w:rPr>
          <w:t>https://www.gov.wales/national-multi-agency-practice-framework-childrens-services-html</w:t>
        </w:r>
      </w:hyperlink>
      <w:r w:rsidRPr="00C3559F">
        <w:rPr>
          <w:color w:val="000000" w:themeColor="text1"/>
        </w:rPr>
        <w:t xml:space="preserve"> (Accessed 20 April 2026)</w:t>
      </w:r>
    </w:p>
    <w:p w14:paraId="1CB51332" w14:textId="77777777" w:rsidR="004B3542" w:rsidRPr="00C3559F" w:rsidRDefault="004B3542" w:rsidP="004B3542">
      <w:pPr>
        <w:pStyle w:val="NormalWeb"/>
        <w:spacing w:line="360" w:lineRule="auto"/>
        <w:rPr>
          <w:color w:val="000000" w:themeColor="text1"/>
        </w:rPr>
      </w:pPr>
      <w:r w:rsidRPr="00C3559F">
        <w:rPr>
          <w:color w:val="000000" w:themeColor="text1"/>
        </w:rPr>
        <w:t>Winter, K., &amp; Ruch, G. (2025</w:t>
      </w:r>
      <w:r w:rsidRPr="00C3559F">
        <w:rPr>
          <w:i/>
          <w:iCs/>
          <w:color w:val="000000" w:themeColor="text1"/>
        </w:rPr>
        <w:t>) Supporting young children’s participation in child welfare. European perspectives</w:t>
      </w:r>
      <w:r w:rsidRPr="00C3559F">
        <w:rPr>
          <w:color w:val="000000" w:themeColor="text1"/>
        </w:rPr>
        <w:t xml:space="preserve">. Bristol University Press. Doi.org/10.56687/9781447376057 </w:t>
      </w:r>
    </w:p>
    <w:p w14:paraId="486BDD8A" w14:textId="2FB2D445" w:rsidR="00C65167" w:rsidRPr="005F1421" w:rsidRDefault="00C65167" w:rsidP="00CC2E2E">
      <w:pPr>
        <w:pStyle w:val="NormalWeb"/>
        <w:rPr>
          <w:rFonts w:ascii="-webkit-standard" w:hAnsi="-webkit-standard"/>
          <w:color w:val="000000"/>
          <w:sz w:val="27"/>
          <w:szCs w:val="27"/>
        </w:rPr>
      </w:pPr>
    </w:p>
    <w:sectPr w:rsidR="00C65167" w:rsidRPr="005F1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5F6"/>
    <w:rsid w:val="000C00F4"/>
    <w:rsid w:val="00147DF9"/>
    <w:rsid w:val="00162401"/>
    <w:rsid w:val="00167AED"/>
    <w:rsid w:val="00177F51"/>
    <w:rsid w:val="001B4096"/>
    <w:rsid w:val="001F193E"/>
    <w:rsid w:val="00230EC0"/>
    <w:rsid w:val="0023252C"/>
    <w:rsid w:val="002532D7"/>
    <w:rsid w:val="0025615D"/>
    <w:rsid w:val="002945BE"/>
    <w:rsid w:val="002D5BC5"/>
    <w:rsid w:val="0032618A"/>
    <w:rsid w:val="004B3542"/>
    <w:rsid w:val="004C25F6"/>
    <w:rsid w:val="005763EE"/>
    <w:rsid w:val="005D2149"/>
    <w:rsid w:val="005F1421"/>
    <w:rsid w:val="00636ED1"/>
    <w:rsid w:val="006A1F8F"/>
    <w:rsid w:val="00853E49"/>
    <w:rsid w:val="008C5426"/>
    <w:rsid w:val="00925028"/>
    <w:rsid w:val="009C622A"/>
    <w:rsid w:val="00B709D2"/>
    <w:rsid w:val="00B77C59"/>
    <w:rsid w:val="00C1666B"/>
    <w:rsid w:val="00C3011D"/>
    <w:rsid w:val="00C3559F"/>
    <w:rsid w:val="00C65167"/>
    <w:rsid w:val="00CC2E2E"/>
    <w:rsid w:val="00D25B5F"/>
    <w:rsid w:val="00D25F29"/>
    <w:rsid w:val="00D33549"/>
    <w:rsid w:val="00E2312B"/>
    <w:rsid w:val="00E509C3"/>
    <w:rsid w:val="00FE4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42F22"/>
  <w15:chartTrackingRefBased/>
  <w15:docId w15:val="{E1EA0C77-0222-1443-BB3C-9B3688B25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5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5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5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5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5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5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5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5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5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5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5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5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5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5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5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5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5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5F6"/>
    <w:rPr>
      <w:rFonts w:eastAsiaTheme="majorEastAsia" w:cstheme="majorBidi"/>
      <w:color w:val="272727" w:themeColor="text1" w:themeTint="D8"/>
    </w:rPr>
  </w:style>
  <w:style w:type="paragraph" w:styleId="Title">
    <w:name w:val="Title"/>
    <w:basedOn w:val="Normal"/>
    <w:next w:val="Normal"/>
    <w:link w:val="TitleChar"/>
    <w:uiPriority w:val="10"/>
    <w:qFormat/>
    <w:rsid w:val="004C25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5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5F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5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5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C25F6"/>
    <w:rPr>
      <w:i/>
      <w:iCs/>
      <w:color w:val="404040" w:themeColor="text1" w:themeTint="BF"/>
    </w:rPr>
  </w:style>
  <w:style w:type="paragraph" w:styleId="ListParagraph">
    <w:name w:val="List Paragraph"/>
    <w:basedOn w:val="Normal"/>
    <w:uiPriority w:val="34"/>
    <w:qFormat/>
    <w:rsid w:val="004C25F6"/>
    <w:pPr>
      <w:ind w:left="720"/>
      <w:contextualSpacing/>
    </w:pPr>
  </w:style>
  <w:style w:type="character" w:styleId="IntenseEmphasis">
    <w:name w:val="Intense Emphasis"/>
    <w:basedOn w:val="DefaultParagraphFont"/>
    <w:uiPriority w:val="21"/>
    <w:qFormat/>
    <w:rsid w:val="004C25F6"/>
    <w:rPr>
      <w:i/>
      <w:iCs/>
      <w:color w:val="0F4761" w:themeColor="accent1" w:themeShade="BF"/>
    </w:rPr>
  </w:style>
  <w:style w:type="paragraph" w:styleId="IntenseQuote">
    <w:name w:val="Intense Quote"/>
    <w:basedOn w:val="Normal"/>
    <w:next w:val="Normal"/>
    <w:link w:val="IntenseQuoteChar"/>
    <w:uiPriority w:val="30"/>
    <w:qFormat/>
    <w:rsid w:val="004C25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5F6"/>
    <w:rPr>
      <w:i/>
      <w:iCs/>
      <w:color w:val="0F4761" w:themeColor="accent1" w:themeShade="BF"/>
    </w:rPr>
  </w:style>
  <w:style w:type="character" w:styleId="IntenseReference">
    <w:name w:val="Intense Reference"/>
    <w:basedOn w:val="DefaultParagraphFont"/>
    <w:uiPriority w:val="32"/>
    <w:qFormat/>
    <w:rsid w:val="004C25F6"/>
    <w:rPr>
      <w:b/>
      <w:bCs/>
      <w:smallCaps/>
      <w:color w:val="0F4761" w:themeColor="accent1" w:themeShade="BF"/>
      <w:spacing w:val="5"/>
    </w:rPr>
  </w:style>
  <w:style w:type="paragraph" w:styleId="NormalWeb">
    <w:name w:val="Normal (Web)"/>
    <w:basedOn w:val="Normal"/>
    <w:uiPriority w:val="99"/>
    <w:unhideWhenUsed/>
    <w:rsid w:val="001B409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1B4096"/>
  </w:style>
  <w:style w:type="character" w:customStyle="1" w:styleId="apple-converted-space">
    <w:name w:val="apple-converted-space"/>
    <w:basedOn w:val="DefaultParagraphFont"/>
    <w:rsid w:val="001B4096"/>
  </w:style>
  <w:style w:type="character" w:styleId="Emphasis">
    <w:name w:val="Emphasis"/>
    <w:basedOn w:val="DefaultParagraphFont"/>
    <w:uiPriority w:val="20"/>
    <w:qFormat/>
    <w:rsid w:val="001B4096"/>
    <w:rPr>
      <w:i/>
      <w:iCs/>
    </w:rPr>
  </w:style>
  <w:style w:type="paragraph" w:customStyle="1" w:styleId="TableParagraph">
    <w:name w:val="Table Paragraph"/>
    <w:basedOn w:val="Normal"/>
    <w:uiPriority w:val="1"/>
    <w:qFormat/>
    <w:rsid w:val="0025615D"/>
    <w:pPr>
      <w:widowControl w:val="0"/>
      <w:autoSpaceDE w:val="0"/>
      <w:autoSpaceDN w:val="0"/>
      <w:ind w:left="107"/>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2945BE"/>
    <w:rPr>
      <w:color w:val="467886" w:themeColor="hyperlink"/>
      <w:u w:val="single"/>
    </w:rPr>
  </w:style>
  <w:style w:type="character" w:styleId="FollowedHyperlink">
    <w:name w:val="FollowedHyperlink"/>
    <w:basedOn w:val="DefaultParagraphFont"/>
    <w:uiPriority w:val="99"/>
    <w:semiHidden/>
    <w:unhideWhenUsed/>
    <w:rsid w:val="004B35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6221">
      <w:bodyDiv w:val="1"/>
      <w:marLeft w:val="0"/>
      <w:marRight w:val="0"/>
      <w:marTop w:val="0"/>
      <w:marBottom w:val="0"/>
      <w:divBdr>
        <w:top w:val="none" w:sz="0" w:space="0" w:color="auto"/>
        <w:left w:val="none" w:sz="0" w:space="0" w:color="auto"/>
        <w:bottom w:val="none" w:sz="0" w:space="0" w:color="auto"/>
        <w:right w:val="none" w:sz="0" w:space="0" w:color="auto"/>
      </w:divBdr>
    </w:div>
    <w:div w:id="165095931">
      <w:bodyDiv w:val="1"/>
      <w:marLeft w:val="0"/>
      <w:marRight w:val="0"/>
      <w:marTop w:val="0"/>
      <w:marBottom w:val="0"/>
      <w:divBdr>
        <w:top w:val="none" w:sz="0" w:space="0" w:color="auto"/>
        <w:left w:val="none" w:sz="0" w:space="0" w:color="auto"/>
        <w:bottom w:val="none" w:sz="0" w:space="0" w:color="auto"/>
        <w:right w:val="none" w:sz="0" w:space="0" w:color="auto"/>
      </w:divBdr>
    </w:div>
    <w:div w:id="613293217">
      <w:bodyDiv w:val="1"/>
      <w:marLeft w:val="0"/>
      <w:marRight w:val="0"/>
      <w:marTop w:val="0"/>
      <w:marBottom w:val="0"/>
      <w:divBdr>
        <w:top w:val="none" w:sz="0" w:space="0" w:color="auto"/>
        <w:left w:val="none" w:sz="0" w:space="0" w:color="auto"/>
        <w:bottom w:val="none" w:sz="0" w:space="0" w:color="auto"/>
        <w:right w:val="none" w:sz="0" w:space="0" w:color="auto"/>
      </w:divBdr>
    </w:div>
    <w:div w:id="625627150">
      <w:bodyDiv w:val="1"/>
      <w:marLeft w:val="0"/>
      <w:marRight w:val="0"/>
      <w:marTop w:val="0"/>
      <w:marBottom w:val="0"/>
      <w:divBdr>
        <w:top w:val="none" w:sz="0" w:space="0" w:color="auto"/>
        <w:left w:val="none" w:sz="0" w:space="0" w:color="auto"/>
        <w:bottom w:val="none" w:sz="0" w:space="0" w:color="auto"/>
        <w:right w:val="none" w:sz="0" w:space="0" w:color="auto"/>
      </w:divBdr>
      <w:divsChild>
        <w:div w:id="656344262">
          <w:marLeft w:val="0"/>
          <w:marRight w:val="0"/>
          <w:marTop w:val="0"/>
          <w:marBottom w:val="0"/>
          <w:divBdr>
            <w:top w:val="none" w:sz="0" w:space="0" w:color="auto"/>
            <w:left w:val="none" w:sz="0" w:space="0" w:color="auto"/>
            <w:bottom w:val="none" w:sz="0" w:space="0" w:color="auto"/>
            <w:right w:val="none" w:sz="0" w:space="0" w:color="auto"/>
          </w:divBdr>
          <w:divsChild>
            <w:div w:id="588850223">
              <w:marLeft w:val="0"/>
              <w:marRight w:val="0"/>
              <w:marTop w:val="0"/>
              <w:marBottom w:val="0"/>
              <w:divBdr>
                <w:top w:val="none" w:sz="0" w:space="0" w:color="auto"/>
                <w:left w:val="none" w:sz="0" w:space="0" w:color="auto"/>
                <w:bottom w:val="none" w:sz="0" w:space="0" w:color="auto"/>
                <w:right w:val="none" w:sz="0" w:space="0" w:color="auto"/>
              </w:divBdr>
              <w:divsChild>
                <w:div w:id="14041514">
                  <w:marLeft w:val="0"/>
                  <w:marRight w:val="0"/>
                  <w:marTop w:val="0"/>
                  <w:marBottom w:val="0"/>
                  <w:divBdr>
                    <w:top w:val="none" w:sz="0" w:space="0" w:color="auto"/>
                    <w:left w:val="none" w:sz="0" w:space="0" w:color="auto"/>
                    <w:bottom w:val="none" w:sz="0" w:space="0" w:color="auto"/>
                    <w:right w:val="none" w:sz="0" w:space="0" w:color="auto"/>
                  </w:divBdr>
                  <w:divsChild>
                    <w:div w:id="1380319809">
                      <w:marLeft w:val="0"/>
                      <w:marRight w:val="0"/>
                      <w:marTop w:val="0"/>
                      <w:marBottom w:val="0"/>
                      <w:divBdr>
                        <w:top w:val="none" w:sz="0" w:space="0" w:color="auto"/>
                        <w:left w:val="none" w:sz="0" w:space="0" w:color="auto"/>
                        <w:bottom w:val="none" w:sz="0" w:space="0" w:color="auto"/>
                        <w:right w:val="none" w:sz="0" w:space="0" w:color="auto"/>
                      </w:divBdr>
                      <w:divsChild>
                        <w:div w:id="967861938">
                          <w:marLeft w:val="0"/>
                          <w:marRight w:val="0"/>
                          <w:marTop w:val="0"/>
                          <w:marBottom w:val="0"/>
                          <w:divBdr>
                            <w:top w:val="none" w:sz="0" w:space="0" w:color="auto"/>
                            <w:left w:val="none" w:sz="0" w:space="0" w:color="auto"/>
                            <w:bottom w:val="none" w:sz="0" w:space="0" w:color="auto"/>
                            <w:right w:val="none" w:sz="0" w:space="0" w:color="auto"/>
                          </w:divBdr>
                          <w:divsChild>
                            <w:div w:id="140661871">
                              <w:marLeft w:val="0"/>
                              <w:marRight w:val="0"/>
                              <w:marTop w:val="0"/>
                              <w:marBottom w:val="0"/>
                              <w:divBdr>
                                <w:top w:val="none" w:sz="0" w:space="0" w:color="auto"/>
                                <w:left w:val="none" w:sz="0" w:space="0" w:color="auto"/>
                                <w:bottom w:val="none" w:sz="0" w:space="0" w:color="auto"/>
                                <w:right w:val="none" w:sz="0" w:space="0" w:color="auto"/>
                              </w:divBdr>
                              <w:divsChild>
                                <w:div w:id="114616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981625">
      <w:bodyDiv w:val="1"/>
      <w:marLeft w:val="0"/>
      <w:marRight w:val="0"/>
      <w:marTop w:val="0"/>
      <w:marBottom w:val="0"/>
      <w:divBdr>
        <w:top w:val="none" w:sz="0" w:space="0" w:color="auto"/>
        <w:left w:val="none" w:sz="0" w:space="0" w:color="auto"/>
        <w:bottom w:val="none" w:sz="0" w:space="0" w:color="auto"/>
        <w:right w:val="none" w:sz="0" w:space="0" w:color="auto"/>
      </w:divBdr>
    </w:div>
    <w:div w:id="1129738875">
      <w:bodyDiv w:val="1"/>
      <w:marLeft w:val="0"/>
      <w:marRight w:val="0"/>
      <w:marTop w:val="0"/>
      <w:marBottom w:val="0"/>
      <w:divBdr>
        <w:top w:val="none" w:sz="0" w:space="0" w:color="auto"/>
        <w:left w:val="none" w:sz="0" w:space="0" w:color="auto"/>
        <w:bottom w:val="none" w:sz="0" w:space="0" w:color="auto"/>
        <w:right w:val="none" w:sz="0" w:space="0" w:color="auto"/>
      </w:divBdr>
      <w:divsChild>
        <w:div w:id="1763791699">
          <w:marLeft w:val="0"/>
          <w:marRight w:val="0"/>
          <w:marTop w:val="0"/>
          <w:marBottom w:val="0"/>
          <w:divBdr>
            <w:top w:val="none" w:sz="0" w:space="0" w:color="auto"/>
            <w:left w:val="none" w:sz="0" w:space="0" w:color="auto"/>
            <w:bottom w:val="none" w:sz="0" w:space="0" w:color="auto"/>
            <w:right w:val="none" w:sz="0" w:space="0" w:color="auto"/>
          </w:divBdr>
          <w:divsChild>
            <w:div w:id="2044793053">
              <w:marLeft w:val="0"/>
              <w:marRight w:val="0"/>
              <w:marTop w:val="0"/>
              <w:marBottom w:val="0"/>
              <w:divBdr>
                <w:top w:val="none" w:sz="0" w:space="0" w:color="auto"/>
                <w:left w:val="none" w:sz="0" w:space="0" w:color="auto"/>
                <w:bottom w:val="none" w:sz="0" w:space="0" w:color="auto"/>
                <w:right w:val="none" w:sz="0" w:space="0" w:color="auto"/>
              </w:divBdr>
              <w:divsChild>
                <w:div w:id="1611887474">
                  <w:marLeft w:val="0"/>
                  <w:marRight w:val="0"/>
                  <w:marTop w:val="0"/>
                  <w:marBottom w:val="0"/>
                  <w:divBdr>
                    <w:top w:val="none" w:sz="0" w:space="0" w:color="auto"/>
                    <w:left w:val="none" w:sz="0" w:space="0" w:color="auto"/>
                    <w:bottom w:val="none" w:sz="0" w:space="0" w:color="auto"/>
                    <w:right w:val="none" w:sz="0" w:space="0" w:color="auto"/>
                  </w:divBdr>
                  <w:divsChild>
                    <w:div w:id="1255943751">
                      <w:marLeft w:val="0"/>
                      <w:marRight w:val="0"/>
                      <w:marTop w:val="0"/>
                      <w:marBottom w:val="0"/>
                      <w:divBdr>
                        <w:top w:val="none" w:sz="0" w:space="0" w:color="auto"/>
                        <w:left w:val="none" w:sz="0" w:space="0" w:color="auto"/>
                        <w:bottom w:val="none" w:sz="0" w:space="0" w:color="auto"/>
                        <w:right w:val="none" w:sz="0" w:space="0" w:color="auto"/>
                      </w:divBdr>
                      <w:divsChild>
                        <w:div w:id="914435280">
                          <w:marLeft w:val="0"/>
                          <w:marRight w:val="0"/>
                          <w:marTop w:val="0"/>
                          <w:marBottom w:val="0"/>
                          <w:divBdr>
                            <w:top w:val="none" w:sz="0" w:space="0" w:color="auto"/>
                            <w:left w:val="none" w:sz="0" w:space="0" w:color="auto"/>
                            <w:bottom w:val="none" w:sz="0" w:space="0" w:color="auto"/>
                            <w:right w:val="none" w:sz="0" w:space="0" w:color="auto"/>
                          </w:divBdr>
                          <w:divsChild>
                            <w:div w:id="365107850">
                              <w:marLeft w:val="0"/>
                              <w:marRight w:val="0"/>
                              <w:marTop w:val="0"/>
                              <w:marBottom w:val="0"/>
                              <w:divBdr>
                                <w:top w:val="none" w:sz="0" w:space="0" w:color="auto"/>
                                <w:left w:val="none" w:sz="0" w:space="0" w:color="auto"/>
                                <w:bottom w:val="none" w:sz="0" w:space="0" w:color="auto"/>
                                <w:right w:val="none" w:sz="0" w:space="0" w:color="auto"/>
                              </w:divBdr>
                              <w:divsChild>
                                <w:div w:id="139481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4029265">
      <w:bodyDiv w:val="1"/>
      <w:marLeft w:val="0"/>
      <w:marRight w:val="0"/>
      <w:marTop w:val="0"/>
      <w:marBottom w:val="0"/>
      <w:divBdr>
        <w:top w:val="none" w:sz="0" w:space="0" w:color="auto"/>
        <w:left w:val="none" w:sz="0" w:space="0" w:color="auto"/>
        <w:bottom w:val="none" w:sz="0" w:space="0" w:color="auto"/>
        <w:right w:val="none" w:sz="0" w:space="0" w:color="auto"/>
      </w:divBdr>
    </w:div>
    <w:div w:id="1630548293">
      <w:bodyDiv w:val="1"/>
      <w:marLeft w:val="0"/>
      <w:marRight w:val="0"/>
      <w:marTop w:val="0"/>
      <w:marBottom w:val="0"/>
      <w:divBdr>
        <w:top w:val="none" w:sz="0" w:space="0" w:color="auto"/>
        <w:left w:val="none" w:sz="0" w:space="0" w:color="auto"/>
        <w:bottom w:val="none" w:sz="0" w:space="0" w:color="auto"/>
        <w:right w:val="none" w:sz="0" w:space="0" w:color="auto"/>
      </w:divBdr>
    </w:div>
    <w:div w:id="1689327789">
      <w:bodyDiv w:val="1"/>
      <w:marLeft w:val="0"/>
      <w:marRight w:val="0"/>
      <w:marTop w:val="0"/>
      <w:marBottom w:val="0"/>
      <w:divBdr>
        <w:top w:val="none" w:sz="0" w:space="0" w:color="auto"/>
        <w:left w:val="none" w:sz="0" w:space="0" w:color="auto"/>
        <w:bottom w:val="none" w:sz="0" w:space="0" w:color="auto"/>
        <w:right w:val="none" w:sz="0" w:space="0" w:color="auto"/>
      </w:divBdr>
      <w:divsChild>
        <w:div w:id="1412237445">
          <w:marLeft w:val="0"/>
          <w:marRight w:val="0"/>
          <w:marTop w:val="0"/>
          <w:marBottom w:val="0"/>
          <w:divBdr>
            <w:top w:val="none" w:sz="0" w:space="0" w:color="auto"/>
            <w:left w:val="none" w:sz="0" w:space="0" w:color="auto"/>
            <w:bottom w:val="none" w:sz="0" w:space="0" w:color="auto"/>
            <w:right w:val="none" w:sz="0" w:space="0" w:color="auto"/>
          </w:divBdr>
          <w:divsChild>
            <w:div w:id="1271233774">
              <w:marLeft w:val="0"/>
              <w:marRight w:val="0"/>
              <w:marTop w:val="0"/>
              <w:marBottom w:val="0"/>
              <w:divBdr>
                <w:top w:val="none" w:sz="0" w:space="0" w:color="auto"/>
                <w:left w:val="none" w:sz="0" w:space="0" w:color="auto"/>
                <w:bottom w:val="none" w:sz="0" w:space="0" w:color="auto"/>
                <w:right w:val="none" w:sz="0" w:space="0" w:color="auto"/>
              </w:divBdr>
              <w:divsChild>
                <w:div w:id="1577089605">
                  <w:marLeft w:val="0"/>
                  <w:marRight w:val="0"/>
                  <w:marTop w:val="0"/>
                  <w:marBottom w:val="0"/>
                  <w:divBdr>
                    <w:top w:val="none" w:sz="0" w:space="0" w:color="auto"/>
                    <w:left w:val="none" w:sz="0" w:space="0" w:color="auto"/>
                    <w:bottom w:val="none" w:sz="0" w:space="0" w:color="auto"/>
                    <w:right w:val="none" w:sz="0" w:space="0" w:color="auto"/>
                  </w:divBdr>
                  <w:divsChild>
                    <w:div w:id="751708275">
                      <w:marLeft w:val="0"/>
                      <w:marRight w:val="0"/>
                      <w:marTop w:val="0"/>
                      <w:marBottom w:val="0"/>
                      <w:divBdr>
                        <w:top w:val="none" w:sz="0" w:space="0" w:color="auto"/>
                        <w:left w:val="none" w:sz="0" w:space="0" w:color="auto"/>
                        <w:bottom w:val="none" w:sz="0" w:space="0" w:color="auto"/>
                        <w:right w:val="none" w:sz="0" w:space="0" w:color="auto"/>
                      </w:divBdr>
                      <w:divsChild>
                        <w:div w:id="1056129280">
                          <w:marLeft w:val="0"/>
                          <w:marRight w:val="0"/>
                          <w:marTop w:val="0"/>
                          <w:marBottom w:val="0"/>
                          <w:divBdr>
                            <w:top w:val="none" w:sz="0" w:space="0" w:color="auto"/>
                            <w:left w:val="none" w:sz="0" w:space="0" w:color="auto"/>
                            <w:bottom w:val="none" w:sz="0" w:space="0" w:color="auto"/>
                            <w:right w:val="none" w:sz="0" w:space="0" w:color="auto"/>
                          </w:divBdr>
                          <w:divsChild>
                            <w:div w:id="296569552">
                              <w:marLeft w:val="0"/>
                              <w:marRight w:val="0"/>
                              <w:marTop w:val="0"/>
                              <w:marBottom w:val="0"/>
                              <w:divBdr>
                                <w:top w:val="none" w:sz="0" w:space="0" w:color="auto"/>
                                <w:left w:val="none" w:sz="0" w:space="0" w:color="auto"/>
                                <w:bottom w:val="none" w:sz="0" w:space="0" w:color="auto"/>
                                <w:right w:val="none" w:sz="0" w:space="0" w:color="auto"/>
                              </w:divBdr>
                              <w:divsChild>
                                <w:div w:id="150143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7851567">
      <w:bodyDiv w:val="1"/>
      <w:marLeft w:val="0"/>
      <w:marRight w:val="0"/>
      <w:marTop w:val="0"/>
      <w:marBottom w:val="0"/>
      <w:divBdr>
        <w:top w:val="none" w:sz="0" w:space="0" w:color="auto"/>
        <w:left w:val="none" w:sz="0" w:space="0" w:color="auto"/>
        <w:bottom w:val="none" w:sz="0" w:space="0" w:color="auto"/>
        <w:right w:val="none" w:sz="0" w:space="0" w:color="auto"/>
      </w:divBdr>
      <w:divsChild>
        <w:div w:id="1973512149">
          <w:marLeft w:val="0"/>
          <w:marRight w:val="0"/>
          <w:marTop w:val="0"/>
          <w:marBottom w:val="0"/>
          <w:divBdr>
            <w:top w:val="none" w:sz="0" w:space="0" w:color="auto"/>
            <w:left w:val="none" w:sz="0" w:space="0" w:color="auto"/>
            <w:bottom w:val="none" w:sz="0" w:space="0" w:color="auto"/>
            <w:right w:val="none" w:sz="0" w:space="0" w:color="auto"/>
          </w:divBdr>
          <w:divsChild>
            <w:div w:id="821391044">
              <w:marLeft w:val="0"/>
              <w:marRight w:val="0"/>
              <w:marTop w:val="0"/>
              <w:marBottom w:val="0"/>
              <w:divBdr>
                <w:top w:val="none" w:sz="0" w:space="0" w:color="auto"/>
                <w:left w:val="none" w:sz="0" w:space="0" w:color="auto"/>
                <w:bottom w:val="none" w:sz="0" w:space="0" w:color="auto"/>
                <w:right w:val="none" w:sz="0" w:space="0" w:color="auto"/>
              </w:divBdr>
              <w:divsChild>
                <w:div w:id="1544098949">
                  <w:marLeft w:val="0"/>
                  <w:marRight w:val="0"/>
                  <w:marTop w:val="0"/>
                  <w:marBottom w:val="0"/>
                  <w:divBdr>
                    <w:top w:val="none" w:sz="0" w:space="0" w:color="auto"/>
                    <w:left w:val="none" w:sz="0" w:space="0" w:color="auto"/>
                    <w:bottom w:val="none" w:sz="0" w:space="0" w:color="auto"/>
                    <w:right w:val="none" w:sz="0" w:space="0" w:color="auto"/>
                  </w:divBdr>
                  <w:divsChild>
                    <w:div w:id="1167554127">
                      <w:marLeft w:val="0"/>
                      <w:marRight w:val="0"/>
                      <w:marTop w:val="0"/>
                      <w:marBottom w:val="0"/>
                      <w:divBdr>
                        <w:top w:val="none" w:sz="0" w:space="0" w:color="auto"/>
                        <w:left w:val="none" w:sz="0" w:space="0" w:color="auto"/>
                        <w:bottom w:val="none" w:sz="0" w:space="0" w:color="auto"/>
                        <w:right w:val="none" w:sz="0" w:space="0" w:color="auto"/>
                      </w:divBdr>
                      <w:divsChild>
                        <w:div w:id="1062682290">
                          <w:marLeft w:val="0"/>
                          <w:marRight w:val="0"/>
                          <w:marTop w:val="0"/>
                          <w:marBottom w:val="0"/>
                          <w:divBdr>
                            <w:top w:val="none" w:sz="0" w:space="0" w:color="auto"/>
                            <w:left w:val="none" w:sz="0" w:space="0" w:color="auto"/>
                            <w:bottom w:val="none" w:sz="0" w:space="0" w:color="auto"/>
                            <w:right w:val="none" w:sz="0" w:space="0" w:color="auto"/>
                          </w:divBdr>
                          <w:divsChild>
                            <w:div w:id="2033917115">
                              <w:marLeft w:val="0"/>
                              <w:marRight w:val="0"/>
                              <w:marTop w:val="0"/>
                              <w:marBottom w:val="0"/>
                              <w:divBdr>
                                <w:top w:val="none" w:sz="0" w:space="0" w:color="auto"/>
                                <w:left w:val="none" w:sz="0" w:space="0" w:color="auto"/>
                                <w:bottom w:val="none" w:sz="0" w:space="0" w:color="auto"/>
                                <w:right w:val="none" w:sz="0" w:space="0" w:color="auto"/>
                              </w:divBdr>
                              <w:divsChild>
                                <w:div w:id="21955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533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50ddb40f0b6360e472fa5/MASH.pdf" TargetMode="External"/><Relationship Id="rId13" Type="http://schemas.openxmlformats.org/officeDocument/2006/relationships/hyperlink" Target="https://learning.nspcc.org.uk/research-resources/2025/effective-multi-agency-working-information-sharing-evidence-snapshot" TargetMode="External"/><Relationship Id="rId1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s://www.legislation.gov.uk/anaw/2014/4/contents" TargetMode="External"/><Relationship Id="rId7" Type="http://schemas.openxmlformats.org/officeDocument/2006/relationships/hyperlink" Target="https://www.gov.wales/sites/default/files/publications/2020-10/keeping-learners-safe-the-role-of-local-authorities-governing-bodies-and-proprietors-of-independent-schools-under-the-education-act.pdf" TargetMode="External"/><Relationship Id="rId12" Type="http://schemas.openxmlformats.org/officeDocument/2006/relationships/hyperlink" Target="https://assets.publishing.service.gov.uk/media/5a7b455ee5274a34770ea939/Munro-Review.pdf" TargetMode="External"/><Relationship Id="rId17" Type="http://schemas.openxmlformats.org/officeDocument/2006/relationships/hyperlink" Target="https://assets.publishing.service.gov.uk/media/69c2c4ce380a2a73a7cf9df4/Working_together_to_safeguard_children_2026.pdf" TargetMode="External"/><Relationship Id="rId2" Type="http://schemas.openxmlformats.org/officeDocument/2006/relationships/settings" Target="settings.xml"/><Relationship Id="rId16" Type="http://schemas.openxmlformats.org/officeDocument/2006/relationships/hyperlink" Target="https://www.attachmentproject.com/attachment-theory/john-bowlby/" TargetMode="External"/><Relationship Id="rId20" Type="http://schemas.openxmlformats.org/officeDocument/2006/relationships/hyperlink" Target="https://www.safeguarding.wales/en/" TargetMode="External"/><Relationship Id="rId1" Type="http://schemas.openxmlformats.org/officeDocument/2006/relationships/styles" Target="styles.xml"/><Relationship Id="rId6" Type="http://schemas.openxmlformats.org/officeDocument/2006/relationships/hyperlink" Target="https://assets.publishing.service.gov.uk/media/68add931969253904d155860/Keeping_children_safe_in_education_from_1_September_2025.pdf" TargetMode="External"/><Relationship Id="rId11" Type="http://schemas.openxmlformats.org/officeDocument/2006/relationships/hyperlink" Target="https://assets.publishing.service.gov.uk/media/5a7b455ee5274a34770ea939/Munro-Review.pdf" TargetMode="External"/><Relationship Id="rId24" Type="http://schemas.openxmlformats.org/officeDocument/2006/relationships/theme" Target="theme/theme1.xml"/><Relationship Id="rId5" Type="http://schemas.openxmlformats.org/officeDocument/2006/relationships/hyperlink" Target="https://www.docsity.com/en/docs/the-benefits-and-challenges-of-collaborative-multi-agency/8926975/" TargetMode="External"/><Relationship Id="rId15" Type="http://schemas.openxmlformats.org/officeDocument/2006/relationships/hyperlink" Target="https://sendpathways.co.uk/team-around-the-child-meetings/" TargetMode="External"/><Relationship Id="rId23" Type="http://schemas.openxmlformats.org/officeDocument/2006/relationships/fontTable" Target="fontTable.xml"/><Relationship Id="rId10" Type="http://schemas.openxmlformats.org/officeDocument/2006/relationships/hyperlink" Target="https://www.researchgate.net/publication/383241976_Maslow" TargetMode="External"/><Relationship Id="rId19" Type="http://schemas.openxmlformats.org/officeDocument/2006/relationships/hyperlink" Target="https://wcpp.org.uk/wp-content/uploads/Multi-agency-working-and-outcomes-for-children-looked-after-Evidence-review.pdf" TargetMode="External"/><Relationship Id="rId4" Type="http://schemas.openxmlformats.org/officeDocument/2006/relationships/hyperlink" Target="https://ueaeprints.uea.ac.uk/id/eprint/74649/1/TRIENNIAL_SCR_REPORT_2014_to_2017.pdf" TargetMode="External"/><Relationship Id="rId9" Type="http://schemas.openxmlformats.org/officeDocument/2006/relationships/hyperlink" Target="https://books.google.co.uk/books?hl=en&amp;lr=&amp;id=x5lGEAAAQBAJ&amp;oi=fnd&amp;pg=PA2&amp;dq=Howe" TargetMode="External"/><Relationship Id="rId14" Type="http://schemas.openxmlformats.org/officeDocument/2006/relationships/hyperlink" Target="https://phw.nhs.wales/news/new-survey-shows-both-good-welsh-public-sector-awareness-of-adverse-childhood-experiences-aces-and-opportunities-for-improvement/knowledge-and-awareness-of-adverse-childhood-experiences-in-the-public-service-workforce-in-wales/" TargetMode="External"/><Relationship Id="rId22" Type="http://schemas.openxmlformats.org/officeDocument/2006/relationships/hyperlink" Target="https://www.gov.wales/national-multi-agency-practice-framework-childrens-servi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10</Pages>
  <Words>3569</Words>
  <Characters>20349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Combe</dc:creator>
  <cp:keywords/>
  <dc:description/>
  <cp:lastModifiedBy>Emily Combe</cp:lastModifiedBy>
  <cp:revision>9</cp:revision>
  <dcterms:created xsi:type="dcterms:W3CDTF">2026-04-22T15:59:00Z</dcterms:created>
  <dcterms:modified xsi:type="dcterms:W3CDTF">2026-04-26T19:58:00Z</dcterms:modified>
</cp:coreProperties>
</file>