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Times New Roman" w:hAnsi="Times New Roman"/>
          <w:b w:val="1"/>
          <w:bCs w:val="1"/>
          <w:outline w:val="0"/>
          <w:color w:val="000000"/>
          <w:sz w:val="32"/>
          <w:szCs w:val="32"/>
          <w:u w:color="000000"/>
          <w:shd w:val="clear" w:color="auto" w:fill="ffffff"/>
          <w:lang w:val="en-US"/>
          <w14:textFill>
            <w14:solidFill>
              <w14:srgbClr w14:val="000000"/>
            </w14:solidFill>
          </w14:textFill>
        </w:rPr>
      </w:pPr>
    </w:p>
    <w:p>
      <w:pPr>
        <w:pStyle w:val="Body"/>
        <w:jc w:val="center"/>
        <w:rPr>
          <w:rFonts w:ascii="Times New Roman" w:hAnsi="Times New Roman"/>
          <w:b w:val="1"/>
          <w:bCs w:val="1"/>
          <w:outline w:val="0"/>
          <w:color w:val="000000"/>
          <w:sz w:val="32"/>
          <w:szCs w:val="32"/>
          <w:u w:color="000000"/>
          <w:shd w:val="clear" w:color="auto" w:fill="ffffff"/>
          <w:lang w:val="en-US"/>
          <w14:textFill>
            <w14:solidFill>
              <w14:srgbClr w14:val="000000"/>
            </w14:solidFill>
          </w14:textFill>
        </w:rPr>
      </w:pPr>
    </w:p>
    <w:p>
      <w:pPr>
        <w:pStyle w:val="Body"/>
        <w:jc w:val="center"/>
        <w:rPr>
          <w:rFonts w:ascii="Times New Roman" w:hAnsi="Times New Roman"/>
          <w:b w:val="1"/>
          <w:bCs w:val="1"/>
          <w:outline w:val="0"/>
          <w:color w:val="000000"/>
          <w:sz w:val="32"/>
          <w:szCs w:val="32"/>
          <w:u w:color="000000"/>
          <w:shd w:val="clear" w:color="auto" w:fill="ffffff"/>
          <w:lang w:val="en-US"/>
          <w14:textFill>
            <w14:solidFill>
              <w14:srgbClr w14:val="000000"/>
            </w14:solidFill>
          </w14:textFill>
        </w:rPr>
      </w:pPr>
    </w:p>
    <w:p>
      <w:pPr>
        <w:pStyle w:val="Body"/>
        <w:jc w:val="center"/>
        <w:rPr>
          <w:rFonts w:ascii="Times New Roman" w:hAnsi="Times New Roman"/>
          <w:b w:val="1"/>
          <w:bCs w:val="1"/>
          <w:outline w:val="0"/>
          <w:color w:val="000000"/>
          <w:sz w:val="32"/>
          <w:szCs w:val="32"/>
          <w:u w:color="000000"/>
          <w:shd w:val="clear" w:color="auto" w:fill="ffffff"/>
          <w:lang w:val="en-US"/>
          <w14:textFill>
            <w14:solidFill>
              <w14:srgbClr w14:val="000000"/>
            </w14:solidFill>
          </w14:textFill>
        </w:rPr>
      </w:pPr>
    </w:p>
    <w:p>
      <w:pPr>
        <w:pStyle w:val="Body"/>
        <w:jc w:val="center"/>
        <w:rPr>
          <w:rFonts w:ascii="Times New Roman" w:hAnsi="Times New Roman"/>
          <w:b w:val="1"/>
          <w:bCs w:val="1"/>
          <w:outline w:val="0"/>
          <w:color w:val="000000"/>
          <w:sz w:val="32"/>
          <w:szCs w:val="32"/>
          <w:u w:color="000000"/>
          <w:shd w:val="clear" w:color="auto" w:fill="ffffff"/>
          <w:lang w:val="en-US"/>
          <w14:textFill>
            <w14:solidFill>
              <w14:srgbClr w14:val="000000"/>
            </w14:solidFill>
          </w14:textFill>
        </w:rPr>
      </w:pPr>
    </w:p>
    <w:p>
      <w:pPr>
        <w:pStyle w:val="Body"/>
        <w:jc w:val="center"/>
        <w:rPr>
          <w:rFonts w:ascii="Times New Roman" w:hAnsi="Times New Roman"/>
          <w:b w:val="1"/>
          <w:bCs w:val="1"/>
          <w:outline w:val="0"/>
          <w:color w:val="000000"/>
          <w:sz w:val="32"/>
          <w:szCs w:val="32"/>
          <w:u w:color="000000"/>
          <w:shd w:val="clear" w:color="auto" w:fill="ffffff"/>
          <w:lang w:val="en-US"/>
          <w14:textFill>
            <w14:solidFill>
              <w14:srgbClr w14:val="000000"/>
            </w14:solidFill>
          </w14:textFill>
        </w:rPr>
      </w:pPr>
    </w:p>
    <w:p>
      <w:pPr>
        <w:pStyle w:val="Body"/>
        <w:jc w:val="center"/>
        <w:rPr>
          <w:rFonts w:ascii="Times New Roman" w:hAnsi="Times New Roman"/>
          <w:b w:val="1"/>
          <w:bCs w:val="1"/>
          <w:outline w:val="0"/>
          <w:color w:val="000000"/>
          <w:sz w:val="32"/>
          <w:szCs w:val="32"/>
          <w:u w:color="000000"/>
          <w:shd w:val="clear" w:color="auto" w:fill="ffffff"/>
          <w:lang w:val="en-US"/>
          <w14:textFill>
            <w14:solidFill>
              <w14:srgbClr w14:val="000000"/>
            </w14:solidFill>
          </w14:textFill>
        </w:rPr>
      </w:pPr>
    </w:p>
    <w:p>
      <w:pPr>
        <w:pStyle w:val="Body"/>
        <w:jc w:val="center"/>
        <w:rPr>
          <w:rFonts w:ascii="Times New Roman" w:hAnsi="Times New Roman"/>
          <w:b w:val="1"/>
          <w:bCs w:val="1"/>
          <w:outline w:val="0"/>
          <w:color w:val="000000"/>
          <w:sz w:val="32"/>
          <w:szCs w:val="32"/>
          <w:u w:color="000000"/>
          <w:shd w:val="clear" w:color="auto" w:fill="ffffff"/>
          <w:lang w:val="en-US"/>
          <w14:textFill>
            <w14:solidFill>
              <w14:srgbClr w14:val="000000"/>
            </w14:solidFill>
          </w14:textFill>
        </w:rPr>
      </w:pPr>
    </w:p>
    <w:p>
      <w:pPr>
        <w:pStyle w:val="Body"/>
        <w:jc w:val="center"/>
        <w:rPr>
          <w:rFonts w:ascii="Times New Roman" w:hAnsi="Times New Roman"/>
          <w:b w:val="1"/>
          <w:bCs w:val="1"/>
          <w:outline w:val="0"/>
          <w:color w:val="000000"/>
          <w:sz w:val="32"/>
          <w:szCs w:val="32"/>
          <w:u w:color="000000"/>
          <w:shd w:val="clear" w:color="auto" w:fill="ffffff"/>
          <w:lang w:val="en-US"/>
          <w14:textFill>
            <w14:solidFill>
              <w14:srgbClr w14:val="000000"/>
            </w14:solidFill>
          </w14:textFill>
        </w:rPr>
      </w:pPr>
    </w:p>
    <w:p>
      <w:pPr>
        <w:pStyle w:val="Body"/>
        <w:jc w:val="center"/>
        <w:rPr>
          <w:rFonts w:ascii="Times New Roman" w:hAnsi="Times New Roman"/>
          <w:b w:val="1"/>
          <w:bCs w:val="1"/>
          <w:outline w:val="0"/>
          <w:color w:val="000000"/>
          <w:sz w:val="32"/>
          <w:szCs w:val="32"/>
          <w:u w:color="000000"/>
          <w:shd w:val="clear" w:color="auto" w:fill="ffffff"/>
          <w:lang w:val="en-US"/>
          <w14:textFill>
            <w14:solidFill>
              <w14:srgbClr w14:val="000000"/>
            </w14:solidFill>
          </w14:textFill>
        </w:rPr>
      </w:pPr>
    </w:p>
    <w:p>
      <w:pPr>
        <w:pStyle w:val="Body"/>
        <w:jc w:val="center"/>
        <w:rPr>
          <w:rFonts w:ascii="Times New Roman" w:hAnsi="Times New Roman"/>
          <w:b w:val="1"/>
          <w:bCs w:val="1"/>
          <w:outline w:val="0"/>
          <w:color w:val="000000"/>
          <w:sz w:val="32"/>
          <w:szCs w:val="32"/>
          <w:u w:color="000000"/>
          <w:shd w:val="clear" w:color="auto" w:fill="ffffff"/>
          <w:lang w:val="en-US"/>
          <w14:textFill>
            <w14:solidFill>
              <w14:srgbClr w14:val="000000"/>
            </w14:solidFill>
          </w14:textFill>
        </w:rPr>
      </w:pPr>
    </w:p>
    <w:p>
      <w:pPr>
        <w:pStyle w:val="Body"/>
        <w:jc w:val="center"/>
        <w:rPr>
          <w:rFonts w:ascii="Times New Roman" w:hAnsi="Times New Roman"/>
          <w:b w:val="1"/>
          <w:bCs w:val="1"/>
          <w:outline w:val="0"/>
          <w:color w:val="000000"/>
          <w:sz w:val="32"/>
          <w:szCs w:val="32"/>
          <w:u w:color="000000"/>
          <w:shd w:val="clear" w:color="auto" w:fill="ffffff"/>
          <w:lang w:val="en-US"/>
          <w14:textFill>
            <w14:solidFill>
              <w14:srgbClr w14:val="000000"/>
            </w14:solidFill>
          </w14:textFill>
        </w:rPr>
      </w:pPr>
    </w:p>
    <w:p>
      <w:pPr>
        <w:pStyle w:val="Body"/>
        <w:jc w:val="center"/>
        <w:rPr>
          <w:rFonts w:ascii="Times New Roman" w:cs="Times New Roman" w:hAnsi="Times New Roman" w:eastAsia="Times New Roman"/>
          <w:b w:val="1"/>
          <w:bCs w:val="1"/>
          <w:sz w:val="24"/>
          <w:szCs w:val="24"/>
          <w:lang w:val="en-US"/>
        </w:rPr>
      </w:pPr>
      <w:r>
        <w:rPr>
          <w:rFonts w:ascii="Times New Roman" w:hAnsi="Times New Roman"/>
          <w:b w:val="1"/>
          <w:bCs w:val="1"/>
          <w:outline w:val="0"/>
          <w:color w:val="000000"/>
          <w:sz w:val="32"/>
          <w:szCs w:val="32"/>
          <w:u w:color="000000"/>
          <w:shd w:val="clear" w:color="auto" w:fill="ffffff"/>
          <w:rtl w:val="0"/>
          <w:lang w:val="en-US"/>
          <w14:textFill>
            <w14:solidFill>
              <w14:srgbClr w14:val="000000"/>
            </w14:solidFill>
          </w14:textFill>
        </w:rPr>
        <w:t>ACCOUNTING FUNDAMENTALS</w:t>
      </w:r>
      <w:r>
        <w:rPr>
          <w:rFonts w:ascii="Times New Roman" w:hAnsi="Times New Roman"/>
          <w:b w:val="1"/>
          <w:bCs w:val="1"/>
          <w:sz w:val="24"/>
          <w:szCs w:val="24"/>
          <w:rtl w:val="0"/>
          <w:lang w:val="en-US"/>
        </w:rPr>
        <w:t xml:space="preserve"> </w:t>
      </w:r>
    </w:p>
    <w:p>
      <w:pPr>
        <w:pStyle w:val="Body"/>
        <w:jc w:val="center"/>
        <w:rPr>
          <w:rFonts w:ascii="Times New Roman" w:cs="Times New Roman" w:hAnsi="Times New Roman" w:eastAsia="Times New Roman"/>
          <w:b w:val="1"/>
          <w:bCs w:val="1"/>
          <w:sz w:val="24"/>
          <w:szCs w:val="24"/>
          <w:lang w:val="en-US"/>
        </w:rPr>
      </w:pPr>
      <w:r>
        <w:rPr>
          <w:rFonts w:ascii="Times New Roman" w:hAnsi="Times New Roman"/>
          <w:b w:val="1"/>
          <w:bCs w:val="1"/>
          <w:sz w:val="24"/>
          <w:szCs w:val="24"/>
          <w:rtl w:val="0"/>
          <w:lang w:val="en-US"/>
        </w:rPr>
        <w:t>Widin B. Sha</w:t>
      </w:r>
      <w:r>
        <w:rPr>
          <w:rFonts w:ascii="Times New Roman" w:hAnsi="Times New Roman" w:hint="default"/>
          <w:b w:val="1"/>
          <w:bCs w:val="1"/>
          <w:sz w:val="24"/>
          <w:szCs w:val="24"/>
          <w:rtl w:val="0"/>
          <w:lang w:val="en-US"/>
        </w:rPr>
        <w:t>’</w:t>
      </w:r>
      <w:r>
        <w:rPr>
          <w:rFonts w:ascii="Times New Roman" w:hAnsi="Times New Roman"/>
          <w:b w:val="1"/>
          <w:bCs w:val="1"/>
          <w:sz w:val="24"/>
          <w:szCs w:val="24"/>
          <w:rtl w:val="0"/>
          <w:lang w:val="en-US"/>
        </w:rPr>
        <w:t>ven</w:t>
      </w:r>
    </w:p>
    <w:p>
      <w:pPr>
        <w:pStyle w:val="Body"/>
        <w:jc w:val="center"/>
        <w:rPr>
          <w:rFonts w:ascii="Times New Roman" w:cs="Times New Roman" w:hAnsi="Times New Roman" w:eastAsia="Times New Roman"/>
          <w:b w:val="1"/>
          <w:bCs w:val="1"/>
          <w:sz w:val="24"/>
          <w:szCs w:val="24"/>
          <w:lang w:val="en-US"/>
        </w:rPr>
      </w:pPr>
    </w:p>
    <w:p>
      <w:pPr>
        <w:pStyle w:val="Body"/>
        <w:jc w:val="center"/>
        <w:rPr>
          <w:rFonts w:ascii="Times New Roman" w:cs="Times New Roman" w:hAnsi="Times New Roman" w:eastAsia="Times New Roman"/>
          <w:b w:val="1"/>
          <w:bCs w:val="1"/>
          <w:sz w:val="24"/>
          <w:szCs w:val="24"/>
          <w:lang w:val="en-US"/>
        </w:rPr>
      </w:pPr>
    </w:p>
    <w:p>
      <w:pPr>
        <w:pStyle w:val="Body"/>
        <w:jc w:val="center"/>
        <w:rPr>
          <w:rFonts w:ascii="Times New Roman" w:cs="Times New Roman" w:hAnsi="Times New Roman" w:eastAsia="Times New Roman"/>
          <w:b w:val="1"/>
          <w:bCs w:val="1"/>
          <w:sz w:val="24"/>
          <w:szCs w:val="24"/>
          <w:lang w:val="en-US"/>
        </w:rPr>
      </w:pPr>
    </w:p>
    <w:p>
      <w:pPr>
        <w:pStyle w:val="Body"/>
        <w:jc w:val="center"/>
      </w:pPr>
      <w:r>
        <w:rPr>
          <w:rFonts w:ascii="Times New Roman" w:hAnsi="Times New Roman"/>
          <w:b w:val="1"/>
          <w:bCs w:val="1"/>
          <w:sz w:val="24"/>
          <w:szCs w:val="24"/>
          <w:rtl w:val="0"/>
          <w:lang w:val="en-US"/>
        </w:rPr>
        <w:t>Dumitrita Ciudin (2030848)</w:t>
      </w:r>
      <w:r>
        <w:rPr>
          <w:rFonts w:ascii="Arial Unicode MS" w:cs="Arial Unicode MS" w:hAnsi="Arial Unicode MS" w:eastAsia="Arial Unicode MS"/>
          <w:b w:val="0"/>
          <w:bCs w:val="0"/>
          <w:i w:val="0"/>
          <w:iCs w:val="0"/>
          <w:sz w:val="24"/>
          <w:szCs w:val="24"/>
          <w:lang w:val="en-US"/>
        </w:rPr>
        <w:br w:type="page"/>
      </w:r>
    </w:p>
    <w:p>
      <w:pPr>
        <w:pStyle w:val="TOC Heading"/>
        <w:spacing w:after="240" w:line="360" w:lineRule="auto"/>
        <w:jc w:val="center"/>
        <w:rPr>
          <w:rFonts w:ascii="Times New Roman" w:cs="Times New Roman" w:hAnsi="Times New Roman" w:eastAsia="Times New Roman"/>
          <w:outline w:val="0"/>
          <w:color w:val="000000"/>
          <w:u w:color="000000"/>
          <w:lang w:val="en-US"/>
          <w14:textFill>
            <w14:solidFill>
              <w14:srgbClr w14:val="000000"/>
            </w14:solidFill>
          </w14:textFill>
        </w:rPr>
      </w:pPr>
      <w:r>
        <w:rPr>
          <w:rFonts w:ascii="Times New Roman" w:hAnsi="Times New Roman"/>
          <w:outline w:val="0"/>
          <w:color w:val="000000"/>
          <w:u w:color="000000"/>
          <w:rtl w:val="0"/>
          <w:lang w:val="en-US"/>
          <w14:textFill>
            <w14:solidFill>
              <w14:srgbClr w14:val="000000"/>
            </w14:solidFill>
          </w14:textFill>
        </w:rPr>
        <w:t>Table of Contents</w:t>
      </w:r>
    </w:p>
    <w:p>
      <w:pPr>
        <w:pStyle w:val="Body"/>
        <w:spacing w:after="240" w:line="360" w:lineRule="auto"/>
        <w:jc w:val="both"/>
      </w:pPr>
      <w:r>
        <w:rPr>
          <w:rFonts w:ascii="Times New Roman" w:cs="Times New Roman" w:hAnsi="Times New Roman" w:eastAsia="Times New Roman"/>
          <w:outline w:val="0"/>
          <w:color w:val="000000"/>
          <w:u w:color="000000"/>
          <w:lang w:val="en-US"/>
          <w14:textFill>
            <w14:solidFill>
              <w14:srgbClr w14:val="000000"/>
            </w14:solidFill>
          </w14:textFill>
        </w:rPr>
        <w:fldChar w:fldCharType="begin" w:fldLock="0"/>
      </w:r>
      <w:r>
        <w:rPr>
          <w:rFonts w:ascii="Times New Roman" w:cs="Times New Roman" w:hAnsi="Times New Roman" w:eastAsia="Times New Roman"/>
          <w:outline w:val="0"/>
          <w:color w:val="000000"/>
          <w:u w:color="000000"/>
          <w:lang w:val="en-US"/>
          <w14:textFill>
            <w14:solidFill>
              <w14:srgbClr w14:val="000000"/>
            </w14:solidFill>
          </w14:textFill>
        </w:rPr>
        <w:instrText xml:space="preserve"> TOC \o 1-2 </w:instrText>
      </w:r>
      <w:r>
        <w:rPr>
          <w:rFonts w:ascii="Times New Roman" w:cs="Times New Roman" w:hAnsi="Times New Roman" w:eastAsia="Times New Roman"/>
          <w:outline w:val="0"/>
          <w:color w:val="000000"/>
          <w:u w:color="000000"/>
          <w:lang w:val="en-US"/>
          <w14:textFill>
            <w14:solidFill>
              <w14:srgbClr w14:val="000000"/>
            </w14:solidFill>
          </w14:textFill>
        </w:rPr>
        <w:fldChar w:fldCharType="separate" w:fldLock="0"/>
      </w:r>
    </w:p>
    <w:p>
      <w:pPr>
        <w:pStyle w:val="TOC 1"/>
      </w:pPr>
      <w:r>
        <w:rPr>
          <w:rFonts w:cs="Arial Unicode MS" w:eastAsia="Arial Unicode MS"/>
          <w:rtl w:val="0"/>
        </w:rPr>
        <w:t>1. Introduction</w:t>
        <w:tab/>
      </w:r>
      <w:r>
        <w:rPr/>
        <w:fldChar w:fldCharType="begin" w:fldLock="0"/>
      </w:r>
      <w:r>
        <w:instrText xml:space="preserve"> PAGEREF _Toc \h </w:instrText>
      </w:r>
      <w:r>
        <w:rPr/>
        <w:fldChar w:fldCharType="separate" w:fldLock="0"/>
      </w:r>
      <w:r>
        <w:rPr>
          <w:rFonts w:cs="Arial Unicode MS" w:eastAsia="Arial Unicode MS"/>
          <w:rtl w:val="0"/>
        </w:rPr>
        <w:t>3</w:t>
      </w:r>
      <w:r>
        <w:rPr/>
        <w:fldChar w:fldCharType="end" w:fldLock="0"/>
      </w:r>
    </w:p>
    <w:p>
      <w:pPr>
        <w:pStyle w:val="TOC 1"/>
      </w:pPr>
      <w:r>
        <w:rPr>
          <w:rFonts w:cs="Arial Unicode MS" w:eastAsia="Arial Unicode MS"/>
          <w:rtl w:val="0"/>
        </w:rPr>
        <w:t>2. Question 1</w:t>
        <w:tab/>
      </w:r>
      <w:r>
        <w:rPr/>
        <w:fldChar w:fldCharType="begin" w:fldLock="0"/>
      </w:r>
      <w:r>
        <w:instrText xml:space="preserve"> PAGEREF _Toc1 \h </w:instrText>
      </w:r>
      <w:r>
        <w:rPr/>
        <w:fldChar w:fldCharType="separate" w:fldLock="0"/>
      </w:r>
      <w:r>
        <w:rPr>
          <w:rFonts w:cs="Arial Unicode MS" w:eastAsia="Arial Unicode MS"/>
          <w:rtl w:val="0"/>
        </w:rPr>
        <w:t>3</w:t>
      </w:r>
      <w:r>
        <w:rPr/>
        <w:fldChar w:fldCharType="end" w:fldLock="0"/>
      </w:r>
    </w:p>
    <w:p>
      <w:pPr>
        <w:pStyle w:val="TOC 2"/>
      </w:pPr>
      <w:r>
        <w:rPr>
          <w:rFonts w:cs="Arial Unicode MS" w:eastAsia="Arial Unicode MS"/>
          <w:rtl w:val="0"/>
        </w:rPr>
        <w:t>a) P &amp; L projection and balance sheet</w:t>
        <w:tab/>
      </w:r>
      <w:r>
        <w:rPr/>
        <w:fldChar w:fldCharType="begin" w:fldLock="0"/>
      </w:r>
      <w:r>
        <w:instrText xml:space="preserve"> PAGEREF _Toc2 \h </w:instrText>
      </w:r>
      <w:r>
        <w:rPr/>
        <w:fldChar w:fldCharType="separate" w:fldLock="0"/>
      </w:r>
      <w:r>
        <w:rPr>
          <w:rFonts w:cs="Arial Unicode MS" w:eastAsia="Arial Unicode MS"/>
          <w:rtl w:val="0"/>
        </w:rPr>
        <w:t>3</w:t>
      </w:r>
      <w:r>
        <w:rPr/>
        <w:fldChar w:fldCharType="end" w:fldLock="0"/>
      </w:r>
    </w:p>
    <w:p>
      <w:pPr>
        <w:pStyle w:val="TOC 2"/>
      </w:pPr>
      <w:r>
        <w:rPr>
          <w:rFonts w:cs="Arial Unicode MS" w:eastAsia="Arial Unicode MS"/>
          <w:rtl w:val="0"/>
        </w:rPr>
        <w:t>b) Appropriate causes to financial position balance</w:t>
        <w:tab/>
      </w:r>
      <w:r>
        <w:rPr/>
        <w:fldChar w:fldCharType="begin" w:fldLock="0"/>
      </w:r>
      <w:r>
        <w:instrText xml:space="preserve"> PAGEREF _Toc3 \h </w:instrText>
      </w:r>
      <w:r>
        <w:rPr/>
        <w:fldChar w:fldCharType="separate" w:fldLock="0"/>
      </w:r>
      <w:r>
        <w:rPr>
          <w:rFonts w:cs="Arial Unicode MS" w:eastAsia="Arial Unicode MS"/>
          <w:rtl w:val="0"/>
        </w:rPr>
        <w:t>6</w:t>
      </w:r>
      <w:r>
        <w:rPr/>
        <w:fldChar w:fldCharType="end" w:fldLock="0"/>
      </w:r>
    </w:p>
    <w:p>
      <w:pPr>
        <w:pStyle w:val="TOC 1"/>
      </w:pPr>
      <w:r>
        <w:rPr>
          <w:rFonts w:cs="Arial Unicode MS" w:eastAsia="Arial Unicode MS"/>
          <w:rtl w:val="0"/>
        </w:rPr>
        <w:t>3. Question 2</w:t>
        <w:tab/>
      </w:r>
      <w:r>
        <w:rPr/>
        <w:fldChar w:fldCharType="begin" w:fldLock="0"/>
      </w:r>
      <w:r>
        <w:instrText xml:space="preserve"> PAGEREF _Toc4 \h </w:instrText>
      </w:r>
      <w:r>
        <w:rPr/>
        <w:fldChar w:fldCharType="separate" w:fldLock="0"/>
      </w:r>
      <w:r>
        <w:rPr>
          <w:rFonts w:cs="Arial Unicode MS" w:eastAsia="Arial Unicode MS"/>
          <w:rtl w:val="0"/>
        </w:rPr>
        <w:t>6</w:t>
      </w:r>
      <w:r>
        <w:rPr/>
        <w:fldChar w:fldCharType="end" w:fldLock="0"/>
      </w:r>
    </w:p>
    <w:p>
      <w:pPr>
        <w:pStyle w:val="TOC 2"/>
      </w:pPr>
      <w:r>
        <w:rPr>
          <w:rFonts w:cs="Arial Unicode MS" w:eastAsia="Arial Unicode MS"/>
          <w:rtl w:val="0"/>
        </w:rPr>
        <w:t>a) Examine the ratio</w:t>
        <w:tab/>
      </w:r>
      <w:r>
        <w:rPr/>
        <w:fldChar w:fldCharType="begin" w:fldLock="0"/>
      </w:r>
      <w:r>
        <w:instrText xml:space="preserve"> PAGEREF _Toc5 \h </w:instrText>
      </w:r>
      <w:r>
        <w:rPr/>
        <w:fldChar w:fldCharType="separate" w:fldLock="0"/>
      </w:r>
      <w:r>
        <w:rPr>
          <w:rFonts w:cs="Arial Unicode MS" w:eastAsia="Arial Unicode MS"/>
          <w:rtl w:val="0"/>
        </w:rPr>
        <w:t>6</w:t>
      </w:r>
      <w:r>
        <w:rPr/>
        <w:fldChar w:fldCharType="end" w:fldLock="0"/>
      </w:r>
    </w:p>
    <w:p>
      <w:pPr>
        <w:pStyle w:val="TOC 2"/>
      </w:pPr>
      <w:r>
        <w:rPr>
          <w:rFonts w:cs="Arial Unicode MS" w:eastAsia="Arial Unicode MS"/>
          <w:rtl w:val="0"/>
        </w:rPr>
        <w:t>b) Approach on the significant financial ratios</w:t>
        <w:tab/>
      </w:r>
      <w:r>
        <w:rPr/>
        <w:fldChar w:fldCharType="begin" w:fldLock="0"/>
      </w:r>
      <w:r>
        <w:instrText xml:space="preserve"> PAGEREF _Toc6 \h </w:instrText>
      </w:r>
      <w:r>
        <w:rPr/>
        <w:fldChar w:fldCharType="separate" w:fldLock="0"/>
      </w:r>
      <w:r>
        <w:rPr>
          <w:rFonts w:cs="Arial Unicode MS" w:eastAsia="Arial Unicode MS"/>
          <w:rtl w:val="0"/>
        </w:rPr>
        <w:t>10</w:t>
      </w:r>
      <w:r>
        <w:rPr/>
        <w:fldChar w:fldCharType="end" w:fldLock="0"/>
      </w:r>
    </w:p>
    <w:p>
      <w:pPr>
        <w:pStyle w:val="TOC 1"/>
      </w:pPr>
      <w:r>
        <w:rPr>
          <w:rFonts w:cs="Arial Unicode MS" w:eastAsia="Arial Unicode MS"/>
          <w:rtl w:val="0"/>
        </w:rPr>
        <w:t>4. Conclusion</w:t>
        <w:tab/>
      </w:r>
      <w:r>
        <w:rPr/>
        <w:fldChar w:fldCharType="begin" w:fldLock="0"/>
      </w:r>
      <w:r>
        <w:instrText xml:space="preserve"> PAGEREF _Toc7 \h </w:instrText>
      </w:r>
      <w:r>
        <w:rPr/>
        <w:fldChar w:fldCharType="separate" w:fldLock="0"/>
      </w:r>
      <w:r>
        <w:rPr>
          <w:rFonts w:cs="Arial Unicode MS" w:eastAsia="Arial Unicode MS"/>
          <w:rtl w:val="0"/>
        </w:rPr>
        <w:t>10</w:t>
      </w:r>
      <w:r>
        <w:rPr/>
        <w:fldChar w:fldCharType="end" w:fldLock="0"/>
      </w:r>
    </w:p>
    <w:p>
      <w:pPr>
        <w:pStyle w:val="TOC 1"/>
      </w:pPr>
      <w:r>
        <w:rPr>
          <w:rFonts w:cs="Arial Unicode MS" w:eastAsia="Arial Unicode MS"/>
          <w:rtl w:val="0"/>
        </w:rPr>
        <w:t>Reference list</w:t>
        <w:tab/>
      </w:r>
      <w:r>
        <w:rPr/>
        <w:fldChar w:fldCharType="begin" w:fldLock="0"/>
      </w:r>
      <w:r>
        <w:instrText xml:space="preserve"> PAGEREF _Toc8 \h </w:instrText>
      </w:r>
      <w:r>
        <w:rPr/>
        <w:fldChar w:fldCharType="separate" w:fldLock="0"/>
      </w:r>
      <w:r>
        <w:rPr>
          <w:rFonts w:cs="Arial Unicode MS" w:eastAsia="Arial Unicode MS"/>
          <w:rtl w:val="0"/>
        </w:rPr>
        <w:t>11</w:t>
      </w:r>
      <w:r>
        <w:rPr/>
        <w:fldChar w:fldCharType="end" w:fldLock="0"/>
      </w:r>
    </w:p>
    <w:p>
      <w:pPr>
        <w:spacing w:after="240" w:line="360" w:lineRule="auto"/>
        <w:jc w:val="both"/>
      </w:pPr>
      <w:r>
        <w:rPr>
          <w:rFonts w:ascii="Times New Roman" w:cs="Times New Roman" w:hAnsi="Times New Roman" w:eastAsia="Times New Roman"/>
          <w:outline w:val="0"/>
          <w:color w:val="000000"/>
          <w:u w:color="000000"/>
          <w:lang w:val="en-US"/>
          <w14:textFill>
            <w14:solidFill>
              <w14:srgbClr w14:val="000000"/>
            </w14:solidFill>
          </w14:textFill>
        </w:rPr>
        <w:fldChar w:fldCharType="end" w:fldLock="0"/>
      </w:r>
    </w:p>
    <w:p>
      <w:pPr>
        <w:pStyle w:val="Body"/>
      </w:pPr>
      <w:r>
        <w:rPr>
          <w:rFonts w:ascii="Arial Unicode MS" w:cs="Arial Unicode MS" w:hAnsi="Arial Unicode MS" w:eastAsia="Arial Unicode MS"/>
          <w:b w:val="0"/>
          <w:bCs w:val="0"/>
          <w:i w:val="0"/>
          <w:iCs w:val="0"/>
          <w:sz w:val="24"/>
          <w:szCs w:val="24"/>
          <w:lang w:val="en-US"/>
        </w:rPr>
        <w:br w:type="page"/>
      </w:r>
    </w:p>
    <w:p>
      <w:pPr>
        <w:pStyle w:val="Heading"/>
        <w:rPr>
          <w:shd w:val="clear" w:color="auto" w:fill="ffffff"/>
        </w:rPr>
      </w:pPr>
      <w:bookmarkStart w:name="_Toc" w:id="0"/>
      <w:r>
        <w:rPr>
          <w:rFonts w:cs="Arial Unicode MS" w:eastAsia="Arial Unicode MS"/>
          <w:shd w:val="clear" w:color="auto" w:fill="ffffff"/>
          <w:rtl w:val="0"/>
          <w:lang w:val="en-US"/>
        </w:rPr>
        <w:t>1. Introduction</w:t>
      </w:r>
      <w:bookmarkEnd w:id="0"/>
    </w:p>
    <w:p>
      <w:pPr>
        <w:pStyle w:val="Body"/>
        <w:spacing w:line="360" w:lineRule="auto"/>
        <w:jc w:val="both"/>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 xml:space="preserve">The mentioned topic is about the importance of accounting as it is one of the crucial parts of the company. Moreover, as it determines the annual data related to the profit and loss , it helps to classify several aspects of the company. Moreover, based on the accounting process development the enhancement of the profit and loss is dependent. However, in this assessment a company is selected and several calculations regarding the annual report are discussed. Development of a business depends on the effective basic roles of the organisation and opportunities are also increased due to this accounting process. </w:t>
      </w:r>
    </w:p>
    <w:p>
      <w:pPr>
        <w:pStyle w:val="Heading"/>
        <w:rPr>
          <w:shd w:val="clear" w:color="auto" w:fill="ffffff"/>
        </w:rPr>
      </w:pPr>
      <w:bookmarkStart w:name="_Toc1" w:id="1"/>
      <w:r>
        <w:rPr>
          <w:rFonts w:cs="Arial Unicode MS" w:eastAsia="Arial Unicode MS"/>
          <w:shd w:val="clear" w:color="auto" w:fill="ffffff"/>
          <w:rtl w:val="0"/>
          <w:lang w:val="en-US"/>
        </w:rPr>
        <w:t>2. Question 1</w:t>
      </w:r>
      <w:bookmarkEnd w:id="1"/>
    </w:p>
    <w:p>
      <w:pPr>
        <w:pStyle w:val="Heading 2"/>
        <w:rPr>
          <w:shd w:val="clear" w:color="auto" w:fill="ffffff"/>
        </w:rPr>
      </w:pPr>
      <w:bookmarkStart w:name="_Toc2" w:id="2"/>
      <w:r>
        <w:rPr>
          <w:rFonts w:cs="Arial Unicode MS" w:eastAsia="Arial Unicode MS"/>
          <w:shd w:val="clear" w:color="auto" w:fill="ffffff"/>
          <w:rtl w:val="0"/>
          <w:lang w:val="en-US"/>
        </w:rPr>
        <w:t>a) P &amp; L projection and balance sheet</w:t>
      </w:r>
      <w:bookmarkEnd w:id="2"/>
    </w:p>
    <w:p>
      <w:pPr>
        <w:pStyle w:val="Body"/>
        <w:spacing w:before="200" w:after="200" w:line="360" w:lineRule="auto"/>
        <w:jc w:val="both"/>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Profit and loss is one of the financial factors which summarise the cost and revenue system of a business. It would further help to measure the financial health of the company as it is one of the crucial indicators of financial condition. Furthermore, it reflects the ratio and amount of the loss and profit which is faced by the company annually.</w:t>
      </w:r>
    </w:p>
    <w:tbl>
      <w:tblPr>
        <w:tblW w:w="5275"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965"/>
        <w:gridCol w:w="1310"/>
      </w:tblGrid>
      <w:tr>
        <w:tblPrEx>
          <w:shd w:val="clear" w:color="auto" w:fill="ced7e7"/>
        </w:tblPrEx>
        <w:trPr>
          <w:trHeight w:val="525" w:hRule="atLeast"/>
        </w:trPr>
        <w:tc>
          <w:tcPr>
            <w:tcW w:type="dxa" w:w="39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jc w:val="center"/>
            </w:pPr>
            <w:r>
              <w:rPr>
                <w:rFonts w:ascii="Times New Roman" w:hAnsi="Times New Roman"/>
                <w:b w:val="1"/>
                <w:bCs w:val="1"/>
                <w:sz w:val="24"/>
                <w:szCs w:val="24"/>
                <w:shd w:val="clear" w:color="auto" w:fill="ffffff"/>
                <w:rtl w:val="0"/>
                <w:lang w:val="en-US"/>
              </w:rPr>
              <w:t>Particulars</w:t>
            </w:r>
          </w:p>
        </w:tc>
        <w:tc>
          <w:tcPr>
            <w:tcW w:type="dxa" w:w="13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jc w:val="center"/>
            </w:pPr>
            <w:r>
              <w:rPr>
                <w:rFonts w:ascii="Times New Roman" w:hAnsi="Times New Roman"/>
                <w:b w:val="1"/>
                <w:bCs w:val="1"/>
                <w:sz w:val="24"/>
                <w:szCs w:val="24"/>
                <w:shd w:val="clear" w:color="auto" w:fill="ffffff"/>
                <w:rtl w:val="0"/>
                <w:lang w:val="en-US"/>
              </w:rPr>
              <w:t>Amounts</w:t>
            </w:r>
          </w:p>
        </w:tc>
      </w:tr>
      <w:tr>
        <w:tblPrEx>
          <w:shd w:val="clear" w:color="auto" w:fill="ced7e7"/>
        </w:tblPrEx>
        <w:trPr>
          <w:trHeight w:val="525" w:hRule="atLeast"/>
        </w:trPr>
        <w:tc>
          <w:tcPr>
            <w:tcW w:type="dxa" w:w="39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jc w:val="center"/>
            </w:pPr>
            <w:r>
              <w:rPr>
                <w:rFonts w:ascii="Times New Roman" w:hAnsi="Times New Roman"/>
                <w:sz w:val="24"/>
                <w:szCs w:val="24"/>
                <w:shd w:val="clear" w:color="auto" w:fill="ffffff"/>
                <w:rtl w:val="0"/>
                <w:lang w:val="en-US"/>
              </w:rPr>
              <w:t>Revenue</w:t>
            </w:r>
          </w:p>
        </w:tc>
        <w:tc>
          <w:tcPr>
            <w:tcW w:type="dxa" w:w="13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jc w:val="center"/>
            </w:pPr>
            <w:r>
              <w:rPr>
                <w:rFonts w:ascii="Times New Roman" w:hAnsi="Times New Roman"/>
                <w:sz w:val="24"/>
                <w:szCs w:val="24"/>
                <w:shd w:val="clear" w:color="auto" w:fill="ffffff"/>
                <w:rtl w:val="0"/>
                <w:lang w:val="en-US"/>
              </w:rPr>
              <w:t>626659</w:t>
            </w:r>
          </w:p>
        </w:tc>
      </w:tr>
      <w:tr>
        <w:tblPrEx>
          <w:shd w:val="clear" w:color="auto" w:fill="ced7e7"/>
        </w:tblPrEx>
        <w:trPr>
          <w:trHeight w:val="525" w:hRule="atLeast"/>
        </w:trPr>
        <w:tc>
          <w:tcPr>
            <w:tcW w:type="dxa" w:w="39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jc w:val="center"/>
            </w:pPr>
            <w:r>
              <w:rPr>
                <w:rFonts w:ascii="Times New Roman" w:hAnsi="Times New Roman"/>
                <w:sz w:val="24"/>
                <w:szCs w:val="24"/>
                <w:shd w:val="clear" w:color="auto" w:fill="ffffff"/>
                <w:rtl w:val="0"/>
                <w:lang w:val="en-US"/>
              </w:rPr>
              <w:t>Gross profit</w:t>
            </w:r>
          </w:p>
        </w:tc>
        <w:tc>
          <w:tcPr>
            <w:tcW w:type="dxa" w:w="13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jc w:val="center"/>
            </w:pPr>
            <w:r>
              <w:rPr>
                <w:rFonts w:ascii="Times New Roman" w:hAnsi="Times New Roman"/>
                <w:sz w:val="24"/>
                <w:szCs w:val="24"/>
                <w:shd w:val="clear" w:color="auto" w:fill="ffffff"/>
                <w:rtl w:val="0"/>
                <w:lang w:val="en-US"/>
              </w:rPr>
              <w:t>567834</w:t>
            </w:r>
          </w:p>
        </w:tc>
      </w:tr>
      <w:tr>
        <w:tblPrEx>
          <w:shd w:val="clear" w:color="auto" w:fill="ced7e7"/>
        </w:tblPrEx>
        <w:trPr>
          <w:trHeight w:val="525" w:hRule="atLeast"/>
        </w:trPr>
        <w:tc>
          <w:tcPr>
            <w:tcW w:type="dxa" w:w="39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jc w:val="center"/>
            </w:pPr>
            <w:r>
              <w:rPr>
                <w:rFonts w:ascii="Times New Roman" w:hAnsi="Times New Roman"/>
                <w:sz w:val="24"/>
                <w:szCs w:val="24"/>
                <w:shd w:val="clear" w:color="auto" w:fill="ffffff"/>
                <w:rtl w:val="0"/>
                <w:lang w:val="en-US"/>
              </w:rPr>
              <w:t>Cost of Sales</w:t>
            </w:r>
          </w:p>
        </w:tc>
        <w:tc>
          <w:tcPr>
            <w:tcW w:type="dxa" w:w="13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jc w:val="center"/>
            </w:pPr>
            <w:r>
              <w:rPr>
                <w:rFonts w:ascii="Times New Roman" w:hAnsi="Times New Roman"/>
                <w:sz w:val="24"/>
                <w:szCs w:val="24"/>
                <w:shd w:val="clear" w:color="auto" w:fill="ffffff"/>
                <w:rtl w:val="0"/>
                <w:lang w:val="en-US"/>
              </w:rPr>
              <w:t>546789</w:t>
            </w:r>
          </w:p>
        </w:tc>
      </w:tr>
      <w:tr>
        <w:tblPrEx>
          <w:shd w:val="clear" w:color="auto" w:fill="ced7e7"/>
        </w:tblPrEx>
        <w:trPr>
          <w:trHeight w:val="525" w:hRule="atLeast"/>
        </w:trPr>
        <w:tc>
          <w:tcPr>
            <w:tcW w:type="dxa" w:w="39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jc w:val="center"/>
            </w:pPr>
            <w:r>
              <w:rPr>
                <w:rFonts w:ascii="Times New Roman" w:hAnsi="Times New Roman"/>
                <w:sz w:val="24"/>
                <w:szCs w:val="24"/>
                <w:shd w:val="clear" w:color="auto" w:fill="ffffff"/>
                <w:rtl w:val="0"/>
                <w:lang w:val="en-US"/>
              </w:rPr>
              <w:t>Administrative expenses</w:t>
            </w:r>
          </w:p>
        </w:tc>
        <w:tc>
          <w:tcPr>
            <w:tcW w:type="dxa" w:w="13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jc w:val="center"/>
            </w:pPr>
            <w:r>
              <w:rPr>
                <w:rFonts w:ascii="Times New Roman" w:hAnsi="Times New Roman"/>
                <w:sz w:val="24"/>
                <w:szCs w:val="24"/>
                <w:shd w:val="clear" w:color="auto" w:fill="ffffff"/>
                <w:rtl w:val="0"/>
                <w:lang w:val="en-US"/>
              </w:rPr>
              <w:t>400000</w:t>
            </w:r>
          </w:p>
        </w:tc>
      </w:tr>
      <w:tr>
        <w:tblPrEx>
          <w:shd w:val="clear" w:color="auto" w:fill="ced7e7"/>
        </w:tblPrEx>
        <w:trPr>
          <w:trHeight w:val="525" w:hRule="atLeast"/>
        </w:trPr>
        <w:tc>
          <w:tcPr>
            <w:tcW w:type="dxa" w:w="39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jc w:val="center"/>
            </w:pPr>
            <w:r>
              <w:rPr>
                <w:rFonts w:ascii="Times New Roman" w:hAnsi="Times New Roman"/>
                <w:sz w:val="24"/>
                <w:szCs w:val="24"/>
                <w:shd w:val="clear" w:color="auto" w:fill="ffffff"/>
                <w:rtl w:val="0"/>
                <w:lang w:val="en-US"/>
              </w:rPr>
              <w:t>Cost of Distribution</w:t>
            </w:r>
          </w:p>
        </w:tc>
        <w:tc>
          <w:tcPr>
            <w:tcW w:type="dxa" w:w="13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jc w:val="center"/>
            </w:pPr>
            <w:r>
              <w:rPr>
                <w:rFonts w:ascii="Times New Roman" w:hAnsi="Times New Roman"/>
                <w:sz w:val="24"/>
                <w:szCs w:val="24"/>
                <w:shd w:val="clear" w:color="auto" w:fill="ffffff"/>
                <w:rtl w:val="0"/>
                <w:lang w:val="en-US"/>
              </w:rPr>
              <w:t>250000</w:t>
            </w:r>
          </w:p>
        </w:tc>
      </w:tr>
      <w:tr>
        <w:tblPrEx>
          <w:shd w:val="clear" w:color="auto" w:fill="ced7e7"/>
        </w:tblPrEx>
        <w:trPr>
          <w:trHeight w:val="525" w:hRule="atLeast"/>
        </w:trPr>
        <w:tc>
          <w:tcPr>
            <w:tcW w:type="dxa" w:w="39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jc w:val="center"/>
            </w:pPr>
            <w:r>
              <w:rPr>
                <w:rFonts w:ascii="Times New Roman" w:hAnsi="Times New Roman"/>
                <w:sz w:val="24"/>
                <w:szCs w:val="24"/>
                <w:shd w:val="clear" w:color="auto" w:fill="ffffff"/>
                <w:rtl w:val="0"/>
                <w:lang w:val="en-US"/>
              </w:rPr>
              <w:t>Operating profit</w:t>
            </w:r>
          </w:p>
        </w:tc>
        <w:tc>
          <w:tcPr>
            <w:tcW w:type="dxa" w:w="13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jc w:val="center"/>
            </w:pPr>
            <w:r>
              <w:rPr>
                <w:rFonts w:ascii="Times New Roman" w:hAnsi="Times New Roman"/>
                <w:sz w:val="24"/>
                <w:szCs w:val="24"/>
                <w:shd w:val="clear" w:color="auto" w:fill="ffffff"/>
                <w:rtl w:val="0"/>
                <w:lang w:val="en-US"/>
              </w:rPr>
              <w:t>234565</w:t>
            </w:r>
          </w:p>
        </w:tc>
      </w:tr>
      <w:tr>
        <w:tblPrEx>
          <w:shd w:val="clear" w:color="auto" w:fill="ced7e7"/>
        </w:tblPrEx>
        <w:trPr>
          <w:trHeight w:val="525" w:hRule="atLeast"/>
        </w:trPr>
        <w:tc>
          <w:tcPr>
            <w:tcW w:type="dxa" w:w="39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jc w:val="center"/>
            </w:pPr>
            <w:r>
              <w:rPr>
                <w:rFonts w:ascii="Times New Roman" w:hAnsi="Times New Roman"/>
                <w:sz w:val="24"/>
                <w:szCs w:val="24"/>
                <w:shd w:val="clear" w:color="auto" w:fill="ffffff"/>
                <w:rtl w:val="0"/>
                <w:lang w:val="en-US"/>
              </w:rPr>
              <w:t>Other income</w:t>
            </w:r>
          </w:p>
        </w:tc>
        <w:tc>
          <w:tcPr>
            <w:tcW w:type="dxa" w:w="13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jc w:val="center"/>
            </w:pPr>
            <w:r>
              <w:rPr>
                <w:rFonts w:ascii="Times New Roman" w:hAnsi="Times New Roman"/>
                <w:sz w:val="24"/>
                <w:szCs w:val="24"/>
                <w:shd w:val="clear" w:color="auto" w:fill="ffffff"/>
                <w:rtl w:val="0"/>
                <w:lang w:val="en-US"/>
              </w:rPr>
              <w:t>Nil</w:t>
            </w:r>
          </w:p>
        </w:tc>
      </w:tr>
      <w:tr>
        <w:tblPrEx>
          <w:shd w:val="clear" w:color="auto" w:fill="ced7e7"/>
        </w:tblPrEx>
        <w:trPr>
          <w:trHeight w:val="525" w:hRule="atLeast"/>
        </w:trPr>
        <w:tc>
          <w:tcPr>
            <w:tcW w:type="dxa" w:w="39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jc w:val="center"/>
            </w:pPr>
            <w:r>
              <w:rPr>
                <w:rFonts w:ascii="Times New Roman" w:hAnsi="Times New Roman"/>
                <w:sz w:val="24"/>
                <w:szCs w:val="24"/>
                <w:shd w:val="clear" w:color="auto" w:fill="ffffff"/>
                <w:rtl w:val="0"/>
                <w:lang w:val="en-US"/>
              </w:rPr>
              <w:t>Investment income</w:t>
            </w:r>
          </w:p>
        </w:tc>
        <w:tc>
          <w:tcPr>
            <w:tcW w:type="dxa" w:w="13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jc w:val="center"/>
            </w:pPr>
            <w:r>
              <w:rPr>
                <w:rFonts w:ascii="Times New Roman" w:hAnsi="Times New Roman"/>
                <w:sz w:val="24"/>
                <w:szCs w:val="24"/>
                <w:shd w:val="clear" w:color="auto" w:fill="ffffff"/>
                <w:rtl w:val="0"/>
                <w:lang w:val="en-US"/>
              </w:rPr>
              <w:t>Nil</w:t>
            </w:r>
          </w:p>
        </w:tc>
      </w:tr>
      <w:tr>
        <w:tblPrEx>
          <w:shd w:val="clear" w:color="auto" w:fill="ced7e7"/>
        </w:tblPrEx>
        <w:trPr>
          <w:trHeight w:val="525" w:hRule="atLeast"/>
        </w:trPr>
        <w:tc>
          <w:tcPr>
            <w:tcW w:type="dxa" w:w="39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jc w:val="center"/>
            </w:pPr>
            <w:r>
              <w:rPr>
                <w:rFonts w:ascii="Times New Roman" w:hAnsi="Times New Roman"/>
                <w:sz w:val="24"/>
                <w:szCs w:val="24"/>
                <w:shd w:val="clear" w:color="auto" w:fill="ffffff"/>
                <w:rtl w:val="0"/>
                <w:lang w:val="en-US"/>
              </w:rPr>
              <w:t>Profit from tax</w:t>
            </w:r>
          </w:p>
        </w:tc>
        <w:tc>
          <w:tcPr>
            <w:tcW w:type="dxa" w:w="13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jc w:val="center"/>
            </w:pPr>
            <w:r>
              <w:rPr>
                <w:rFonts w:ascii="Times New Roman" w:hAnsi="Times New Roman"/>
                <w:sz w:val="24"/>
                <w:szCs w:val="24"/>
                <w:shd w:val="clear" w:color="auto" w:fill="ffffff"/>
                <w:rtl w:val="0"/>
                <w:lang w:val="en-US"/>
              </w:rPr>
              <w:t>199000</w:t>
            </w:r>
          </w:p>
        </w:tc>
      </w:tr>
      <w:tr>
        <w:tblPrEx>
          <w:shd w:val="clear" w:color="auto" w:fill="ced7e7"/>
        </w:tblPrEx>
        <w:trPr>
          <w:trHeight w:val="525" w:hRule="atLeast"/>
        </w:trPr>
        <w:tc>
          <w:tcPr>
            <w:tcW w:type="dxa" w:w="39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jc w:val="center"/>
            </w:pPr>
            <w:r>
              <w:rPr>
                <w:rFonts w:ascii="Times New Roman" w:hAnsi="Times New Roman"/>
                <w:sz w:val="24"/>
                <w:szCs w:val="24"/>
                <w:shd w:val="clear" w:color="auto" w:fill="ffffff"/>
                <w:rtl w:val="0"/>
                <w:lang w:val="en-US"/>
              </w:rPr>
              <w:t>Interest cost</w:t>
            </w:r>
          </w:p>
        </w:tc>
        <w:tc>
          <w:tcPr>
            <w:tcW w:type="dxa" w:w="13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jc w:val="center"/>
            </w:pPr>
            <w:r>
              <w:rPr>
                <w:rFonts w:ascii="Times New Roman" w:hAnsi="Times New Roman"/>
                <w:sz w:val="24"/>
                <w:szCs w:val="24"/>
                <w:shd w:val="clear" w:color="auto" w:fill="ffffff"/>
                <w:rtl w:val="0"/>
                <w:lang w:val="en-US"/>
              </w:rPr>
              <w:t>156789</w:t>
            </w:r>
          </w:p>
        </w:tc>
      </w:tr>
      <w:tr>
        <w:tblPrEx>
          <w:shd w:val="clear" w:color="auto" w:fill="ced7e7"/>
        </w:tblPrEx>
        <w:trPr>
          <w:trHeight w:val="525" w:hRule="atLeast"/>
        </w:trPr>
        <w:tc>
          <w:tcPr>
            <w:tcW w:type="dxa" w:w="39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jc w:val="center"/>
            </w:pPr>
            <w:r>
              <w:rPr>
                <w:rFonts w:ascii="Times New Roman" w:hAnsi="Times New Roman"/>
                <w:sz w:val="24"/>
                <w:szCs w:val="24"/>
                <w:shd w:val="clear" w:color="auto" w:fill="ffffff"/>
                <w:rtl w:val="0"/>
                <w:lang w:val="en-US"/>
              </w:rPr>
              <w:t>Period profit</w:t>
            </w:r>
          </w:p>
        </w:tc>
        <w:tc>
          <w:tcPr>
            <w:tcW w:type="dxa" w:w="13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jc w:val="center"/>
            </w:pPr>
            <w:r>
              <w:rPr>
                <w:rFonts w:ascii="Times New Roman" w:hAnsi="Times New Roman"/>
                <w:sz w:val="24"/>
                <w:szCs w:val="24"/>
                <w:shd w:val="clear" w:color="auto" w:fill="ffffff"/>
                <w:rtl w:val="0"/>
                <w:lang w:val="en-US"/>
              </w:rPr>
              <w:t>65000</w:t>
            </w:r>
          </w:p>
        </w:tc>
      </w:tr>
      <w:tr>
        <w:tblPrEx>
          <w:shd w:val="clear" w:color="auto" w:fill="ced7e7"/>
        </w:tblPrEx>
        <w:trPr>
          <w:trHeight w:val="525" w:hRule="atLeast"/>
        </w:trPr>
        <w:tc>
          <w:tcPr>
            <w:tcW w:type="dxa" w:w="39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jc w:val="center"/>
            </w:pPr>
            <w:r>
              <w:rPr>
                <w:rFonts w:ascii="Times New Roman" w:hAnsi="Times New Roman"/>
                <w:sz w:val="24"/>
                <w:szCs w:val="24"/>
                <w:shd w:val="clear" w:color="auto" w:fill="ffffff"/>
                <w:rtl w:val="0"/>
                <w:lang w:val="en-US"/>
              </w:rPr>
              <w:t>Tax system</w:t>
            </w:r>
          </w:p>
        </w:tc>
        <w:tc>
          <w:tcPr>
            <w:tcW w:type="dxa" w:w="13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jc w:val="center"/>
            </w:pPr>
            <w:r>
              <w:rPr>
                <w:rFonts w:ascii="Times New Roman" w:hAnsi="Times New Roman"/>
                <w:sz w:val="24"/>
                <w:szCs w:val="24"/>
                <w:shd w:val="clear" w:color="auto" w:fill="ffffff"/>
                <w:rtl w:val="0"/>
                <w:lang w:val="en-US"/>
              </w:rPr>
              <w:t>120000</w:t>
            </w:r>
          </w:p>
        </w:tc>
      </w:tr>
    </w:tbl>
    <w:p>
      <w:pPr>
        <w:pStyle w:val="Body"/>
        <w:widowControl w:val="0"/>
        <w:spacing w:before="200" w:after="200" w:line="240" w:lineRule="auto"/>
        <w:jc w:val="center"/>
        <w:rPr>
          <w:rFonts w:ascii="Times New Roman" w:cs="Times New Roman" w:hAnsi="Times New Roman" w:eastAsia="Times New Roman"/>
          <w:sz w:val="24"/>
          <w:szCs w:val="24"/>
          <w:shd w:val="clear" w:color="auto" w:fill="ffffff"/>
        </w:rPr>
      </w:pPr>
    </w:p>
    <w:p>
      <w:pPr>
        <w:pStyle w:val="Body"/>
        <w:spacing w:before="200" w:after="200" w:line="360" w:lineRule="auto"/>
        <w:jc w:val="center"/>
        <w:rPr>
          <w:rFonts w:ascii="Times New Roman" w:cs="Times New Roman" w:hAnsi="Times New Roman" w:eastAsia="Times New Roman"/>
          <w:b w:val="1"/>
          <w:bCs w:val="1"/>
          <w:sz w:val="24"/>
          <w:szCs w:val="24"/>
          <w:shd w:val="clear" w:color="auto" w:fill="ffffff"/>
        </w:rPr>
      </w:pPr>
      <w:r>
        <w:rPr>
          <w:rFonts w:ascii="Times New Roman" w:hAnsi="Times New Roman"/>
          <w:b w:val="1"/>
          <w:bCs w:val="1"/>
          <w:sz w:val="24"/>
          <w:szCs w:val="24"/>
          <w:shd w:val="clear" w:color="auto" w:fill="ffffff"/>
          <w:rtl w:val="0"/>
          <w:lang w:val="en-US"/>
        </w:rPr>
        <w:t>Chart 1: Profit and Loss of Kedison PLC</w:t>
      </w:r>
    </w:p>
    <w:p>
      <w:pPr>
        <w:pStyle w:val="Body"/>
        <w:spacing w:before="200" w:after="200" w:line="360" w:lineRule="auto"/>
        <w:jc w:val="center"/>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(Source: created by learner)</w:t>
      </w:r>
    </w:p>
    <w:p>
      <w:pPr>
        <w:pStyle w:val="Body"/>
        <w:spacing w:before="200" w:after="200" w:line="360" w:lineRule="auto"/>
        <w:jc w:val="both"/>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 xml:space="preserve">The above chart expresses the loss and profit statement of the Kedison PLC company on 31st December, 2020. The amount of the revenue is 626659 and the amount of the gross product of the mentioned company is 567834. The net profit after paying the tax is 65000 annually. </w:t>
      </w:r>
    </w:p>
    <w:p>
      <w:pPr>
        <w:pStyle w:val="Body"/>
        <w:spacing w:before="200" w:after="200" w:line="360" w:lineRule="auto"/>
        <w:jc w:val="both"/>
        <w:rPr>
          <w:rFonts w:ascii="Times New Roman" w:cs="Times New Roman" w:hAnsi="Times New Roman" w:eastAsia="Times New Roman"/>
          <w:b w:val="1"/>
          <w:bCs w:val="1"/>
          <w:sz w:val="24"/>
          <w:szCs w:val="24"/>
          <w:shd w:val="clear" w:color="auto" w:fill="ffffff"/>
        </w:rPr>
      </w:pPr>
      <w:r>
        <w:rPr>
          <w:rFonts w:ascii="Times New Roman" w:hAnsi="Times New Roman"/>
          <w:b w:val="1"/>
          <w:bCs w:val="1"/>
          <w:sz w:val="24"/>
          <w:szCs w:val="24"/>
          <w:shd w:val="clear" w:color="auto" w:fill="ffffff"/>
          <w:rtl w:val="0"/>
          <w:lang w:val="en-US"/>
        </w:rPr>
        <w:t>Balance Sheet</w:t>
      </w:r>
    </w:p>
    <w:p>
      <w:pPr>
        <w:pStyle w:val="Body"/>
        <w:spacing w:before="200" w:after="200" w:line="360" w:lineRule="auto"/>
        <w:jc w:val="both"/>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Balance sheet is the most common and important financial approach which helps to evaluate the liability, equity and total assets of the business. Moreover, it gives an idea about the financial statement and position of the company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Huo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et al</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2018)</w:t>
      </w:r>
      <w:r>
        <w:rPr>
          <w:rFonts w:ascii="Times New Roman" w:hAnsi="Times New Roman"/>
          <w:sz w:val="24"/>
          <w:szCs w:val="24"/>
          <w:shd w:val="clear" w:color="auto" w:fill="ffffff"/>
          <w:rtl w:val="0"/>
          <w:lang w:val="en-US"/>
        </w:rPr>
        <w:t xml:space="preserve">. Additionally, it helps to analyse whether the investment is important or not. The outsider companies invest according to the balance sheet. </w:t>
      </w:r>
    </w:p>
    <w:tbl>
      <w:tblPr>
        <w:tblW w:w="5905"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580"/>
        <w:gridCol w:w="1325"/>
      </w:tblGrid>
      <w:tr>
        <w:tblPrEx>
          <w:shd w:val="clear" w:color="auto" w:fill="ced7e7"/>
        </w:tblPrEx>
        <w:trPr>
          <w:trHeight w:val="780" w:hRule="atLeast"/>
        </w:trPr>
        <w:tc>
          <w:tcPr>
            <w:tcW w:type="dxa" w:w="45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jc w:val="center"/>
            </w:pPr>
            <w:r>
              <w:rPr>
                <w:rFonts w:ascii="Times New Roman" w:hAnsi="Times New Roman"/>
                <w:b w:val="1"/>
                <w:bCs w:val="1"/>
                <w:sz w:val="24"/>
                <w:szCs w:val="24"/>
                <w:shd w:val="clear" w:color="auto" w:fill="ffffff"/>
                <w:rtl w:val="0"/>
                <w:lang w:val="en-US"/>
              </w:rPr>
              <w:t>Statement of financial position of Kedison PLC</w:t>
            </w:r>
          </w:p>
        </w:tc>
        <w:tc>
          <w:tcPr>
            <w:tcW w:type="dxa" w:w="13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25" w:hRule="atLeast"/>
        </w:trPr>
        <w:tc>
          <w:tcPr>
            <w:tcW w:type="dxa" w:w="45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pPr>
            <w:r>
              <w:rPr>
                <w:rFonts w:ascii="Times New Roman" w:hAnsi="Times New Roman"/>
                <w:b w:val="1"/>
                <w:bCs w:val="1"/>
                <w:i w:val="1"/>
                <w:iCs w:val="1"/>
                <w:sz w:val="24"/>
                <w:szCs w:val="24"/>
                <w:shd w:val="clear" w:color="auto" w:fill="ffffff"/>
                <w:rtl w:val="0"/>
                <w:lang w:val="en-US"/>
              </w:rPr>
              <w:t>Assets</w:t>
            </w:r>
          </w:p>
        </w:tc>
        <w:tc>
          <w:tcPr>
            <w:tcW w:type="dxa" w:w="13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pPr>
            <w:r>
              <w:rPr>
                <w:rFonts w:ascii="Times New Roman" w:hAnsi="Times New Roman"/>
                <w:b w:val="1"/>
                <w:bCs w:val="1"/>
                <w:i w:val="1"/>
                <w:iCs w:val="1"/>
                <w:sz w:val="24"/>
                <w:szCs w:val="24"/>
                <w:shd w:val="clear" w:color="auto" w:fill="ffffff"/>
                <w:rtl w:val="0"/>
                <w:lang w:val="en-US"/>
              </w:rPr>
              <w:t>Amount</w:t>
            </w:r>
          </w:p>
        </w:tc>
      </w:tr>
      <w:tr>
        <w:tblPrEx>
          <w:shd w:val="clear" w:color="auto" w:fill="ced7e7"/>
        </w:tblPrEx>
        <w:trPr>
          <w:trHeight w:val="525" w:hRule="atLeast"/>
        </w:trPr>
        <w:tc>
          <w:tcPr>
            <w:tcW w:type="dxa" w:w="45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pPr>
            <w:r>
              <w:rPr>
                <w:rFonts w:ascii="Times New Roman" w:hAnsi="Times New Roman"/>
                <w:sz w:val="24"/>
                <w:szCs w:val="24"/>
                <w:shd w:val="clear" w:color="auto" w:fill="ffffff"/>
                <w:rtl w:val="0"/>
                <w:lang w:val="en-US"/>
              </w:rPr>
              <w:t>Non-current assets</w:t>
            </w:r>
          </w:p>
        </w:tc>
        <w:tc>
          <w:tcPr>
            <w:tcW w:type="dxa" w:w="13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pPr>
            <w:r>
              <w:rPr>
                <w:rFonts w:ascii="Times New Roman" w:hAnsi="Times New Roman"/>
                <w:sz w:val="24"/>
                <w:szCs w:val="24"/>
                <w:shd w:val="clear" w:color="auto" w:fill="ffffff"/>
                <w:rtl w:val="0"/>
                <w:lang w:val="en-US"/>
              </w:rPr>
              <w:t>567890</w:t>
            </w:r>
          </w:p>
        </w:tc>
      </w:tr>
      <w:tr>
        <w:tblPrEx>
          <w:shd w:val="clear" w:color="auto" w:fill="ced7e7"/>
        </w:tblPrEx>
        <w:trPr>
          <w:trHeight w:val="525" w:hRule="atLeast"/>
        </w:trPr>
        <w:tc>
          <w:tcPr>
            <w:tcW w:type="dxa" w:w="45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pPr>
            <w:r>
              <w:rPr>
                <w:rFonts w:ascii="Times New Roman" w:hAnsi="Times New Roman"/>
                <w:sz w:val="24"/>
                <w:szCs w:val="24"/>
                <w:shd w:val="clear" w:color="auto" w:fill="ffffff"/>
                <w:rtl w:val="0"/>
                <w:lang w:val="en-US"/>
              </w:rPr>
              <w:t>Property, Plant, equipment</w:t>
            </w:r>
          </w:p>
        </w:tc>
        <w:tc>
          <w:tcPr>
            <w:tcW w:type="dxa" w:w="13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25" w:hRule="atLeast"/>
        </w:trPr>
        <w:tc>
          <w:tcPr>
            <w:tcW w:type="dxa" w:w="45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pPr>
            <w:r>
              <w:rPr>
                <w:rFonts w:ascii="Times New Roman" w:hAnsi="Times New Roman"/>
                <w:sz w:val="24"/>
                <w:szCs w:val="24"/>
                <w:shd w:val="clear" w:color="auto" w:fill="ffffff"/>
                <w:rtl w:val="0"/>
                <w:lang w:val="en-US"/>
              </w:rPr>
              <w:t>Intangible assets</w:t>
            </w:r>
          </w:p>
        </w:tc>
        <w:tc>
          <w:tcPr>
            <w:tcW w:type="dxa" w:w="13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pPr>
            <w:r>
              <w:rPr>
                <w:rFonts w:ascii="Times New Roman" w:hAnsi="Times New Roman"/>
                <w:sz w:val="24"/>
                <w:szCs w:val="24"/>
                <w:shd w:val="clear" w:color="auto" w:fill="ffffff"/>
                <w:rtl w:val="0"/>
                <w:lang w:val="en-US"/>
              </w:rPr>
              <w:t>Nil</w:t>
            </w:r>
          </w:p>
        </w:tc>
      </w:tr>
      <w:tr>
        <w:tblPrEx>
          <w:shd w:val="clear" w:color="auto" w:fill="ced7e7"/>
        </w:tblPrEx>
        <w:trPr>
          <w:trHeight w:val="525" w:hRule="atLeast"/>
        </w:trPr>
        <w:tc>
          <w:tcPr>
            <w:tcW w:type="dxa" w:w="45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3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25" w:hRule="atLeast"/>
        </w:trPr>
        <w:tc>
          <w:tcPr>
            <w:tcW w:type="dxa" w:w="45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pPr>
            <w:r>
              <w:rPr>
                <w:rFonts w:ascii="Times New Roman" w:hAnsi="Times New Roman"/>
                <w:sz w:val="24"/>
                <w:szCs w:val="24"/>
                <w:shd w:val="clear" w:color="auto" w:fill="ffffff"/>
                <w:rtl w:val="0"/>
                <w:lang w:val="en-US"/>
              </w:rPr>
              <w:t>Current assets</w:t>
            </w:r>
          </w:p>
        </w:tc>
        <w:tc>
          <w:tcPr>
            <w:tcW w:type="dxa" w:w="13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pPr>
            <w:r>
              <w:rPr>
                <w:rFonts w:ascii="Times New Roman" w:hAnsi="Times New Roman"/>
                <w:sz w:val="24"/>
                <w:szCs w:val="24"/>
                <w:shd w:val="clear" w:color="auto" w:fill="ffffff"/>
                <w:rtl w:val="0"/>
                <w:lang w:val="en-US"/>
              </w:rPr>
              <w:t>456789</w:t>
            </w:r>
          </w:p>
        </w:tc>
      </w:tr>
      <w:tr>
        <w:tblPrEx>
          <w:shd w:val="clear" w:color="auto" w:fill="ced7e7"/>
        </w:tblPrEx>
        <w:trPr>
          <w:trHeight w:val="525" w:hRule="atLeast"/>
        </w:trPr>
        <w:tc>
          <w:tcPr>
            <w:tcW w:type="dxa" w:w="45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pPr>
            <w:r>
              <w:rPr>
                <w:rFonts w:ascii="Times New Roman" w:hAnsi="Times New Roman"/>
                <w:sz w:val="24"/>
                <w:szCs w:val="24"/>
                <w:shd w:val="clear" w:color="auto" w:fill="ffffff"/>
                <w:rtl w:val="0"/>
                <w:lang w:val="en-US"/>
              </w:rPr>
              <w:t>Inventories</w:t>
            </w:r>
          </w:p>
        </w:tc>
        <w:tc>
          <w:tcPr>
            <w:tcW w:type="dxa" w:w="13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pPr>
            <w:r>
              <w:rPr>
                <w:rFonts w:ascii="Times New Roman" w:hAnsi="Times New Roman"/>
                <w:sz w:val="24"/>
                <w:szCs w:val="24"/>
                <w:shd w:val="clear" w:color="auto" w:fill="ffffff"/>
                <w:rtl w:val="0"/>
                <w:lang w:val="en-US"/>
              </w:rPr>
              <w:t>123456</w:t>
            </w:r>
          </w:p>
        </w:tc>
      </w:tr>
      <w:tr>
        <w:tblPrEx>
          <w:shd w:val="clear" w:color="auto" w:fill="ced7e7"/>
        </w:tblPrEx>
        <w:trPr>
          <w:trHeight w:val="525" w:hRule="atLeast"/>
        </w:trPr>
        <w:tc>
          <w:tcPr>
            <w:tcW w:type="dxa" w:w="45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pPr>
            <w:r>
              <w:rPr>
                <w:rFonts w:ascii="Times New Roman" w:hAnsi="Times New Roman"/>
                <w:sz w:val="24"/>
                <w:szCs w:val="24"/>
                <w:shd w:val="clear" w:color="auto" w:fill="ffffff"/>
                <w:rtl w:val="0"/>
                <w:lang w:val="en-US"/>
              </w:rPr>
              <w:t>Trade receivables</w:t>
            </w:r>
          </w:p>
        </w:tc>
        <w:tc>
          <w:tcPr>
            <w:tcW w:type="dxa" w:w="13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pPr>
            <w:r>
              <w:rPr>
                <w:rFonts w:ascii="Times New Roman" w:hAnsi="Times New Roman"/>
                <w:sz w:val="24"/>
                <w:szCs w:val="24"/>
                <w:shd w:val="clear" w:color="auto" w:fill="ffffff"/>
                <w:rtl w:val="0"/>
                <w:lang w:val="en-US"/>
              </w:rPr>
              <w:t>1234</w:t>
            </w:r>
          </w:p>
        </w:tc>
      </w:tr>
      <w:tr>
        <w:tblPrEx>
          <w:shd w:val="clear" w:color="auto" w:fill="ced7e7"/>
        </w:tblPrEx>
        <w:trPr>
          <w:trHeight w:val="525" w:hRule="atLeast"/>
        </w:trPr>
        <w:tc>
          <w:tcPr>
            <w:tcW w:type="dxa" w:w="45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pPr>
            <w:r>
              <w:rPr>
                <w:rFonts w:ascii="Times New Roman" w:hAnsi="Times New Roman"/>
                <w:sz w:val="24"/>
                <w:szCs w:val="24"/>
                <w:shd w:val="clear" w:color="auto" w:fill="ffffff"/>
                <w:rtl w:val="0"/>
                <w:lang w:val="en-US"/>
              </w:rPr>
              <w:t>Cash</w:t>
            </w:r>
          </w:p>
        </w:tc>
        <w:tc>
          <w:tcPr>
            <w:tcW w:type="dxa" w:w="13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pPr>
            <w:r>
              <w:rPr>
                <w:rFonts w:ascii="Times New Roman" w:hAnsi="Times New Roman"/>
                <w:sz w:val="24"/>
                <w:szCs w:val="24"/>
                <w:shd w:val="clear" w:color="auto" w:fill="ffffff"/>
                <w:rtl w:val="0"/>
                <w:lang w:val="en-US"/>
              </w:rPr>
              <w:t>678</w:t>
            </w:r>
          </w:p>
        </w:tc>
      </w:tr>
      <w:tr>
        <w:tblPrEx>
          <w:shd w:val="clear" w:color="auto" w:fill="ced7e7"/>
        </w:tblPrEx>
        <w:trPr>
          <w:trHeight w:val="525" w:hRule="atLeast"/>
        </w:trPr>
        <w:tc>
          <w:tcPr>
            <w:tcW w:type="dxa" w:w="45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pPr>
            <w:r>
              <w:rPr>
                <w:rFonts w:ascii="Times New Roman" w:hAnsi="Times New Roman"/>
                <w:sz w:val="24"/>
                <w:szCs w:val="24"/>
                <w:shd w:val="clear" w:color="auto" w:fill="ffffff"/>
                <w:rtl w:val="0"/>
                <w:lang w:val="en-US"/>
              </w:rPr>
              <w:t>Total assets</w:t>
            </w:r>
          </w:p>
        </w:tc>
        <w:tc>
          <w:tcPr>
            <w:tcW w:type="dxa" w:w="13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pPr>
            <w:r>
              <w:rPr>
                <w:rFonts w:ascii="Times New Roman" w:hAnsi="Times New Roman"/>
                <w:sz w:val="24"/>
                <w:szCs w:val="24"/>
                <w:shd w:val="clear" w:color="auto" w:fill="ffffff"/>
                <w:rtl w:val="0"/>
                <w:lang w:val="en-US"/>
              </w:rPr>
              <w:t>124678</w:t>
            </w:r>
          </w:p>
        </w:tc>
      </w:tr>
      <w:tr>
        <w:tblPrEx>
          <w:shd w:val="clear" w:color="auto" w:fill="ced7e7"/>
        </w:tblPrEx>
        <w:trPr>
          <w:trHeight w:val="525" w:hRule="atLeast"/>
        </w:trPr>
        <w:tc>
          <w:tcPr>
            <w:tcW w:type="dxa" w:w="45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pPr>
            <w:r>
              <w:rPr>
                <w:rFonts w:ascii="Times New Roman" w:hAnsi="Times New Roman"/>
                <w:sz w:val="24"/>
                <w:szCs w:val="24"/>
                <w:shd w:val="clear" w:color="auto" w:fill="ffffff"/>
                <w:rtl w:val="0"/>
                <w:lang w:val="en-US"/>
              </w:rPr>
              <w:t>Equity</w:t>
            </w:r>
          </w:p>
        </w:tc>
        <w:tc>
          <w:tcPr>
            <w:tcW w:type="dxa" w:w="13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25" w:hRule="atLeast"/>
        </w:trPr>
        <w:tc>
          <w:tcPr>
            <w:tcW w:type="dxa" w:w="45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pPr>
            <w:r>
              <w:rPr>
                <w:rFonts w:ascii="Times New Roman" w:hAnsi="Times New Roman"/>
                <w:sz w:val="24"/>
                <w:szCs w:val="24"/>
                <w:shd w:val="clear" w:color="auto" w:fill="ffffff"/>
                <w:rtl w:val="0"/>
                <w:lang w:val="en-US"/>
              </w:rPr>
              <w:t>Share capital</w:t>
            </w:r>
          </w:p>
        </w:tc>
        <w:tc>
          <w:tcPr>
            <w:tcW w:type="dxa" w:w="13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pPr>
            <w:r>
              <w:rPr>
                <w:rFonts w:ascii="Times New Roman" w:hAnsi="Times New Roman"/>
                <w:sz w:val="24"/>
                <w:szCs w:val="24"/>
                <w:shd w:val="clear" w:color="auto" w:fill="ffffff"/>
                <w:rtl w:val="0"/>
                <w:lang w:val="en-US"/>
              </w:rPr>
              <w:t>700000</w:t>
            </w:r>
          </w:p>
        </w:tc>
      </w:tr>
      <w:tr>
        <w:tblPrEx>
          <w:shd w:val="clear" w:color="auto" w:fill="ced7e7"/>
        </w:tblPrEx>
        <w:trPr>
          <w:trHeight w:val="525" w:hRule="atLeast"/>
        </w:trPr>
        <w:tc>
          <w:tcPr>
            <w:tcW w:type="dxa" w:w="45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pPr>
            <w:r>
              <w:rPr>
                <w:rFonts w:ascii="Times New Roman" w:hAnsi="Times New Roman"/>
                <w:sz w:val="24"/>
                <w:szCs w:val="24"/>
                <w:shd w:val="clear" w:color="auto" w:fill="ffffff"/>
                <w:rtl w:val="0"/>
                <w:lang w:val="en-US"/>
              </w:rPr>
              <w:t>Share premium</w:t>
            </w:r>
          </w:p>
        </w:tc>
        <w:tc>
          <w:tcPr>
            <w:tcW w:type="dxa" w:w="13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pPr>
            <w:r>
              <w:rPr>
                <w:rFonts w:ascii="Times New Roman" w:hAnsi="Times New Roman"/>
                <w:sz w:val="24"/>
                <w:szCs w:val="24"/>
                <w:shd w:val="clear" w:color="auto" w:fill="ffffff"/>
                <w:rtl w:val="0"/>
                <w:lang w:val="en-US"/>
              </w:rPr>
              <w:t>12346</w:t>
            </w:r>
          </w:p>
        </w:tc>
      </w:tr>
      <w:tr>
        <w:tblPrEx>
          <w:shd w:val="clear" w:color="auto" w:fill="ced7e7"/>
        </w:tblPrEx>
        <w:trPr>
          <w:trHeight w:val="525" w:hRule="atLeast"/>
        </w:trPr>
        <w:tc>
          <w:tcPr>
            <w:tcW w:type="dxa" w:w="45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pPr>
            <w:r>
              <w:rPr>
                <w:rFonts w:ascii="Times New Roman" w:hAnsi="Times New Roman"/>
                <w:sz w:val="24"/>
                <w:szCs w:val="24"/>
                <w:shd w:val="clear" w:color="auto" w:fill="ffffff"/>
                <w:rtl w:val="0"/>
                <w:lang w:val="en-US"/>
              </w:rPr>
              <w:t>other reserves</w:t>
            </w:r>
          </w:p>
        </w:tc>
        <w:tc>
          <w:tcPr>
            <w:tcW w:type="dxa" w:w="13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pPr>
            <w:r>
              <w:rPr>
                <w:rFonts w:ascii="Times New Roman" w:hAnsi="Times New Roman"/>
                <w:sz w:val="24"/>
                <w:szCs w:val="24"/>
                <w:shd w:val="clear" w:color="auto" w:fill="ffffff"/>
                <w:rtl w:val="0"/>
                <w:lang w:val="en-US"/>
              </w:rPr>
              <w:t>34678</w:t>
            </w:r>
          </w:p>
        </w:tc>
      </w:tr>
      <w:tr>
        <w:tblPrEx>
          <w:shd w:val="clear" w:color="auto" w:fill="ced7e7"/>
        </w:tblPrEx>
        <w:trPr>
          <w:trHeight w:val="525" w:hRule="atLeast"/>
        </w:trPr>
        <w:tc>
          <w:tcPr>
            <w:tcW w:type="dxa" w:w="45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pPr>
            <w:r>
              <w:rPr>
                <w:rFonts w:ascii="Times New Roman" w:hAnsi="Times New Roman"/>
                <w:sz w:val="24"/>
                <w:szCs w:val="24"/>
                <w:shd w:val="clear" w:color="auto" w:fill="ffffff"/>
                <w:rtl w:val="0"/>
                <w:lang w:val="en-US"/>
              </w:rPr>
              <w:t>total</w:t>
            </w:r>
          </w:p>
        </w:tc>
        <w:tc>
          <w:tcPr>
            <w:tcW w:type="dxa" w:w="13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pPr>
            <w:r>
              <w:rPr>
                <w:rFonts w:ascii="Times New Roman" w:hAnsi="Times New Roman"/>
                <w:sz w:val="24"/>
                <w:szCs w:val="24"/>
                <w:shd w:val="clear" w:color="auto" w:fill="ffffff"/>
                <w:rtl w:val="0"/>
                <w:lang w:val="en-US"/>
              </w:rPr>
              <w:t>345689</w:t>
            </w:r>
          </w:p>
        </w:tc>
      </w:tr>
    </w:tbl>
    <w:p>
      <w:pPr>
        <w:pStyle w:val="Body"/>
        <w:widowControl w:val="0"/>
        <w:spacing w:before="200" w:after="200" w:line="240" w:lineRule="auto"/>
        <w:jc w:val="center"/>
        <w:rPr>
          <w:rFonts w:ascii="Times New Roman" w:cs="Times New Roman" w:hAnsi="Times New Roman" w:eastAsia="Times New Roman"/>
          <w:sz w:val="24"/>
          <w:szCs w:val="24"/>
          <w:shd w:val="clear" w:color="auto" w:fill="ffffff"/>
        </w:rPr>
      </w:pPr>
    </w:p>
    <w:p>
      <w:pPr>
        <w:pStyle w:val="Body"/>
        <w:spacing w:before="200" w:after="200" w:line="360" w:lineRule="auto"/>
        <w:jc w:val="center"/>
        <w:rPr>
          <w:rFonts w:ascii="Times New Roman" w:cs="Times New Roman" w:hAnsi="Times New Roman" w:eastAsia="Times New Roman"/>
          <w:b w:val="1"/>
          <w:bCs w:val="1"/>
          <w:sz w:val="24"/>
          <w:szCs w:val="24"/>
          <w:shd w:val="clear" w:color="auto" w:fill="ffffff"/>
        </w:rPr>
      </w:pPr>
      <w:r>
        <w:rPr>
          <w:rFonts w:ascii="Times New Roman" w:hAnsi="Times New Roman"/>
          <w:b w:val="1"/>
          <w:bCs w:val="1"/>
          <w:sz w:val="24"/>
          <w:szCs w:val="24"/>
          <w:shd w:val="clear" w:color="auto" w:fill="ffffff"/>
          <w:rtl w:val="0"/>
          <w:lang w:val="en-US"/>
        </w:rPr>
        <w:t>Chart 2: Balance sheet</w:t>
      </w:r>
    </w:p>
    <w:p>
      <w:pPr>
        <w:pStyle w:val="Body"/>
        <w:spacing w:before="200" w:after="200" w:line="360" w:lineRule="auto"/>
        <w:jc w:val="center"/>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(Source: created by learner)</w:t>
      </w:r>
    </w:p>
    <w:p>
      <w:pPr>
        <w:pStyle w:val="Body"/>
        <w:spacing w:before="200" w:after="200" w:line="360" w:lineRule="auto"/>
        <w:jc w:val="both"/>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 xml:space="preserve">The report is addressed at the end of the year 2020. However, as the balance sheet is the reflection of the annual financial statement it helps to identify the liabilities and help to determine the equity of the shareholders. The above balance sheet is considered the share reserves, capital, cash and trade receivables, total is 345689. However, the mentioned company balance sheet reflects the intangible assets and current assets (Kumhof and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Noone, 2018).</w:t>
      </w:r>
      <w:r>
        <w:rPr>
          <w:rFonts w:ascii="Times New Roman" w:hAnsi="Times New Roman"/>
          <w:sz w:val="24"/>
          <w:szCs w:val="24"/>
          <w:shd w:val="clear" w:color="auto" w:fill="ffffff"/>
          <w:rtl w:val="0"/>
          <w:lang w:val="en-US"/>
        </w:rPr>
        <w:t xml:space="preserve"> The appropriate cause of financial balance is it reflects the relevant records of the company. Moreover, this is crucial to maintain the annual structure. Additionally, within the company all relevant records are divided into two parts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Carlson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et al.</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 2020)</w:t>
      </w:r>
      <w:r>
        <w:rPr>
          <w:rFonts w:ascii="Times New Roman" w:hAnsi="Times New Roman"/>
          <w:sz w:val="24"/>
          <w:szCs w:val="24"/>
          <w:shd w:val="clear" w:color="auto" w:fill="ffffff"/>
          <w:rtl w:val="0"/>
          <w:lang w:val="en-US"/>
        </w:rPr>
        <w:t>. Moreover, to balance all the strategies, maintaining the balance sheet is very significant. Moreover, for evaluation of the result the data in the balance is important.</w:t>
      </w:r>
    </w:p>
    <w:p>
      <w:pPr>
        <w:pStyle w:val="Heading 2"/>
      </w:pPr>
      <w:bookmarkStart w:name="_Toc3" w:id="3"/>
      <w:r>
        <w:rPr>
          <w:rFonts w:cs="Arial Unicode MS" w:eastAsia="Arial Unicode MS"/>
          <w:rtl w:val="0"/>
          <w:lang w:val="en-US"/>
        </w:rPr>
        <w:t xml:space="preserve">b) Appropriate causes to financial position balance </w:t>
      </w:r>
      <w:bookmarkEnd w:id="3"/>
    </w:p>
    <w:p>
      <w:pPr>
        <w:pStyle w:val="Normal2"/>
        <w:spacing w:before="200" w:line="360" w:lineRule="auto"/>
        <w:jc w:val="both"/>
        <w:rPr>
          <w:rFonts w:ascii="Times New Roman" w:cs="Times New Roman" w:hAnsi="Times New Roman" w:eastAsia="Times New Roman"/>
          <w:sz w:val="24"/>
          <w:szCs w:val="24"/>
          <w:lang w:val="en-US"/>
        </w:rPr>
      </w:pPr>
      <w:r>
        <w:rPr>
          <w:rFonts w:ascii="Times New Roman" w:hAnsi="Times New Roman"/>
          <w:sz w:val="24"/>
          <w:szCs w:val="24"/>
          <w:rtl w:val="0"/>
          <w:lang w:val="en-US"/>
        </w:rPr>
        <w:t xml:space="preserve">The monetary situation is considered by recording every essential means of expenditure of this company and denoting the earnings of a precise time. The economic status of a firm reflects who controls it and who owes them. This seems to be crucial in determining the applicable intensity of responsibility towards this organisation. As per FRS 102, 105, when evaluating an organisation's performance and financial situation, must be estimated initially (Abate </w:t>
      </w:r>
      <w:r>
        <w:rPr>
          <w:rFonts w:ascii="Times New Roman" w:hAnsi="Times New Roman"/>
          <w:i w:val="1"/>
          <w:iCs w:val="1"/>
          <w:sz w:val="24"/>
          <w:szCs w:val="24"/>
          <w:rtl w:val="0"/>
          <w:lang w:val="en-US"/>
        </w:rPr>
        <w:t xml:space="preserve">et al. </w:t>
      </w:r>
      <w:r>
        <w:rPr>
          <w:rFonts w:ascii="Times New Roman" w:hAnsi="Times New Roman"/>
          <w:sz w:val="24"/>
          <w:szCs w:val="24"/>
          <w:rtl w:val="0"/>
          <w:lang w:val="en-US"/>
        </w:rPr>
        <w:t xml:space="preserve">2019). This is beneficial in terms of resembling a clear foundation. Moreover, it has been observed that it is essential to compare the economic condition because it is primarily concerned with the visualisation of corporation data. In addition, it has been identified that aside from that, the appropriate doctrine of double-entry is thought to be useful in determining how to document multiple opposite account balances. Both relevant and appropriate entries in a memoir of companies are identified in two separate bank accounts (Alborov </w:t>
      </w:r>
      <w:r>
        <w:rPr>
          <w:rFonts w:ascii="Times New Roman" w:hAnsi="Times New Roman"/>
          <w:i w:val="1"/>
          <w:iCs w:val="1"/>
          <w:sz w:val="24"/>
          <w:szCs w:val="24"/>
          <w:rtl w:val="0"/>
          <w:lang w:val="en-US"/>
        </w:rPr>
        <w:t xml:space="preserve">et al. </w:t>
      </w:r>
      <w:r>
        <w:rPr>
          <w:rFonts w:ascii="Times New Roman" w:hAnsi="Times New Roman"/>
          <w:sz w:val="24"/>
          <w:szCs w:val="24"/>
          <w:rtl w:val="0"/>
          <w:lang w:val="en-US"/>
        </w:rPr>
        <w:t>2017). Furthermore, this is also essential for the purpose of valuing responsibility demands that are regarded to be equivalent to the amount of the commodities. The most significant value of the assets in relation to liabilities is financial balance.</w:t>
      </w:r>
    </w:p>
    <w:p>
      <w:pPr>
        <w:pStyle w:val="Heading"/>
      </w:pPr>
      <w:bookmarkStart w:name="_Toc4" w:id="4"/>
      <w:r>
        <w:rPr>
          <w:rFonts w:cs="Arial Unicode MS" w:eastAsia="Arial Unicode MS"/>
          <w:rtl w:val="0"/>
          <w:lang w:val="en-US"/>
        </w:rPr>
        <w:t xml:space="preserve">3. Question 2 </w:t>
      </w:r>
      <w:bookmarkEnd w:id="4"/>
    </w:p>
    <w:p>
      <w:pPr>
        <w:pStyle w:val="Heading 2"/>
      </w:pPr>
      <w:bookmarkStart w:name="_Toc5" w:id="5"/>
      <w:r>
        <w:rPr>
          <w:rFonts w:cs="Arial Unicode MS" w:eastAsia="Arial Unicode MS"/>
          <w:rtl w:val="0"/>
          <w:lang w:val="en-US"/>
        </w:rPr>
        <w:t>a) Examine the ratio</w:t>
      </w:r>
      <w:bookmarkEnd w:id="5"/>
    </w:p>
    <w:p>
      <w:pPr>
        <w:pStyle w:val="Normal2"/>
        <w:spacing w:before="200" w:line="360" w:lineRule="auto"/>
        <w:jc w:val="both"/>
        <w:rPr>
          <w:rFonts w:ascii="Times New Roman" w:cs="Times New Roman" w:hAnsi="Times New Roman" w:eastAsia="Times New Roman"/>
          <w:sz w:val="24"/>
          <w:szCs w:val="24"/>
          <w:lang w:val="en-US"/>
        </w:rPr>
      </w:pPr>
      <w:r>
        <w:rPr>
          <w:rFonts w:ascii="Times New Roman" w:hAnsi="Times New Roman"/>
          <w:b w:val="1"/>
          <w:bCs w:val="1"/>
          <w:i w:val="1"/>
          <w:iCs w:val="1"/>
          <w:sz w:val="24"/>
          <w:szCs w:val="24"/>
          <w:rtl w:val="0"/>
          <w:lang w:val="en-US"/>
        </w:rPr>
        <w:t>The ratio of ROCE</w:t>
      </w:r>
    </w:p>
    <w:tbl>
      <w:tblPr>
        <w:tblW w:w="936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120"/>
        <w:gridCol w:w="3120"/>
        <w:gridCol w:w="3120"/>
      </w:tblGrid>
      <w:tr>
        <w:tblPrEx>
          <w:shd w:val="clear" w:color="auto" w:fill="ced7e7"/>
        </w:tblPrEx>
        <w:trPr>
          <w:trHeight w:val="310" w:hRule="atLeast"/>
        </w:trPr>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before="200" w:line="360" w:lineRule="auto"/>
              <w:jc w:val="center"/>
            </w:pPr>
            <w:r>
              <w:rPr>
                <w:rFonts w:ascii="Times New Roman" w:hAnsi="Times New Roman"/>
                <w:sz w:val="24"/>
                <w:szCs w:val="24"/>
                <w:shd w:val="nil" w:color="auto" w:fill="auto"/>
                <w:rtl w:val="0"/>
                <w:lang w:val="en-US"/>
              </w:rPr>
              <w:t xml:space="preserve">ROCE Ratio </w:t>
            </w:r>
          </w:p>
        </w:tc>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before="200" w:line="360" w:lineRule="auto"/>
              <w:jc w:val="center"/>
            </w:pPr>
            <w:r>
              <w:rPr>
                <w:rFonts w:ascii="Times New Roman" w:hAnsi="Times New Roman"/>
                <w:sz w:val="24"/>
                <w:szCs w:val="24"/>
                <w:shd w:val="nil" w:color="auto" w:fill="auto"/>
                <w:rtl w:val="0"/>
                <w:lang w:val="en-US"/>
              </w:rPr>
              <w:t>2019</w:t>
            </w:r>
          </w:p>
        </w:tc>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before="200" w:line="360" w:lineRule="auto"/>
              <w:jc w:val="center"/>
            </w:pPr>
            <w:r>
              <w:rPr>
                <w:rFonts w:ascii="Times New Roman" w:hAnsi="Times New Roman"/>
                <w:sz w:val="24"/>
                <w:szCs w:val="24"/>
                <w:shd w:val="nil" w:color="auto" w:fill="auto"/>
                <w:rtl w:val="0"/>
                <w:lang w:val="en-US"/>
              </w:rPr>
              <w:t>2020</w:t>
            </w:r>
          </w:p>
        </w:tc>
      </w:tr>
      <w:tr>
        <w:tblPrEx>
          <w:shd w:val="clear" w:color="auto" w:fill="ced7e7"/>
        </w:tblPrEx>
        <w:trPr>
          <w:trHeight w:val="310" w:hRule="atLeast"/>
        </w:trPr>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before="200" w:line="360" w:lineRule="auto"/>
              <w:jc w:val="center"/>
            </w:pPr>
            <w:r>
              <w:rPr>
                <w:rFonts w:ascii="Times New Roman" w:hAnsi="Times New Roman"/>
                <w:sz w:val="24"/>
                <w:szCs w:val="24"/>
                <w:shd w:val="nil" w:color="auto" w:fill="auto"/>
                <w:rtl w:val="0"/>
                <w:lang w:val="en-US"/>
              </w:rPr>
              <w:t>Employed capital</w:t>
            </w:r>
          </w:p>
        </w:tc>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before="200" w:line="360" w:lineRule="auto"/>
              <w:jc w:val="center"/>
            </w:pPr>
            <w:r>
              <w:rPr>
                <w:rFonts w:ascii="Times New Roman" w:hAnsi="Times New Roman"/>
                <w:sz w:val="24"/>
                <w:szCs w:val="24"/>
                <w:shd w:val="nil" w:color="auto" w:fill="auto"/>
                <w:rtl w:val="0"/>
                <w:lang w:val="en-US"/>
              </w:rPr>
              <w:t>6441</w:t>
            </w:r>
          </w:p>
        </w:tc>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before="200" w:line="360" w:lineRule="auto"/>
              <w:jc w:val="center"/>
            </w:pPr>
            <w:r>
              <w:rPr>
                <w:rFonts w:ascii="Times New Roman" w:hAnsi="Times New Roman"/>
                <w:sz w:val="24"/>
                <w:szCs w:val="24"/>
                <w:shd w:val="nil" w:color="auto" w:fill="auto"/>
                <w:rtl w:val="0"/>
                <w:lang w:val="en-US"/>
              </w:rPr>
              <w:t>6738</w:t>
            </w:r>
          </w:p>
        </w:tc>
      </w:tr>
      <w:tr>
        <w:tblPrEx>
          <w:shd w:val="clear" w:color="auto" w:fill="ced7e7"/>
        </w:tblPrEx>
        <w:trPr>
          <w:trHeight w:val="310" w:hRule="atLeast"/>
        </w:trPr>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before="200" w:line="360" w:lineRule="auto"/>
              <w:jc w:val="center"/>
            </w:pPr>
            <w:r>
              <w:rPr>
                <w:rFonts w:ascii="Times New Roman" w:hAnsi="Times New Roman"/>
                <w:sz w:val="24"/>
                <w:szCs w:val="24"/>
                <w:shd w:val="nil" w:color="auto" w:fill="auto"/>
                <w:rtl w:val="0"/>
                <w:lang w:val="en-US"/>
              </w:rPr>
              <w:t>EBIT</w:t>
            </w:r>
          </w:p>
        </w:tc>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before="200" w:line="360" w:lineRule="auto"/>
              <w:jc w:val="center"/>
            </w:pPr>
            <w:r>
              <w:rPr>
                <w:rFonts w:ascii="Times New Roman" w:hAnsi="Times New Roman"/>
                <w:sz w:val="24"/>
                <w:szCs w:val="24"/>
                <w:shd w:val="nil" w:color="auto" w:fill="auto"/>
                <w:rtl w:val="0"/>
                <w:lang w:val="en-US"/>
              </w:rPr>
              <w:t>659</w:t>
            </w:r>
          </w:p>
        </w:tc>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before="200" w:line="360" w:lineRule="auto"/>
              <w:jc w:val="center"/>
            </w:pPr>
            <w:r>
              <w:rPr>
                <w:rFonts w:ascii="Times New Roman" w:hAnsi="Times New Roman"/>
                <w:sz w:val="24"/>
                <w:szCs w:val="24"/>
                <w:shd w:val="nil" w:color="auto" w:fill="auto"/>
                <w:rtl w:val="0"/>
                <w:lang w:val="en-US"/>
              </w:rPr>
              <w:t>708</w:t>
            </w:r>
          </w:p>
        </w:tc>
      </w:tr>
      <w:tr>
        <w:tblPrEx>
          <w:shd w:val="clear" w:color="auto" w:fill="ced7e7"/>
        </w:tblPrEx>
        <w:trPr>
          <w:trHeight w:val="955" w:hRule="atLeast"/>
        </w:trPr>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before="200" w:line="360" w:lineRule="auto"/>
              <w:jc w:val="center"/>
            </w:pPr>
            <w:r>
              <w:rPr>
                <w:rFonts w:ascii="Times New Roman" w:hAnsi="Times New Roman"/>
                <w:sz w:val="24"/>
                <w:szCs w:val="24"/>
                <w:shd w:val="nil" w:color="auto" w:fill="auto"/>
                <w:rtl w:val="0"/>
                <w:lang w:val="en-US"/>
              </w:rPr>
              <w:t>The ratio of (EBIT/Employed capita)</w:t>
            </w:r>
          </w:p>
        </w:tc>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before="200" w:line="360" w:lineRule="auto"/>
              <w:jc w:val="center"/>
            </w:pPr>
            <w:r>
              <w:rPr>
                <w:rFonts w:ascii="Times New Roman" w:hAnsi="Times New Roman"/>
                <w:sz w:val="24"/>
                <w:szCs w:val="24"/>
                <w:shd w:val="nil" w:color="auto" w:fill="auto"/>
                <w:rtl w:val="0"/>
                <w:lang w:val="en-US"/>
              </w:rPr>
              <w:t>8%</w:t>
            </w:r>
          </w:p>
        </w:tc>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before="200" w:line="360" w:lineRule="auto"/>
              <w:jc w:val="center"/>
            </w:pPr>
            <w:r>
              <w:rPr>
                <w:rFonts w:ascii="Times New Roman" w:hAnsi="Times New Roman"/>
                <w:sz w:val="24"/>
                <w:szCs w:val="24"/>
                <w:shd w:val="nil" w:color="auto" w:fill="auto"/>
                <w:rtl w:val="0"/>
                <w:lang w:val="en-US"/>
              </w:rPr>
              <w:t>9%</w:t>
            </w:r>
            <w:r>
              <w:rPr>
                <w:rFonts w:ascii="Times New Roman" w:cs="Times New Roman" w:hAnsi="Times New Roman" w:eastAsia="Times New Roman"/>
                <w:sz w:val="24"/>
                <w:szCs w:val="24"/>
                <w:shd w:val="nil" w:color="auto" w:fill="auto"/>
              </w:rPr>
            </w:r>
          </w:p>
        </w:tc>
      </w:tr>
    </w:tbl>
    <w:p>
      <w:pPr>
        <w:pStyle w:val="Normal2"/>
        <w:widowControl w:val="0"/>
        <w:spacing w:before="200" w:line="240" w:lineRule="auto"/>
        <w:jc w:val="both"/>
        <w:rPr>
          <w:rFonts w:ascii="Times New Roman" w:cs="Times New Roman" w:hAnsi="Times New Roman" w:eastAsia="Times New Roman"/>
          <w:sz w:val="24"/>
          <w:szCs w:val="24"/>
          <w:lang w:val="en-US"/>
        </w:rPr>
      </w:pPr>
    </w:p>
    <w:p>
      <w:pPr>
        <w:pStyle w:val="Normal2"/>
        <w:spacing w:before="200" w:line="360" w:lineRule="auto"/>
        <w:jc w:val="both"/>
        <w:rPr>
          <w:rFonts w:ascii="Times New Roman" w:cs="Times New Roman" w:hAnsi="Times New Roman" w:eastAsia="Times New Roman"/>
          <w:sz w:val="24"/>
          <w:szCs w:val="24"/>
          <w:lang w:val="en-US"/>
        </w:rPr>
      </w:pPr>
      <w:r>
        <w:rPr>
          <w:rFonts w:ascii="Times New Roman" w:hAnsi="Times New Roman"/>
          <w:b w:val="1"/>
          <w:bCs w:val="1"/>
          <w:i w:val="1"/>
          <w:iCs w:val="1"/>
          <w:sz w:val="24"/>
          <w:szCs w:val="24"/>
          <w:rtl w:val="0"/>
          <w:lang w:val="en-US"/>
        </w:rPr>
        <w:t>Meaning</w:t>
      </w:r>
      <w:r>
        <w:rPr>
          <w:rFonts w:ascii="Times New Roman" w:hAnsi="Times New Roman"/>
          <w:sz w:val="24"/>
          <w:szCs w:val="24"/>
          <w:rtl w:val="0"/>
          <w:lang w:val="en-US"/>
        </w:rPr>
        <w:t xml:space="preserve"> </w:t>
      </w:r>
    </w:p>
    <w:p>
      <w:pPr>
        <w:pStyle w:val="Normal2"/>
        <w:spacing w:before="200" w:line="360" w:lineRule="auto"/>
        <w:jc w:val="both"/>
        <w:rPr>
          <w:rFonts w:ascii="Times New Roman" w:cs="Times New Roman" w:hAnsi="Times New Roman" w:eastAsia="Times New Roman"/>
          <w:sz w:val="24"/>
          <w:szCs w:val="24"/>
          <w:lang w:val="en-US"/>
        </w:rPr>
      </w:pPr>
      <w:r>
        <w:rPr>
          <w:rFonts w:ascii="Times New Roman" w:hAnsi="Times New Roman"/>
          <w:sz w:val="24"/>
          <w:szCs w:val="24"/>
          <w:rtl w:val="0"/>
          <w:lang w:val="en-US"/>
        </w:rPr>
        <w:t>The range of profitability along with the profit-making ability of a business or an organisation is measured with the ROCE ratio.</w:t>
      </w:r>
    </w:p>
    <w:p>
      <w:pPr>
        <w:pStyle w:val="Normal2"/>
        <w:spacing w:before="200" w:line="360" w:lineRule="auto"/>
        <w:jc w:val="both"/>
        <w:rPr>
          <w:rFonts w:ascii="Times New Roman" w:cs="Times New Roman" w:hAnsi="Times New Roman" w:eastAsia="Times New Roman"/>
          <w:b w:val="1"/>
          <w:bCs w:val="1"/>
          <w:i w:val="1"/>
          <w:iCs w:val="1"/>
          <w:sz w:val="24"/>
          <w:szCs w:val="24"/>
          <w:lang w:val="en-US"/>
        </w:rPr>
      </w:pPr>
      <w:r>
        <w:rPr>
          <w:rFonts w:ascii="Times New Roman" w:hAnsi="Times New Roman"/>
          <w:b w:val="1"/>
          <w:bCs w:val="1"/>
          <w:i w:val="1"/>
          <w:iCs w:val="1"/>
          <w:sz w:val="24"/>
          <w:szCs w:val="24"/>
          <w:rtl w:val="0"/>
          <w:lang w:val="en-US"/>
        </w:rPr>
        <w:t>Replacement in values</w:t>
      </w:r>
    </w:p>
    <w:p>
      <w:pPr>
        <w:pStyle w:val="Normal2"/>
        <w:spacing w:before="200" w:line="360" w:lineRule="auto"/>
        <w:jc w:val="both"/>
        <w:rPr>
          <w:rFonts w:ascii="Times New Roman" w:cs="Times New Roman" w:hAnsi="Times New Roman" w:eastAsia="Times New Roman"/>
          <w:sz w:val="24"/>
          <w:szCs w:val="24"/>
          <w:lang w:val="en-US"/>
        </w:rPr>
      </w:pPr>
      <w:r>
        <w:rPr>
          <w:rFonts w:ascii="Times New Roman" w:hAnsi="Times New Roman"/>
          <w:sz w:val="24"/>
          <w:szCs w:val="24"/>
          <w:rtl w:val="0"/>
          <w:lang w:val="en-US"/>
        </w:rPr>
        <w:t>In the year 2019, the value of EBIT shows 659m and around the year 2020, it increased at a rate of 708m. The evaluated value of capital employment rate in 2019 was 6441m and during the year 2020, it increased to 6738m.</w:t>
      </w:r>
    </w:p>
    <w:p>
      <w:pPr>
        <w:pStyle w:val="Normal2"/>
        <w:spacing w:before="200" w:line="360" w:lineRule="auto"/>
        <w:jc w:val="both"/>
        <w:rPr>
          <w:rFonts w:ascii="Times New Roman" w:cs="Times New Roman" w:hAnsi="Times New Roman" w:eastAsia="Times New Roman"/>
          <w:b w:val="1"/>
          <w:bCs w:val="1"/>
          <w:i w:val="1"/>
          <w:iCs w:val="1"/>
          <w:sz w:val="24"/>
          <w:szCs w:val="24"/>
          <w:lang w:val="en-US"/>
        </w:rPr>
      </w:pPr>
      <w:r>
        <w:rPr>
          <w:rFonts w:ascii="Times New Roman" w:hAnsi="Times New Roman"/>
          <w:b w:val="1"/>
          <w:bCs w:val="1"/>
          <w:i w:val="1"/>
          <w:iCs w:val="1"/>
          <w:sz w:val="24"/>
          <w:szCs w:val="24"/>
          <w:rtl w:val="0"/>
          <w:lang w:val="en-US"/>
        </w:rPr>
        <w:t>Balancing</w:t>
      </w:r>
    </w:p>
    <w:p>
      <w:pPr>
        <w:pStyle w:val="Normal2"/>
        <w:spacing w:before="200" w:line="360" w:lineRule="auto"/>
        <w:jc w:val="both"/>
        <w:rPr>
          <w:rFonts w:ascii="Times New Roman" w:cs="Times New Roman" w:hAnsi="Times New Roman" w:eastAsia="Times New Roman"/>
          <w:sz w:val="24"/>
          <w:szCs w:val="24"/>
          <w:lang w:val="en-US"/>
        </w:rPr>
      </w:pPr>
      <w:r>
        <w:rPr>
          <w:rFonts w:ascii="Times New Roman" w:hAnsi="Times New Roman"/>
          <w:sz w:val="24"/>
          <w:szCs w:val="24"/>
          <w:rtl w:val="0"/>
          <w:lang w:val="en-US"/>
        </w:rPr>
        <w:t xml:space="preserve">However, the value change has increased the ratio of ROCE from 8% in 2019 to 9% in the year 2020. </w:t>
      </w:r>
    </w:p>
    <w:p>
      <w:pPr>
        <w:pStyle w:val="Normal2"/>
        <w:spacing w:before="200" w:line="360" w:lineRule="auto"/>
        <w:jc w:val="both"/>
        <w:rPr>
          <w:rFonts w:ascii="Times New Roman" w:cs="Times New Roman" w:hAnsi="Times New Roman" w:eastAsia="Times New Roman"/>
          <w:b w:val="1"/>
          <w:bCs w:val="1"/>
          <w:i w:val="1"/>
          <w:iCs w:val="1"/>
          <w:sz w:val="24"/>
          <w:szCs w:val="24"/>
          <w:lang w:val="en-US"/>
        </w:rPr>
      </w:pPr>
      <w:r>
        <w:rPr>
          <w:rFonts w:ascii="Times New Roman" w:hAnsi="Times New Roman"/>
          <w:b w:val="1"/>
          <w:bCs w:val="1"/>
          <w:i w:val="1"/>
          <w:iCs w:val="1"/>
          <w:sz w:val="24"/>
          <w:szCs w:val="24"/>
          <w:rtl w:val="0"/>
          <w:lang w:val="en-US"/>
        </w:rPr>
        <w:t>The process to bring improvement</w:t>
      </w:r>
    </w:p>
    <w:p>
      <w:pPr>
        <w:pStyle w:val="Normal2"/>
        <w:spacing w:before="200" w:line="360" w:lineRule="auto"/>
        <w:jc w:val="both"/>
        <w:rPr>
          <w:rFonts w:ascii="Times New Roman" w:cs="Times New Roman" w:hAnsi="Times New Roman" w:eastAsia="Times New Roman"/>
          <w:sz w:val="24"/>
          <w:szCs w:val="24"/>
          <w:lang w:val="en-US"/>
        </w:rPr>
      </w:pPr>
      <w:r>
        <w:rPr>
          <w:rFonts w:ascii="Times New Roman" w:hAnsi="Times New Roman"/>
          <w:sz w:val="24"/>
          <w:szCs w:val="24"/>
          <w:rtl w:val="0"/>
          <w:lang w:val="en-US"/>
        </w:rPr>
        <w:t>The older equipment</w:t>
      </w:r>
      <w:r>
        <w:rPr>
          <w:rFonts w:ascii="Times New Roman" w:hAnsi="Times New Roman" w:hint="default"/>
          <w:sz w:val="24"/>
          <w:szCs w:val="24"/>
          <w:rtl w:val="0"/>
          <w:lang w:val="en-US"/>
        </w:rPr>
        <w:t>’</w:t>
      </w:r>
      <w:r>
        <w:rPr>
          <w:rFonts w:ascii="Times New Roman" w:hAnsi="Times New Roman"/>
          <w:sz w:val="24"/>
          <w:szCs w:val="24"/>
          <w:rtl w:val="0"/>
          <w:lang w:val="en-US"/>
        </w:rPr>
        <w:t>s needs to be sold out for reduction of the employed number of capital and increasing rate in ratio.</w:t>
      </w:r>
    </w:p>
    <w:p>
      <w:pPr>
        <w:pStyle w:val="Normal2"/>
        <w:spacing w:before="200" w:line="360" w:lineRule="auto"/>
        <w:jc w:val="both"/>
        <w:rPr>
          <w:rFonts w:ascii="Times New Roman" w:cs="Times New Roman" w:hAnsi="Times New Roman" w:eastAsia="Times New Roman"/>
          <w:b w:val="1"/>
          <w:bCs w:val="1"/>
          <w:sz w:val="24"/>
          <w:szCs w:val="24"/>
          <w:lang w:val="en-US"/>
        </w:rPr>
      </w:pPr>
      <w:r>
        <w:rPr>
          <w:rFonts w:ascii="Times New Roman" w:hAnsi="Times New Roman"/>
          <w:b w:val="1"/>
          <w:bCs w:val="1"/>
          <w:sz w:val="24"/>
          <w:szCs w:val="24"/>
          <w:rtl w:val="0"/>
          <w:lang w:val="en-US"/>
        </w:rPr>
        <w:t>Current ratio</w:t>
      </w:r>
    </w:p>
    <w:tbl>
      <w:tblPr>
        <w:tblW w:w="936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120"/>
        <w:gridCol w:w="3120"/>
        <w:gridCol w:w="3120"/>
      </w:tblGrid>
      <w:tr>
        <w:tblPrEx>
          <w:shd w:val="clear" w:color="auto" w:fill="ced7e7"/>
        </w:tblPrEx>
        <w:trPr>
          <w:trHeight w:val="310" w:hRule="atLeast"/>
        </w:trPr>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spacing w:before="200" w:line="360" w:lineRule="auto"/>
              <w:jc w:val="center"/>
            </w:pPr>
            <w:r>
              <w:rPr>
                <w:rFonts w:ascii="Times New Roman" w:hAnsi="Times New Roman"/>
                <w:b w:val="1"/>
                <w:bCs w:val="1"/>
                <w:sz w:val="24"/>
                <w:szCs w:val="24"/>
                <w:shd w:val="nil" w:color="auto" w:fill="auto"/>
                <w:rtl w:val="0"/>
                <w:lang w:val="en-US"/>
              </w:rPr>
              <w:t>Current ratio</w:t>
            </w:r>
          </w:p>
        </w:tc>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line="360" w:lineRule="auto"/>
              <w:jc w:val="center"/>
            </w:pPr>
            <w:r>
              <w:rPr>
                <w:rFonts w:ascii="Times New Roman" w:hAnsi="Times New Roman"/>
                <w:b w:val="1"/>
                <w:bCs w:val="1"/>
                <w:sz w:val="24"/>
                <w:szCs w:val="24"/>
                <w:shd w:val="nil" w:color="auto" w:fill="auto"/>
                <w:rtl w:val="0"/>
                <w:lang w:val="en-US"/>
              </w:rPr>
              <w:t>2019</w:t>
            </w:r>
          </w:p>
        </w:tc>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line="360" w:lineRule="auto"/>
              <w:jc w:val="center"/>
            </w:pPr>
            <w:r>
              <w:rPr>
                <w:rFonts w:ascii="Times New Roman" w:hAnsi="Times New Roman"/>
                <w:b w:val="1"/>
                <w:bCs w:val="1"/>
                <w:sz w:val="24"/>
                <w:szCs w:val="24"/>
                <w:shd w:val="nil" w:color="auto" w:fill="auto"/>
                <w:rtl w:val="0"/>
                <w:lang w:val="en-US"/>
              </w:rPr>
              <w:t>2020</w:t>
            </w:r>
          </w:p>
        </w:tc>
      </w:tr>
      <w:tr>
        <w:tblPrEx>
          <w:shd w:val="clear" w:color="auto" w:fill="ced7e7"/>
        </w:tblPrEx>
        <w:trPr>
          <w:trHeight w:val="310" w:hRule="atLeast"/>
        </w:trPr>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line="360" w:lineRule="auto"/>
              <w:jc w:val="center"/>
            </w:pPr>
            <w:r>
              <w:rPr>
                <w:rFonts w:ascii="Times New Roman" w:hAnsi="Times New Roman"/>
                <w:b w:val="1"/>
                <w:bCs w:val="1"/>
                <w:sz w:val="24"/>
                <w:szCs w:val="24"/>
                <w:shd w:val="nil" w:color="auto" w:fill="auto"/>
                <w:rtl w:val="0"/>
                <w:lang w:val="en-US"/>
              </w:rPr>
              <w:t xml:space="preserve">Current assets </w:t>
            </w:r>
          </w:p>
        </w:tc>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line="360" w:lineRule="auto"/>
              <w:jc w:val="center"/>
            </w:pPr>
            <w:r>
              <w:rPr>
                <w:rFonts w:ascii="Times New Roman" w:hAnsi="Times New Roman"/>
                <w:sz w:val="24"/>
                <w:szCs w:val="24"/>
                <w:shd w:val="nil" w:color="auto" w:fill="auto"/>
                <w:rtl w:val="0"/>
                <w:lang w:val="en-US"/>
              </w:rPr>
              <w:t>2355</w:t>
            </w:r>
          </w:p>
        </w:tc>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line="360" w:lineRule="auto"/>
              <w:jc w:val="center"/>
            </w:pPr>
            <w:r>
              <w:rPr>
                <w:rFonts w:ascii="Times New Roman" w:hAnsi="Times New Roman"/>
                <w:sz w:val="24"/>
                <w:szCs w:val="24"/>
                <w:shd w:val="nil" w:color="auto" w:fill="auto"/>
                <w:rtl w:val="0"/>
                <w:lang w:val="en-US"/>
              </w:rPr>
              <w:t>2303</w:t>
            </w:r>
          </w:p>
        </w:tc>
      </w:tr>
      <w:tr>
        <w:tblPrEx>
          <w:shd w:val="clear" w:color="auto" w:fill="ced7e7"/>
        </w:tblPrEx>
        <w:trPr>
          <w:trHeight w:val="310" w:hRule="atLeast"/>
        </w:trPr>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line="360" w:lineRule="auto"/>
              <w:jc w:val="center"/>
            </w:pPr>
            <w:r>
              <w:rPr>
                <w:rFonts w:ascii="Times New Roman" w:hAnsi="Times New Roman"/>
                <w:b w:val="1"/>
                <w:bCs w:val="1"/>
                <w:sz w:val="24"/>
                <w:szCs w:val="24"/>
                <w:shd w:val="nil" w:color="auto" w:fill="auto"/>
                <w:rtl w:val="0"/>
                <w:lang w:val="en-US"/>
              </w:rPr>
              <w:t>Current liability</w:t>
            </w:r>
          </w:p>
        </w:tc>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line="360" w:lineRule="auto"/>
              <w:jc w:val="center"/>
            </w:pPr>
            <w:r>
              <w:rPr>
                <w:rFonts w:ascii="Times New Roman" w:hAnsi="Times New Roman"/>
                <w:sz w:val="24"/>
                <w:szCs w:val="24"/>
                <w:shd w:val="nil" w:color="auto" w:fill="auto"/>
                <w:rtl w:val="0"/>
                <w:lang w:val="en-US"/>
              </w:rPr>
              <w:t>3046</w:t>
            </w:r>
          </w:p>
        </w:tc>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line="360" w:lineRule="auto"/>
              <w:jc w:val="center"/>
            </w:pPr>
            <w:r>
              <w:rPr>
                <w:rFonts w:ascii="Times New Roman" w:hAnsi="Times New Roman"/>
                <w:sz w:val="24"/>
                <w:szCs w:val="24"/>
                <w:shd w:val="nil" w:color="auto" w:fill="auto"/>
                <w:rtl w:val="0"/>
                <w:lang w:val="en-US"/>
              </w:rPr>
              <w:t>2511</w:t>
            </w:r>
          </w:p>
        </w:tc>
      </w:tr>
      <w:tr>
        <w:tblPrEx>
          <w:shd w:val="clear" w:color="auto" w:fill="ced7e7"/>
        </w:tblPrEx>
        <w:trPr>
          <w:trHeight w:val="755" w:hRule="atLeast"/>
        </w:trPr>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line="360" w:lineRule="auto"/>
              <w:jc w:val="center"/>
            </w:pPr>
            <w:r>
              <w:rPr>
                <w:rFonts w:ascii="Times New Roman" w:hAnsi="Times New Roman"/>
                <w:b w:val="1"/>
                <w:bCs w:val="1"/>
                <w:sz w:val="24"/>
                <w:szCs w:val="24"/>
                <w:shd w:val="nil" w:color="auto" w:fill="auto"/>
                <w:rtl w:val="0"/>
                <w:lang w:val="en-US"/>
              </w:rPr>
              <w:t>Current assets/current liability</w:t>
            </w:r>
          </w:p>
        </w:tc>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line="360" w:lineRule="auto"/>
              <w:jc w:val="center"/>
            </w:pPr>
            <w:r>
              <w:rPr>
                <w:rFonts w:ascii="Times New Roman" w:hAnsi="Times New Roman"/>
                <w:sz w:val="24"/>
                <w:szCs w:val="24"/>
                <w:shd w:val="nil" w:color="auto" w:fill="auto"/>
                <w:rtl w:val="0"/>
                <w:lang w:val="en-US"/>
              </w:rPr>
              <w:t>0.773145108</w:t>
            </w:r>
          </w:p>
        </w:tc>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line="360" w:lineRule="auto"/>
              <w:jc w:val="center"/>
            </w:pPr>
            <w:r>
              <w:rPr>
                <w:rFonts w:ascii="Times New Roman" w:hAnsi="Times New Roman"/>
                <w:sz w:val="24"/>
                <w:szCs w:val="24"/>
                <w:shd w:val="nil" w:color="auto" w:fill="auto"/>
                <w:rtl w:val="0"/>
                <w:lang w:val="en-US"/>
              </w:rPr>
              <w:t>0.917164476</w:t>
            </w:r>
          </w:p>
        </w:tc>
      </w:tr>
    </w:tbl>
    <w:p>
      <w:pPr>
        <w:pStyle w:val="Normal2"/>
        <w:widowControl w:val="0"/>
        <w:spacing w:before="200" w:line="240" w:lineRule="auto"/>
        <w:jc w:val="both"/>
        <w:rPr>
          <w:rFonts w:ascii="Times New Roman" w:cs="Times New Roman" w:hAnsi="Times New Roman" w:eastAsia="Times New Roman"/>
          <w:b w:val="1"/>
          <w:bCs w:val="1"/>
          <w:sz w:val="24"/>
          <w:szCs w:val="24"/>
          <w:lang w:val="en-US"/>
        </w:rPr>
      </w:pPr>
    </w:p>
    <w:p>
      <w:pPr>
        <w:pStyle w:val="Normal2"/>
        <w:spacing w:before="200" w:line="360" w:lineRule="auto"/>
        <w:jc w:val="both"/>
        <w:rPr>
          <w:rFonts w:ascii="Times New Roman" w:cs="Times New Roman" w:hAnsi="Times New Roman" w:eastAsia="Times New Roman"/>
          <w:b w:val="1"/>
          <w:bCs w:val="1"/>
          <w:i w:val="1"/>
          <w:iCs w:val="1"/>
          <w:sz w:val="24"/>
          <w:szCs w:val="24"/>
          <w:lang w:val="en-US"/>
        </w:rPr>
      </w:pPr>
      <w:r>
        <w:rPr>
          <w:rFonts w:ascii="Times New Roman" w:hAnsi="Times New Roman"/>
          <w:b w:val="1"/>
          <w:bCs w:val="1"/>
          <w:i w:val="1"/>
          <w:iCs w:val="1"/>
          <w:sz w:val="24"/>
          <w:szCs w:val="24"/>
          <w:rtl w:val="0"/>
          <w:lang w:val="en-US"/>
        </w:rPr>
        <w:t>Meaning</w:t>
      </w:r>
    </w:p>
    <w:p>
      <w:pPr>
        <w:pStyle w:val="Normal2"/>
        <w:spacing w:before="200" w:line="360" w:lineRule="auto"/>
        <w:jc w:val="both"/>
        <w:rPr>
          <w:rFonts w:ascii="Times New Roman" w:cs="Times New Roman" w:hAnsi="Times New Roman" w:eastAsia="Times New Roman"/>
          <w:sz w:val="24"/>
          <w:szCs w:val="24"/>
          <w:lang w:val="en-US"/>
        </w:rPr>
      </w:pPr>
      <w:r>
        <w:rPr>
          <w:rFonts w:ascii="Times New Roman" w:hAnsi="Times New Roman"/>
          <w:sz w:val="24"/>
          <w:szCs w:val="24"/>
          <w:rtl w:val="0"/>
          <w:lang w:val="en-US"/>
        </w:rPr>
        <w:t xml:space="preserve">The current assets of the stakeholders are calculated in the current ratio. </w:t>
      </w:r>
    </w:p>
    <w:p>
      <w:pPr>
        <w:pStyle w:val="Normal2"/>
        <w:spacing w:before="200" w:line="360" w:lineRule="auto"/>
        <w:jc w:val="both"/>
        <w:rPr>
          <w:rFonts w:ascii="Times New Roman" w:cs="Times New Roman" w:hAnsi="Times New Roman" w:eastAsia="Times New Roman"/>
          <w:b w:val="1"/>
          <w:bCs w:val="1"/>
          <w:i w:val="1"/>
          <w:iCs w:val="1"/>
          <w:sz w:val="24"/>
          <w:szCs w:val="24"/>
          <w:lang w:val="en-US"/>
        </w:rPr>
      </w:pPr>
      <w:r>
        <w:rPr>
          <w:rFonts w:ascii="Times New Roman" w:hAnsi="Times New Roman"/>
          <w:b w:val="1"/>
          <w:bCs w:val="1"/>
          <w:i w:val="1"/>
          <w:iCs w:val="1"/>
          <w:sz w:val="24"/>
          <w:szCs w:val="24"/>
          <w:rtl w:val="0"/>
          <w:lang w:val="en-US"/>
        </w:rPr>
        <w:t>Replacement in values</w:t>
      </w:r>
    </w:p>
    <w:p>
      <w:pPr>
        <w:pStyle w:val="Normal2"/>
        <w:spacing w:before="200" w:line="360" w:lineRule="auto"/>
        <w:jc w:val="both"/>
        <w:rPr>
          <w:rFonts w:ascii="Times New Roman" w:cs="Times New Roman" w:hAnsi="Times New Roman" w:eastAsia="Times New Roman"/>
          <w:sz w:val="24"/>
          <w:szCs w:val="24"/>
          <w:lang w:val="en-US"/>
        </w:rPr>
      </w:pPr>
      <w:r>
        <w:rPr>
          <w:rFonts w:ascii="Times New Roman" w:hAnsi="Times New Roman"/>
          <w:sz w:val="24"/>
          <w:szCs w:val="24"/>
          <w:rtl w:val="0"/>
          <w:lang w:val="en-US"/>
        </w:rPr>
        <w:t>In the year 2019, the current asset was 2355, which decreased in the year 2020 by 2303.</w:t>
      </w:r>
    </w:p>
    <w:p>
      <w:pPr>
        <w:pStyle w:val="Normal2"/>
        <w:spacing w:before="200" w:line="360" w:lineRule="auto"/>
        <w:jc w:val="both"/>
        <w:rPr>
          <w:rFonts w:ascii="Times New Roman" w:cs="Times New Roman" w:hAnsi="Times New Roman" w:eastAsia="Times New Roman"/>
          <w:b w:val="1"/>
          <w:bCs w:val="1"/>
          <w:i w:val="1"/>
          <w:iCs w:val="1"/>
          <w:sz w:val="24"/>
          <w:szCs w:val="24"/>
          <w:lang w:val="en-US"/>
        </w:rPr>
      </w:pPr>
      <w:r>
        <w:rPr>
          <w:rFonts w:ascii="Times New Roman" w:hAnsi="Times New Roman"/>
          <w:b w:val="1"/>
          <w:bCs w:val="1"/>
          <w:i w:val="1"/>
          <w:iCs w:val="1"/>
          <w:sz w:val="24"/>
          <w:szCs w:val="24"/>
          <w:rtl w:val="0"/>
          <w:lang w:val="en-US"/>
        </w:rPr>
        <w:t>Balancing</w:t>
      </w:r>
    </w:p>
    <w:p>
      <w:pPr>
        <w:pStyle w:val="Normal2"/>
        <w:spacing w:before="200" w:line="360" w:lineRule="auto"/>
        <w:jc w:val="both"/>
        <w:rPr>
          <w:rFonts w:ascii="Times New Roman" w:cs="Times New Roman" w:hAnsi="Times New Roman" w:eastAsia="Times New Roman"/>
          <w:sz w:val="24"/>
          <w:szCs w:val="24"/>
          <w:lang w:val="en-US"/>
        </w:rPr>
      </w:pPr>
      <w:r>
        <w:rPr>
          <w:rFonts w:ascii="Times New Roman" w:hAnsi="Times New Roman"/>
          <w:sz w:val="24"/>
          <w:szCs w:val="24"/>
          <w:rtl w:val="0"/>
          <w:lang w:val="en-US"/>
        </w:rPr>
        <w:t>The current ratio increases in 2019 to 0.773145108, whereas in the year 2020 it increases to 0.917164476.</w:t>
      </w:r>
    </w:p>
    <w:p>
      <w:pPr>
        <w:pStyle w:val="Normal2"/>
        <w:spacing w:before="200" w:line="360" w:lineRule="auto"/>
        <w:jc w:val="both"/>
        <w:rPr>
          <w:rFonts w:ascii="Times New Roman" w:cs="Times New Roman" w:hAnsi="Times New Roman" w:eastAsia="Times New Roman"/>
          <w:b w:val="1"/>
          <w:bCs w:val="1"/>
          <w:i w:val="1"/>
          <w:iCs w:val="1"/>
          <w:sz w:val="24"/>
          <w:szCs w:val="24"/>
          <w:lang w:val="en-US"/>
        </w:rPr>
      </w:pPr>
      <w:r>
        <w:rPr>
          <w:rFonts w:ascii="Times New Roman" w:hAnsi="Times New Roman"/>
          <w:b w:val="1"/>
          <w:bCs w:val="1"/>
          <w:i w:val="1"/>
          <w:iCs w:val="1"/>
          <w:sz w:val="24"/>
          <w:szCs w:val="24"/>
          <w:rtl w:val="0"/>
          <w:lang w:val="en-US"/>
        </w:rPr>
        <w:t>The process to bring improvement</w:t>
      </w:r>
    </w:p>
    <w:p>
      <w:pPr>
        <w:pStyle w:val="Normal2"/>
        <w:spacing w:before="200" w:after="240" w:line="360" w:lineRule="auto"/>
        <w:jc w:val="both"/>
        <w:rPr>
          <w:rFonts w:ascii="Times New Roman" w:cs="Times New Roman" w:hAnsi="Times New Roman" w:eastAsia="Times New Roman"/>
          <w:sz w:val="24"/>
          <w:szCs w:val="24"/>
          <w:lang w:val="en-US"/>
        </w:rPr>
      </w:pPr>
      <w:r>
        <w:rPr>
          <w:rFonts w:ascii="Times New Roman" w:hAnsi="Times New Roman"/>
          <w:sz w:val="24"/>
          <w:szCs w:val="24"/>
          <w:rtl w:val="0"/>
          <w:lang w:val="en-US"/>
        </w:rPr>
        <w:t>The company Choco plc needs to raise their price of the product to bring improvement in this ratio.</w:t>
      </w:r>
    </w:p>
    <w:tbl>
      <w:tblPr>
        <w:tblW w:w="936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120"/>
        <w:gridCol w:w="3120"/>
        <w:gridCol w:w="3120"/>
      </w:tblGrid>
      <w:tr>
        <w:tblPrEx>
          <w:shd w:val="clear" w:color="auto" w:fill="ced7e7"/>
        </w:tblPrEx>
        <w:trPr>
          <w:trHeight w:val="310" w:hRule="atLeast"/>
        </w:trPr>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line="360" w:lineRule="auto"/>
              <w:jc w:val="center"/>
            </w:pPr>
            <w:r>
              <w:rPr>
                <w:rFonts w:ascii="Times New Roman" w:hAnsi="Times New Roman"/>
                <w:sz w:val="24"/>
                <w:szCs w:val="24"/>
                <w:shd w:val="nil" w:color="auto" w:fill="auto"/>
                <w:rtl w:val="0"/>
                <w:lang w:val="en-US"/>
              </w:rPr>
              <w:t>Earnings per share</w:t>
            </w:r>
          </w:p>
        </w:tc>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line="360" w:lineRule="auto"/>
              <w:jc w:val="center"/>
            </w:pPr>
            <w:r>
              <w:rPr>
                <w:rFonts w:ascii="Times New Roman" w:hAnsi="Times New Roman"/>
                <w:sz w:val="24"/>
                <w:szCs w:val="24"/>
                <w:shd w:val="nil" w:color="auto" w:fill="auto"/>
                <w:rtl w:val="0"/>
                <w:lang w:val="en-US"/>
              </w:rPr>
              <w:t>2019</w:t>
            </w:r>
          </w:p>
        </w:tc>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line="360" w:lineRule="auto"/>
              <w:jc w:val="center"/>
            </w:pPr>
            <w:r>
              <w:rPr>
                <w:rFonts w:ascii="Times New Roman" w:hAnsi="Times New Roman"/>
                <w:sz w:val="24"/>
                <w:szCs w:val="24"/>
                <w:shd w:val="nil" w:color="auto" w:fill="auto"/>
                <w:rtl w:val="0"/>
                <w:lang w:val="en-US"/>
              </w:rPr>
              <w:t>2020</w:t>
            </w:r>
          </w:p>
        </w:tc>
      </w:tr>
      <w:tr>
        <w:tblPrEx>
          <w:shd w:val="clear" w:color="auto" w:fill="ced7e7"/>
        </w:tblPrEx>
        <w:trPr>
          <w:trHeight w:val="310" w:hRule="atLeast"/>
        </w:trPr>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line="360" w:lineRule="auto"/>
              <w:jc w:val="center"/>
            </w:pPr>
            <w:r>
              <w:rPr>
                <w:rFonts w:ascii="Times New Roman" w:hAnsi="Times New Roman"/>
                <w:sz w:val="24"/>
                <w:szCs w:val="24"/>
                <w:shd w:val="nil" w:color="auto" w:fill="auto"/>
                <w:rtl w:val="0"/>
                <w:lang w:val="en-US"/>
              </w:rPr>
              <w:t>Preference dividend</w:t>
            </w:r>
          </w:p>
        </w:tc>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line="360" w:lineRule="auto"/>
              <w:jc w:val="center"/>
            </w:pPr>
            <w:r>
              <w:rPr>
                <w:rFonts w:ascii="Times New Roman" w:hAnsi="Times New Roman"/>
                <w:sz w:val="24"/>
                <w:szCs w:val="24"/>
                <w:shd w:val="nil" w:color="auto" w:fill="auto"/>
                <w:rtl w:val="0"/>
                <w:lang w:val="en-US"/>
              </w:rPr>
              <w:t>nil</w:t>
            </w:r>
          </w:p>
        </w:tc>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line="360" w:lineRule="auto"/>
              <w:jc w:val="center"/>
            </w:pPr>
            <w:r>
              <w:rPr>
                <w:rFonts w:ascii="Times New Roman" w:hAnsi="Times New Roman"/>
                <w:sz w:val="24"/>
                <w:szCs w:val="24"/>
                <w:shd w:val="nil" w:color="auto" w:fill="auto"/>
                <w:rtl w:val="0"/>
                <w:lang w:val="en-US"/>
              </w:rPr>
              <w:t>nil</w:t>
            </w:r>
          </w:p>
        </w:tc>
      </w:tr>
      <w:tr>
        <w:tblPrEx>
          <w:shd w:val="clear" w:color="auto" w:fill="ced7e7"/>
        </w:tblPrEx>
        <w:trPr>
          <w:trHeight w:val="310" w:hRule="atLeast"/>
        </w:trPr>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line="360" w:lineRule="auto"/>
              <w:jc w:val="center"/>
            </w:pPr>
            <w:r>
              <w:rPr>
                <w:rFonts w:ascii="Times New Roman" w:hAnsi="Times New Roman"/>
                <w:sz w:val="24"/>
                <w:szCs w:val="24"/>
                <w:shd w:val="nil" w:color="auto" w:fill="auto"/>
                <w:rtl w:val="0"/>
                <w:lang w:val="en-US"/>
              </w:rPr>
              <w:t>Net income</w:t>
            </w:r>
          </w:p>
        </w:tc>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line="360" w:lineRule="auto"/>
              <w:jc w:val="center"/>
            </w:pPr>
            <w:r>
              <w:rPr>
                <w:rFonts w:ascii="Times New Roman" w:hAnsi="Times New Roman"/>
                <w:sz w:val="24"/>
                <w:szCs w:val="24"/>
                <w:shd w:val="nil" w:color="auto" w:fill="auto"/>
                <w:rtl w:val="0"/>
                <w:lang w:val="en-US"/>
              </w:rPr>
              <w:t>366</w:t>
            </w:r>
          </w:p>
        </w:tc>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line="360" w:lineRule="auto"/>
              <w:jc w:val="center"/>
            </w:pPr>
            <w:r>
              <w:rPr>
                <w:rFonts w:ascii="Times New Roman" w:hAnsi="Times New Roman"/>
                <w:sz w:val="24"/>
                <w:szCs w:val="24"/>
                <w:shd w:val="nil" w:color="auto" w:fill="auto"/>
                <w:rtl w:val="0"/>
                <w:lang w:val="en-US"/>
              </w:rPr>
              <w:t>431</w:t>
            </w:r>
          </w:p>
        </w:tc>
      </w:tr>
      <w:tr>
        <w:tblPrEx>
          <w:shd w:val="clear" w:color="auto" w:fill="ced7e7"/>
        </w:tblPrEx>
        <w:trPr>
          <w:trHeight w:val="310" w:hRule="atLeast"/>
        </w:trPr>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line="360" w:lineRule="auto"/>
              <w:jc w:val="center"/>
            </w:pPr>
            <w:r>
              <w:rPr>
                <w:rFonts w:ascii="Times New Roman" w:hAnsi="Times New Roman"/>
                <w:sz w:val="24"/>
                <w:szCs w:val="24"/>
                <w:shd w:val="nil" w:color="auto" w:fill="auto"/>
                <w:rtl w:val="0"/>
                <w:lang w:val="en-US"/>
              </w:rPr>
              <w:t>Outstanding share</w:t>
            </w:r>
          </w:p>
        </w:tc>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line="360" w:lineRule="auto"/>
              <w:jc w:val="center"/>
            </w:pPr>
            <w:r>
              <w:rPr>
                <w:rFonts w:ascii="Times New Roman" w:hAnsi="Times New Roman"/>
                <w:sz w:val="24"/>
                <w:szCs w:val="24"/>
                <w:shd w:val="nil" w:color="auto" w:fill="auto"/>
                <w:rtl w:val="0"/>
                <w:lang w:val="en-US"/>
              </w:rPr>
              <w:t>1071</w:t>
            </w:r>
          </w:p>
        </w:tc>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line="360" w:lineRule="auto"/>
              <w:jc w:val="center"/>
            </w:pPr>
            <w:r>
              <w:rPr>
                <w:rFonts w:ascii="Times New Roman" w:hAnsi="Times New Roman"/>
                <w:sz w:val="24"/>
                <w:szCs w:val="24"/>
                <w:shd w:val="nil" w:color="auto" w:fill="auto"/>
                <w:rtl w:val="0"/>
                <w:lang w:val="en-US"/>
              </w:rPr>
              <w:t>1071</w:t>
            </w:r>
          </w:p>
        </w:tc>
      </w:tr>
      <w:tr>
        <w:tblPrEx>
          <w:shd w:val="clear" w:color="auto" w:fill="ced7e7"/>
        </w:tblPrEx>
        <w:trPr>
          <w:trHeight w:val="310" w:hRule="atLeast"/>
        </w:trPr>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line="360" w:lineRule="auto"/>
              <w:jc w:val="center"/>
            </w:pPr>
            <w:r>
              <w:rPr>
                <w:rFonts w:ascii="Times New Roman" w:hAnsi="Times New Roman"/>
                <w:sz w:val="24"/>
                <w:szCs w:val="24"/>
                <w:shd w:val="nil" w:color="auto" w:fill="auto"/>
                <w:rtl w:val="0"/>
                <w:lang w:val="en-US"/>
              </w:rPr>
              <w:t>EPS ratio</w:t>
            </w:r>
          </w:p>
        </w:tc>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line="360" w:lineRule="auto"/>
              <w:jc w:val="center"/>
            </w:pPr>
            <w:r>
              <w:rPr>
                <w:rFonts w:ascii="Times New Roman" w:hAnsi="Times New Roman"/>
                <w:sz w:val="24"/>
                <w:szCs w:val="24"/>
                <w:shd w:val="nil" w:color="auto" w:fill="auto"/>
                <w:rtl w:val="0"/>
                <w:lang w:val="en-US"/>
              </w:rPr>
              <w:t>34%</w:t>
            </w:r>
          </w:p>
        </w:tc>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line="360" w:lineRule="auto"/>
              <w:jc w:val="center"/>
            </w:pPr>
            <w:r>
              <w:rPr>
                <w:rFonts w:ascii="Times New Roman" w:hAnsi="Times New Roman"/>
                <w:sz w:val="24"/>
                <w:szCs w:val="24"/>
                <w:shd w:val="nil" w:color="auto" w:fill="auto"/>
                <w:rtl w:val="0"/>
                <w:lang w:val="en-US"/>
              </w:rPr>
              <w:t>40%</w:t>
            </w:r>
          </w:p>
        </w:tc>
      </w:tr>
    </w:tbl>
    <w:p>
      <w:pPr>
        <w:pStyle w:val="Normal2"/>
        <w:widowControl w:val="0"/>
        <w:spacing w:before="200" w:after="240" w:line="240" w:lineRule="auto"/>
        <w:jc w:val="both"/>
        <w:rPr>
          <w:rFonts w:ascii="Times New Roman" w:cs="Times New Roman" w:hAnsi="Times New Roman" w:eastAsia="Times New Roman"/>
          <w:sz w:val="24"/>
          <w:szCs w:val="24"/>
          <w:lang w:val="en-US"/>
        </w:rPr>
      </w:pPr>
    </w:p>
    <w:p>
      <w:pPr>
        <w:pStyle w:val="Normal2"/>
        <w:spacing w:before="200" w:line="360" w:lineRule="auto"/>
        <w:jc w:val="both"/>
        <w:rPr>
          <w:rFonts w:ascii="Times New Roman" w:cs="Times New Roman" w:hAnsi="Times New Roman" w:eastAsia="Times New Roman"/>
          <w:b w:val="1"/>
          <w:bCs w:val="1"/>
          <w:i w:val="1"/>
          <w:iCs w:val="1"/>
          <w:sz w:val="24"/>
          <w:szCs w:val="24"/>
          <w:lang w:val="en-US"/>
        </w:rPr>
      </w:pPr>
      <w:r>
        <w:rPr>
          <w:rFonts w:ascii="Times New Roman" w:hAnsi="Times New Roman"/>
          <w:b w:val="1"/>
          <w:bCs w:val="1"/>
          <w:i w:val="1"/>
          <w:iCs w:val="1"/>
          <w:sz w:val="24"/>
          <w:szCs w:val="24"/>
          <w:rtl w:val="0"/>
          <w:lang w:val="en-US"/>
        </w:rPr>
        <w:t>Meaning</w:t>
      </w:r>
    </w:p>
    <w:p>
      <w:pPr>
        <w:pStyle w:val="Normal2"/>
        <w:spacing w:before="200" w:line="360" w:lineRule="auto"/>
        <w:jc w:val="both"/>
        <w:rPr>
          <w:rFonts w:ascii="Times New Roman" w:cs="Times New Roman" w:hAnsi="Times New Roman" w:eastAsia="Times New Roman"/>
          <w:sz w:val="24"/>
          <w:szCs w:val="24"/>
          <w:lang w:val="en-US"/>
        </w:rPr>
      </w:pPr>
      <w:r>
        <w:rPr>
          <w:rFonts w:ascii="Times New Roman" w:hAnsi="Times New Roman"/>
          <w:sz w:val="24"/>
          <w:szCs w:val="24"/>
          <w:rtl w:val="0"/>
          <w:lang w:val="en-US"/>
        </w:rPr>
        <w:t>The single amount of any return the investors get from their investment is known as earning per share.</w:t>
      </w:r>
    </w:p>
    <w:p>
      <w:pPr>
        <w:pStyle w:val="Normal2"/>
        <w:spacing w:before="200" w:line="360" w:lineRule="auto"/>
        <w:jc w:val="both"/>
        <w:rPr>
          <w:rFonts w:ascii="Times New Roman" w:cs="Times New Roman" w:hAnsi="Times New Roman" w:eastAsia="Times New Roman"/>
          <w:b w:val="1"/>
          <w:bCs w:val="1"/>
          <w:i w:val="1"/>
          <w:iCs w:val="1"/>
          <w:sz w:val="24"/>
          <w:szCs w:val="24"/>
          <w:lang w:val="en-US"/>
        </w:rPr>
      </w:pPr>
      <w:r>
        <w:rPr>
          <w:rFonts w:ascii="Times New Roman" w:hAnsi="Times New Roman"/>
          <w:b w:val="1"/>
          <w:bCs w:val="1"/>
          <w:i w:val="1"/>
          <w:iCs w:val="1"/>
          <w:sz w:val="24"/>
          <w:szCs w:val="24"/>
          <w:rtl w:val="0"/>
          <w:lang w:val="en-US"/>
        </w:rPr>
        <w:t>Replacement in values</w:t>
      </w:r>
    </w:p>
    <w:p>
      <w:pPr>
        <w:pStyle w:val="Normal2"/>
        <w:spacing w:before="200" w:line="360" w:lineRule="auto"/>
        <w:jc w:val="both"/>
        <w:rPr>
          <w:rFonts w:ascii="Times New Roman" w:cs="Times New Roman" w:hAnsi="Times New Roman" w:eastAsia="Times New Roman"/>
          <w:sz w:val="24"/>
          <w:szCs w:val="24"/>
          <w:lang w:val="en-US"/>
        </w:rPr>
      </w:pPr>
      <w:r>
        <w:rPr>
          <w:rFonts w:ascii="Times New Roman" w:hAnsi="Times New Roman"/>
          <w:sz w:val="24"/>
          <w:szCs w:val="24"/>
          <w:rtl w:val="0"/>
          <w:lang w:val="en-US"/>
        </w:rPr>
        <w:t xml:space="preserve">In the year 2019, the value of NP was 366m which increased by 2020 to 431m. The value of the outstanding share rate was 1071m in both the years 2019 and 2020. </w:t>
      </w:r>
    </w:p>
    <w:p>
      <w:pPr>
        <w:pStyle w:val="Normal2"/>
        <w:spacing w:before="200" w:line="360" w:lineRule="auto"/>
        <w:jc w:val="both"/>
        <w:rPr>
          <w:rFonts w:ascii="Times New Roman" w:cs="Times New Roman" w:hAnsi="Times New Roman" w:eastAsia="Times New Roman"/>
          <w:b w:val="1"/>
          <w:bCs w:val="1"/>
          <w:i w:val="1"/>
          <w:iCs w:val="1"/>
          <w:sz w:val="24"/>
          <w:szCs w:val="24"/>
          <w:lang w:val="en-US"/>
        </w:rPr>
      </w:pPr>
      <w:r>
        <w:rPr>
          <w:rFonts w:ascii="Times New Roman" w:hAnsi="Times New Roman"/>
          <w:b w:val="1"/>
          <w:bCs w:val="1"/>
          <w:i w:val="1"/>
          <w:iCs w:val="1"/>
          <w:sz w:val="24"/>
          <w:szCs w:val="24"/>
          <w:rtl w:val="0"/>
          <w:lang w:val="en-US"/>
        </w:rPr>
        <w:t>Balancing</w:t>
      </w:r>
    </w:p>
    <w:p>
      <w:pPr>
        <w:pStyle w:val="Normal2"/>
        <w:spacing w:before="200" w:line="360" w:lineRule="auto"/>
        <w:jc w:val="both"/>
        <w:rPr>
          <w:rFonts w:ascii="Times New Roman" w:cs="Times New Roman" w:hAnsi="Times New Roman" w:eastAsia="Times New Roman"/>
          <w:sz w:val="24"/>
          <w:szCs w:val="24"/>
          <w:lang w:val="en-US"/>
        </w:rPr>
      </w:pPr>
      <w:r>
        <w:rPr>
          <w:rFonts w:ascii="Times New Roman" w:hAnsi="Times New Roman"/>
          <w:sz w:val="24"/>
          <w:szCs w:val="24"/>
          <w:rtl w:val="0"/>
          <w:lang w:val="en-US"/>
        </w:rPr>
        <w:t>Changing the value of NP gets higher at the rate of 34 per cent in the year 2019 and 40 per cent in 2020.</w:t>
      </w:r>
    </w:p>
    <w:p>
      <w:pPr>
        <w:pStyle w:val="Normal2"/>
        <w:spacing w:before="200" w:line="360" w:lineRule="auto"/>
        <w:jc w:val="both"/>
        <w:rPr>
          <w:rFonts w:ascii="Times New Roman" w:cs="Times New Roman" w:hAnsi="Times New Roman" w:eastAsia="Times New Roman"/>
          <w:b w:val="1"/>
          <w:bCs w:val="1"/>
          <w:i w:val="1"/>
          <w:iCs w:val="1"/>
          <w:sz w:val="24"/>
          <w:szCs w:val="24"/>
          <w:lang w:val="en-US"/>
        </w:rPr>
      </w:pPr>
      <w:r>
        <w:rPr>
          <w:rFonts w:ascii="Times New Roman" w:hAnsi="Times New Roman"/>
          <w:b w:val="1"/>
          <w:bCs w:val="1"/>
          <w:i w:val="1"/>
          <w:iCs w:val="1"/>
          <w:sz w:val="24"/>
          <w:szCs w:val="24"/>
          <w:rtl w:val="0"/>
          <w:lang w:val="en-US"/>
        </w:rPr>
        <w:t>The process to bring improvement</w:t>
      </w:r>
    </w:p>
    <w:p>
      <w:pPr>
        <w:pStyle w:val="Normal2"/>
        <w:spacing w:before="200" w:line="360" w:lineRule="auto"/>
        <w:jc w:val="both"/>
        <w:rPr>
          <w:rFonts w:ascii="Times New Roman" w:cs="Times New Roman" w:hAnsi="Times New Roman" w:eastAsia="Times New Roman"/>
          <w:sz w:val="24"/>
          <w:szCs w:val="24"/>
          <w:lang w:val="en-US"/>
        </w:rPr>
      </w:pPr>
      <w:r>
        <w:rPr>
          <w:rFonts w:ascii="Times New Roman" w:hAnsi="Times New Roman"/>
          <w:sz w:val="24"/>
          <w:szCs w:val="24"/>
          <w:rtl w:val="0"/>
          <w:lang w:val="en-US"/>
        </w:rPr>
        <w:t>Buying back the company</w:t>
      </w:r>
      <w:r>
        <w:rPr>
          <w:rFonts w:ascii="Times New Roman" w:hAnsi="Times New Roman" w:hint="default"/>
          <w:sz w:val="24"/>
          <w:szCs w:val="24"/>
          <w:rtl w:val="0"/>
          <w:lang w:val="en-US"/>
        </w:rPr>
        <w:t>’</w:t>
      </w:r>
      <w:r>
        <w:rPr>
          <w:rFonts w:ascii="Times New Roman" w:hAnsi="Times New Roman"/>
          <w:sz w:val="24"/>
          <w:szCs w:val="24"/>
          <w:rtl w:val="0"/>
          <w:lang w:val="en-US"/>
        </w:rPr>
        <w:t>s own share will help to reduce the range of outstanding stocks and bring improvement in the ratio.</w:t>
      </w:r>
    </w:p>
    <w:p>
      <w:pPr>
        <w:pStyle w:val="Normal2"/>
        <w:spacing w:before="200" w:line="360" w:lineRule="auto"/>
        <w:jc w:val="both"/>
        <w:rPr>
          <w:rFonts w:ascii="Times New Roman" w:cs="Times New Roman" w:hAnsi="Times New Roman" w:eastAsia="Times New Roman"/>
          <w:b w:val="1"/>
          <w:bCs w:val="1"/>
          <w:i w:val="1"/>
          <w:iCs w:val="1"/>
          <w:sz w:val="24"/>
          <w:szCs w:val="24"/>
          <w:lang w:val="en-US"/>
        </w:rPr>
      </w:pPr>
      <w:r>
        <w:rPr>
          <w:rFonts w:ascii="Times New Roman" w:hAnsi="Times New Roman"/>
          <w:b w:val="1"/>
          <w:bCs w:val="1"/>
          <w:i w:val="1"/>
          <w:iCs w:val="1"/>
          <w:sz w:val="24"/>
          <w:szCs w:val="24"/>
          <w:rtl w:val="0"/>
          <w:lang w:val="en-US"/>
        </w:rPr>
        <w:t>Assets turnover ratio</w:t>
      </w:r>
    </w:p>
    <w:tbl>
      <w:tblPr>
        <w:tblW w:w="936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120"/>
        <w:gridCol w:w="3120"/>
        <w:gridCol w:w="3120"/>
      </w:tblGrid>
      <w:tr>
        <w:tblPrEx>
          <w:shd w:val="clear" w:color="auto" w:fill="ced7e7"/>
        </w:tblPrEx>
        <w:trPr>
          <w:trHeight w:val="310" w:hRule="atLeast"/>
        </w:trPr>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line="360" w:lineRule="auto"/>
              <w:jc w:val="center"/>
            </w:pPr>
            <w:r>
              <w:rPr>
                <w:rFonts w:ascii="Times New Roman" w:hAnsi="Times New Roman"/>
                <w:sz w:val="24"/>
                <w:szCs w:val="24"/>
                <w:shd w:val="nil" w:color="auto" w:fill="auto"/>
                <w:rtl w:val="0"/>
                <w:lang w:val="en-US"/>
              </w:rPr>
              <w:t xml:space="preserve">Assets turnover ratio </w:t>
            </w:r>
          </w:p>
        </w:tc>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line="360" w:lineRule="auto"/>
              <w:jc w:val="center"/>
            </w:pPr>
            <w:r>
              <w:rPr>
                <w:rFonts w:ascii="Times New Roman" w:hAnsi="Times New Roman"/>
                <w:sz w:val="24"/>
                <w:szCs w:val="24"/>
                <w:shd w:val="nil" w:color="auto" w:fill="auto"/>
                <w:rtl w:val="0"/>
                <w:lang w:val="en-US"/>
              </w:rPr>
              <w:t>2019</w:t>
            </w:r>
          </w:p>
        </w:tc>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line="360" w:lineRule="auto"/>
              <w:jc w:val="center"/>
            </w:pPr>
            <w:r>
              <w:rPr>
                <w:rFonts w:ascii="Times New Roman" w:hAnsi="Times New Roman"/>
                <w:sz w:val="24"/>
                <w:szCs w:val="24"/>
                <w:shd w:val="nil" w:color="auto" w:fill="auto"/>
                <w:rtl w:val="0"/>
                <w:lang w:val="en-US"/>
              </w:rPr>
              <w:t>2020</w:t>
            </w:r>
          </w:p>
        </w:tc>
      </w:tr>
      <w:tr>
        <w:tblPrEx>
          <w:shd w:val="clear" w:color="auto" w:fill="ced7e7"/>
        </w:tblPrEx>
        <w:trPr>
          <w:trHeight w:val="310" w:hRule="atLeast"/>
        </w:trPr>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line="360" w:lineRule="auto"/>
              <w:jc w:val="center"/>
            </w:pPr>
            <w:r>
              <w:rPr>
                <w:rFonts w:ascii="Times New Roman" w:hAnsi="Times New Roman"/>
                <w:sz w:val="24"/>
                <w:szCs w:val="24"/>
                <w:shd w:val="nil" w:color="auto" w:fill="auto"/>
                <w:rtl w:val="0"/>
                <w:lang w:val="en-US"/>
              </w:rPr>
              <w:t>assets</w:t>
            </w:r>
          </w:p>
        </w:tc>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line="360" w:lineRule="auto"/>
              <w:jc w:val="center"/>
            </w:pPr>
            <w:r>
              <w:rPr>
                <w:rFonts w:ascii="Times New Roman" w:hAnsi="Times New Roman"/>
                <w:sz w:val="24"/>
                <w:szCs w:val="24"/>
                <w:shd w:val="nil" w:color="auto" w:fill="auto"/>
                <w:rtl w:val="0"/>
                <w:lang w:val="en-US"/>
              </w:rPr>
              <w:t>10087</w:t>
            </w:r>
          </w:p>
        </w:tc>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line="360" w:lineRule="auto"/>
              <w:jc w:val="center"/>
            </w:pPr>
            <w:r>
              <w:rPr>
                <w:rFonts w:ascii="Times New Roman" w:hAnsi="Times New Roman"/>
                <w:sz w:val="24"/>
                <w:szCs w:val="24"/>
                <w:shd w:val="nil" w:color="auto" w:fill="auto"/>
                <w:rtl w:val="0"/>
                <w:lang w:val="en-US"/>
              </w:rPr>
              <w:t>9736</w:t>
            </w:r>
          </w:p>
        </w:tc>
      </w:tr>
      <w:tr>
        <w:tblPrEx>
          <w:shd w:val="clear" w:color="auto" w:fill="ced7e7"/>
        </w:tblPrEx>
        <w:trPr>
          <w:trHeight w:val="310" w:hRule="atLeast"/>
        </w:trPr>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line="360" w:lineRule="auto"/>
              <w:jc w:val="center"/>
            </w:pPr>
            <w:r>
              <w:rPr>
                <w:rFonts w:ascii="Times New Roman" w:hAnsi="Times New Roman"/>
                <w:sz w:val="24"/>
                <w:szCs w:val="24"/>
                <w:shd w:val="nil" w:color="auto" w:fill="auto"/>
                <w:rtl w:val="0"/>
                <w:lang w:val="en-US"/>
              </w:rPr>
              <w:t>Net assets</w:t>
            </w:r>
          </w:p>
        </w:tc>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line="360" w:lineRule="auto"/>
              <w:jc w:val="center"/>
            </w:pPr>
            <w:r>
              <w:rPr>
                <w:rFonts w:ascii="Times New Roman" w:hAnsi="Times New Roman"/>
                <w:sz w:val="24"/>
                <w:szCs w:val="24"/>
                <w:shd w:val="nil" w:color="auto" w:fill="auto"/>
                <w:rtl w:val="0"/>
                <w:lang w:val="en-US"/>
              </w:rPr>
              <w:t>6441</w:t>
            </w:r>
          </w:p>
        </w:tc>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line="360" w:lineRule="auto"/>
              <w:jc w:val="center"/>
            </w:pPr>
            <w:r>
              <w:rPr>
                <w:rFonts w:ascii="Times New Roman" w:hAnsi="Times New Roman"/>
                <w:sz w:val="24"/>
                <w:szCs w:val="24"/>
                <w:shd w:val="nil" w:color="auto" w:fill="auto"/>
                <w:rtl w:val="0"/>
                <w:lang w:val="en-US"/>
              </w:rPr>
              <w:t>6738</w:t>
            </w:r>
          </w:p>
        </w:tc>
      </w:tr>
      <w:tr>
        <w:tblPrEx>
          <w:shd w:val="clear" w:color="auto" w:fill="ced7e7"/>
        </w:tblPrEx>
        <w:trPr>
          <w:trHeight w:val="310" w:hRule="atLeast"/>
        </w:trPr>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line="360" w:lineRule="auto"/>
              <w:jc w:val="center"/>
            </w:pPr>
            <w:r>
              <w:rPr>
                <w:rFonts w:ascii="Times New Roman" w:hAnsi="Times New Roman"/>
                <w:sz w:val="24"/>
                <w:szCs w:val="24"/>
                <w:shd w:val="nil" w:color="auto" w:fill="auto"/>
                <w:rtl w:val="0"/>
                <w:lang w:val="en-US"/>
              </w:rPr>
              <w:t>Net sales/ average total assets</w:t>
            </w:r>
          </w:p>
        </w:tc>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line="360" w:lineRule="auto"/>
              <w:jc w:val="center"/>
            </w:pPr>
            <w:r>
              <w:rPr>
                <w:rFonts w:ascii="Times New Roman" w:hAnsi="Times New Roman"/>
                <w:sz w:val="24"/>
                <w:szCs w:val="24"/>
                <w:shd w:val="nil" w:color="auto" w:fill="auto"/>
                <w:rtl w:val="0"/>
                <w:lang w:val="en-US"/>
              </w:rPr>
              <w:t>64%</w:t>
            </w:r>
          </w:p>
        </w:tc>
        <w:tc>
          <w:tcPr>
            <w:tcW w:type="dxa" w:w="31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2"/>
              <w:widowControl w:val="0"/>
              <w:spacing w:line="360" w:lineRule="auto"/>
              <w:jc w:val="center"/>
            </w:pPr>
            <w:r>
              <w:rPr>
                <w:rFonts w:ascii="Times New Roman" w:hAnsi="Times New Roman"/>
                <w:sz w:val="24"/>
                <w:szCs w:val="24"/>
                <w:shd w:val="nil" w:color="auto" w:fill="auto"/>
                <w:rtl w:val="0"/>
                <w:lang w:val="en-US"/>
              </w:rPr>
              <w:t>69%</w:t>
            </w:r>
          </w:p>
        </w:tc>
      </w:tr>
    </w:tbl>
    <w:p>
      <w:pPr>
        <w:pStyle w:val="Normal2"/>
        <w:widowControl w:val="0"/>
        <w:spacing w:before="200" w:line="240" w:lineRule="auto"/>
        <w:jc w:val="both"/>
        <w:rPr>
          <w:rFonts w:ascii="Times New Roman" w:cs="Times New Roman" w:hAnsi="Times New Roman" w:eastAsia="Times New Roman"/>
          <w:b w:val="1"/>
          <w:bCs w:val="1"/>
          <w:i w:val="1"/>
          <w:iCs w:val="1"/>
          <w:sz w:val="24"/>
          <w:szCs w:val="24"/>
          <w:lang w:val="en-US"/>
        </w:rPr>
      </w:pPr>
    </w:p>
    <w:p>
      <w:pPr>
        <w:pStyle w:val="Normal2"/>
        <w:spacing w:before="200" w:line="360" w:lineRule="auto"/>
        <w:jc w:val="both"/>
        <w:rPr>
          <w:rFonts w:ascii="Times New Roman" w:cs="Times New Roman" w:hAnsi="Times New Roman" w:eastAsia="Times New Roman"/>
          <w:b w:val="1"/>
          <w:bCs w:val="1"/>
          <w:i w:val="1"/>
          <w:iCs w:val="1"/>
          <w:sz w:val="24"/>
          <w:szCs w:val="24"/>
          <w:lang w:val="en-US"/>
        </w:rPr>
      </w:pPr>
      <w:r>
        <w:rPr>
          <w:rFonts w:ascii="Times New Roman" w:hAnsi="Times New Roman"/>
          <w:b w:val="1"/>
          <w:bCs w:val="1"/>
          <w:i w:val="1"/>
          <w:iCs w:val="1"/>
          <w:sz w:val="24"/>
          <w:szCs w:val="24"/>
          <w:rtl w:val="0"/>
          <w:lang w:val="en-US"/>
        </w:rPr>
        <w:t>Meaning</w:t>
      </w:r>
    </w:p>
    <w:p>
      <w:pPr>
        <w:pStyle w:val="Normal2"/>
        <w:spacing w:before="200" w:line="360" w:lineRule="auto"/>
        <w:jc w:val="both"/>
        <w:rPr>
          <w:rFonts w:ascii="Times New Roman" w:cs="Times New Roman" w:hAnsi="Times New Roman" w:eastAsia="Times New Roman"/>
          <w:sz w:val="24"/>
          <w:szCs w:val="24"/>
          <w:lang w:val="en-US"/>
        </w:rPr>
      </w:pPr>
      <w:r>
        <w:rPr>
          <w:rFonts w:ascii="Times New Roman" w:hAnsi="Times New Roman"/>
          <w:sz w:val="24"/>
          <w:szCs w:val="24"/>
          <w:rtl w:val="0"/>
          <w:lang w:val="en-US"/>
        </w:rPr>
        <w:t>The average range of assets and the net amount of sales are measured through the process of assets turnover ratio.</w:t>
      </w:r>
    </w:p>
    <w:p>
      <w:pPr>
        <w:pStyle w:val="Normal2"/>
        <w:spacing w:before="200" w:line="360" w:lineRule="auto"/>
        <w:jc w:val="both"/>
        <w:rPr>
          <w:rFonts w:ascii="Times New Roman" w:cs="Times New Roman" w:hAnsi="Times New Roman" w:eastAsia="Times New Roman"/>
          <w:b w:val="1"/>
          <w:bCs w:val="1"/>
          <w:i w:val="1"/>
          <w:iCs w:val="1"/>
          <w:sz w:val="24"/>
          <w:szCs w:val="24"/>
          <w:lang w:val="en-US"/>
        </w:rPr>
      </w:pPr>
      <w:r>
        <w:rPr>
          <w:rFonts w:ascii="Times New Roman" w:hAnsi="Times New Roman"/>
          <w:b w:val="1"/>
          <w:bCs w:val="1"/>
          <w:i w:val="1"/>
          <w:iCs w:val="1"/>
          <w:sz w:val="24"/>
          <w:szCs w:val="24"/>
          <w:rtl w:val="0"/>
          <w:lang w:val="en-US"/>
        </w:rPr>
        <w:t>Replacement in values</w:t>
      </w:r>
    </w:p>
    <w:p>
      <w:pPr>
        <w:pStyle w:val="Normal2"/>
        <w:spacing w:before="200" w:line="360" w:lineRule="auto"/>
        <w:jc w:val="both"/>
        <w:rPr>
          <w:rFonts w:ascii="Times New Roman" w:cs="Times New Roman" w:hAnsi="Times New Roman" w:eastAsia="Times New Roman"/>
          <w:sz w:val="24"/>
          <w:szCs w:val="24"/>
          <w:lang w:val="en-US"/>
        </w:rPr>
      </w:pPr>
      <w:r>
        <w:rPr>
          <w:rFonts w:ascii="Times New Roman" w:hAnsi="Times New Roman"/>
          <w:sz w:val="24"/>
          <w:szCs w:val="24"/>
          <w:rtl w:val="0"/>
          <w:lang w:val="en-US"/>
        </w:rPr>
        <w:t xml:space="preserve">In the year 2019, the value of assets was 10087m and in the year 2020, it decreased to 9736m. The value of sales was 6441m in 2019 and in 2020 it increased to the rate to 6738m.  </w:t>
      </w:r>
    </w:p>
    <w:p>
      <w:pPr>
        <w:pStyle w:val="Normal2"/>
        <w:spacing w:before="200" w:line="360" w:lineRule="auto"/>
        <w:jc w:val="both"/>
        <w:rPr>
          <w:rFonts w:ascii="Times New Roman" w:cs="Times New Roman" w:hAnsi="Times New Roman" w:eastAsia="Times New Roman"/>
          <w:b w:val="1"/>
          <w:bCs w:val="1"/>
          <w:i w:val="1"/>
          <w:iCs w:val="1"/>
          <w:sz w:val="24"/>
          <w:szCs w:val="24"/>
          <w:lang w:val="en-US"/>
        </w:rPr>
      </w:pPr>
      <w:r>
        <w:rPr>
          <w:rFonts w:ascii="Times New Roman" w:hAnsi="Times New Roman"/>
          <w:b w:val="1"/>
          <w:bCs w:val="1"/>
          <w:i w:val="1"/>
          <w:iCs w:val="1"/>
          <w:sz w:val="24"/>
          <w:szCs w:val="24"/>
          <w:rtl w:val="0"/>
          <w:lang w:val="en-US"/>
        </w:rPr>
        <w:t>Balancing</w:t>
      </w:r>
    </w:p>
    <w:p>
      <w:pPr>
        <w:pStyle w:val="Normal2"/>
        <w:spacing w:before="200" w:line="360" w:lineRule="auto"/>
        <w:jc w:val="both"/>
        <w:rPr>
          <w:rFonts w:ascii="Times New Roman" w:cs="Times New Roman" w:hAnsi="Times New Roman" w:eastAsia="Times New Roman"/>
          <w:sz w:val="24"/>
          <w:szCs w:val="24"/>
          <w:lang w:val="en-US"/>
        </w:rPr>
      </w:pPr>
      <w:r>
        <w:rPr>
          <w:rFonts w:ascii="Times New Roman" w:hAnsi="Times New Roman"/>
          <w:sz w:val="24"/>
          <w:szCs w:val="24"/>
          <w:rtl w:val="0"/>
          <w:lang w:val="en-US"/>
        </w:rPr>
        <w:t>The higher value of sale in Choco plc increases up to the ratio of 64% in the year 2019 and 69% in 2020.</w:t>
      </w:r>
    </w:p>
    <w:p>
      <w:pPr>
        <w:pStyle w:val="Normal2"/>
        <w:spacing w:before="200" w:line="360" w:lineRule="auto"/>
        <w:jc w:val="both"/>
        <w:rPr>
          <w:rFonts w:ascii="Times New Roman" w:cs="Times New Roman" w:hAnsi="Times New Roman" w:eastAsia="Times New Roman"/>
          <w:b w:val="1"/>
          <w:bCs w:val="1"/>
          <w:i w:val="1"/>
          <w:iCs w:val="1"/>
          <w:sz w:val="24"/>
          <w:szCs w:val="24"/>
          <w:lang w:val="en-US"/>
        </w:rPr>
      </w:pPr>
      <w:r>
        <w:rPr>
          <w:rFonts w:ascii="Times New Roman" w:hAnsi="Times New Roman"/>
          <w:b w:val="1"/>
          <w:bCs w:val="1"/>
          <w:i w:val="1"/>
          <w:iCs w:val="1"/>
          <w:sz w:val="24"/>
          <w:szCs w:val="24"/>
          <w:rtl w:val="0"/>
          <w:lang w:val="en-US"/>
        </w:rPr>
        <w:t>The process to bring improvement</w:t>
      </w:r>
    </w:p>
    <w:p>
      <w:pPr>
        <w:pStyle w:val="Normal2"/>
        <w:spacing w:before="200" w:line="360" w:lineRule="auto"/>
        <w:jc w:val="both"/>
        <w:rPr>
          <w:rFonts w:ascii="Times New Roman" w:cs="Times New Roman" w:hAnsi="Times New Roman" w:eastAsia="Times New Roman"/>
          <w:sz w:val="24"/>
          <w:szCs w:val="24"/>
          <w:lang w:val="en-US"/>
        </w:rPr>
      </w:pPr>
      <w:r>
        <w:rPr>
          <w:rFonts w:ascii="Times New Roman" w:hAnsi="Times New Roman"/>
          <w:sz w:val="24"/>
          <w:szCs w:val="24"/>
          <w:rtl w:val="0"/>
          <w:lang w:val="en-US"/>
        </w:rPr>
        <w:t>Choco plc needs to improvise their holding of cash by increasing their capacity of the lease, in the process to improve the ratio for future aspects.</w:t>
      </w:r>
    </w:p>
    <w:p>
      <w:pPr>
        <w:pStyle w:val="Heading 2"/>
      </w:pPr>
      <w:bookmarkStart w:name="_Toc6" w:id="6"/>
      <w:r>
        <w:rPr>
          <w:rFonts w:cs="Arial Unicode MS" w:eastAsia="Arial Unicode MS"/>
          <w:rtl w:val="0"/>
          <w:lang w:val="en-US"/>
        </w:rPr>
        <w:t xml:space="preserve">b) Approach on the significant financial ratios </w:t>
      </w:r>
      <w:bookmarkEnd w:id="6"/>
    </w:p>
    <w:p>
      <w:pPr>
        <w:pStyle w:val="Normal2"/>
        <w:spacing w:before="200" w:line="360" w:lineRule="auto"/>
        <w:jc w:val="both"/>
        <w:rPr>
          <w:rFonts w:ascii="Times New Roman" w:cs="Times New Roman" w:hAnsi="Times New Roman" w:eastAsia="Times New Roman"/>
          <w:sz w:val="24"/>
          <w:szCs w:val="24"/>
          <w:lang w:val="en-US"/>
        </w:rPr>
      </w:pPr>
      <w:r>
        <w:rPr>
          <w:rFonts w:ascii="Times New Roman" w:hAnsi="Times New Roman"/>
          <w:sz w:val="24"/>
          <w:szCs w:val="24"/>
          <w:rtl w:val="0"/>
          <w:lang w:val="en-US"/>
        </w:rPr>
        <w:t>In the process of understanding the financial situation of the company Choco Plc, the analyses of the ratios have been provided. Through the process of evaluating the volume of the sales are seen to increase. This act has been considered a positive sign among the investors of the business (DICU, 2020). The business status of this company has several and foremost capabilities for creating income from the larger volumes of the organisation sales. However, as both the return of equity and the rate of return from the capital fund have increased during the year 2020, for that the investors have enjoyed their advantages. The rate of the beneficial sign is also stated in the analyses based on the company ratios. The mode of indication can be counted as the strong ability to overcome the liabilities based on the company</w:t>
      </w:r>
      <w:r>
        <w:rPr>
          <w:rFonts w:ascii="Times New Roman" w:hAnsi="Times New Roman" w:hint="default"/>
          <w:sz w:val="24"/>
          <w:szCs w:val="24"/>
          <w:rtl w:val="0"/>
          <w:lang w:val="en-US"/>
        </w:rPr>
        <w:t>’</w:t>
      </w:r>
      <w:r>
        <w:rPr>
          <w:rFonts w:ascii="Times New Roman" w:hAnsi="Times New Roman"/>
          <w:sz w:val="24"/>
          <w:szCs w:val="24"/>
          <w:rtl w:val="0"/>
          <w:lang w:val="en-US"/>
        </w:rPr>
        <w:t>s assets (Divaris, 2017). Choco Plc</w:t>
      </w:r>
      <w:r>
        <w:rPr>
          <w:rFonts w:ascii="Times New Roman" w:hAnsi="Times New Roman" w:hint="default"/>
          <w:sz w:val="24"/>
          <w:szCs w:val="24"/>
          <w:rtl w:val="0"/>
          <w:lang w:val="en-US"/>
        </w:rPr>
        <w:t>’</w:t>
      </w:r>
      <w:r>
        <w:rPr>
          <w:rFonts w:ascii="Times New Roman" w:hAnsi="Times New Roman"/>
          <w:sz w:val="24"/>
          <w:szCs w:val="24"/>
          <w:rtl w:val="0"/>
          <w:lang w:val="en-US"/>
        </w:rPr>
        <w:t>s business situation indicates a decreasing level in the coverage ratio, which is also a positive sign for the state of the organisation. In the values of gaining enough profit, the lower range in the ratio is also good feedback, as the reason for decreasing of the collection period that has been mentioned in the increased value.</w:t>
      </w:r>
    </w:p>
    <w:p>
      <w:pPr>
        <w:pStyle w:val="Heading"/>
      </w:pPr>
      <w:bookmarkStart w:name="_Toc7" w:id="7"/>
      <w:r>
        <w:rPr>
          <w:rFonts w:cs="Arial Unicode MS" w:eastAsia="Arial Unicode MS"/>
          <w:rtl w:val="0"/>
          <w:lang w:val="en-US"/>
        </w:rPr>
        <w:t xml:space="preserve">4. Conclusion </w:t>
      </w:r>
      <w:bookmarkEnd w:id="7"/>
    </w:p>
    <w:p>
      <w:pPr>
        <w:pStyle w:val="Normal1"/>
        <w:spacing w:line="360" w:lineRule="auto"/>
        <w:jc w:val="both"/>
        <w:rPr>
          <w:rFonts w:ascii="Times New Roman" w:cs="Times New Roman" w:hAnsi="Times New Roman" w:eastAsia="Times New Roman"/>
          <w:sz w:val="24"/>
          <w:szCs w:val="24"/>
          <w:lang w:val="en-US"/>
        </w:rPr>
      </w:pPr>
      <w:r>
        <w:rPr>
          <w:rFonts w:ascii="Times New Roman" w:hAnsi="Times New Roman"/>
          <w:sz w:val="24"/>
          <w:szCs w:val="24"/>
          <w:rtl w:val="0"/>
          <w:lang w:val="en-US"/>
        </w:rPr>
        <w:t>The assignment has covered several analyse which were based on the ratios and its description has demanded that the company Choco Plc must their business process through this policy. This analysis will be more beneficial for the state of the concerned company. In terms of crediting several policies, they need to focus more on bringing the policies with adequate strategies. Bring improvisation in the process of profit management of the accounting department of the company need to be more relevant and effective. Financial up-gradation in a company is vital for their upcoming years to bring several scopes to the organisation.</w:t>
      </w:r>
    </w:p>
    <w:p>
      <w:pPr>
        <w:pStyle w:val="Body"/>
      </w:pPr>
      <w:r>
        <w:rPr>
          <w:rFonts w:ascii="Arial Unicode MS" w:cs="Arial Unicode MS" w:hAnsi="Arial Unicode MS" w:eastAsia="Arial Unicode MS"/>
          <w:b w:val="0"/>
          <w:bCs w:val="0"/>
          <w:i w:val="0"/>
          <w:iCs w:val="0"/>
          <w:sz w:val="24"/>
          <w:szCs w:val="24"/>
          <w:lang w:val="en-US"/>
        </w:rPr>
        <w:br w:type="page"/>
      </w:r>
    </w:p>
    <w:p>
      <w:pPr>
        <w:pStyle w:val="Heading"/>
      </w:pPr>
      <w:bookmarkStart w:name="_Toc8" w:id="8"/>
      <w:r>
        <w:rPr>
          <w:rFonts w:cs="Arial Unicode MS" w:eastAsia="Arial Unicode MS"/>
          <w:rtl w:val="0"/>
          <w:lang w:val="en-US"/>
        </w:rPr>
        <w:t>Reference list</w:t>
      </w:r>
      <w:bookmarkEnd w:id="8"/>
    </w:p>
    <w:p>
      <w:pPr>
        <w:pStyle w:val="Body"/>
        <w:spacing w:before="24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Journals:</w:t>
      </w:r>
    </w:p>
    <w:p>
      <w:pPr>
        <w:pStyle w:val="Body"/>
        <w:spacing w:before="240"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Abate, G., Bonafini, T. and Ferrari, P., 2019. Fundamentals-weighting vs. Capitalization-weighting: An Empirical Comparison.</w:t>
      </w:r>
    </w:p>
    <w:p>
      <w:pPr>
        <w:pStyle w:val="Body"/>
        <w:spacing w:before="240"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Alborov, R.A., Kontsevaya, S.M., Klychova, G.S. and Kuznetsovd, V.P., 2017. The development of management and strategic management accounting in agriculture.</w:t>
      </w:r>
      <w:r>
        <w:rPr>
          <w:rFonts w:ascii="Times New Roman" w:hAnsi="Times New Roman" w:hint="default"/>
          <w:sz w:val="24"/>
          <w:szCs w:val="24"/>
          <w:rtl w:val="0"/>
          <w:lang w:val="en-US"/>
        </w:rPr>
        <w:t> </w:t>
      </w:r>
      <w:r>
        <w:rPr>
          <w:rFonts w:ascii="Times New Roman" w:hAnsi="Times New Roman"/>
          <w:i w:val="1"/>
          <w:iCs w:val="1"/>
          <w:sz w:val="24"/>
          <w:szCs w:val="24"/>
          <w:rtl w:val="0"/>
          <w:lang w:val="en-US"/>
        </w:rPr>
        <w:t>Journal of engineering and applied sciences</w:t>
      </w:r>
      <w:r>
        <w:rPr>
          <w:rFonts w:ascii="Times New Roman" w:hAnsi="Times New Roman"/>
          <w:sz w:val="24"/>
          <w:szCs w:val="24"/>
          <w:rtl w:val="0"/>
          <w:lang w:val="en-US"/>
        </w:rPr>
        <w:t>,</w:t>
      </w:r>
      <w:r>
        <w:rPr>
          <w:rFonts w:ascii="Times New Roman" w:hAnsi="Times New Roman" w:hint="default"/>
          <w:sz w:val="24"/>
          <w:szCs w:val="24"/>
          <w:rtl w:val="0"/>
          <w:lang w:val="en-US"/>
        </w:rPr>
        <w:t> </w:t>
      </w:r>
      <w:r>
        <w:rPr>
          <w:rFonts w:ascii="Times New Roman" w:hAnsi="Times New Roman"/>
          <w:i w:val="1"/>
          <w:iCs w:val="1"/>
          <w:sz w:val="24"/>
          <w:szCs w:val="24"/>
          <w:rtl w:val="0"/>
          <w:lang w:val="en-US"/>
        </w:rPr>
        <w:t>12</w:t>
      </w:r>
      <w:r>
        <w:rPr>
          <w:rFonts w:ascii="Times New Roman" w:hAnsi="Times New Roman"/>
          <w:sz w:val="24"/>
          <w:szCs w:val="24"/>
          <w:rtl w:val="0"/>
          <w:lang w:val="en-US"/>
        </w:rPr>
        <w:t>(19), pp.4979-4984.</w:t>
      </w:r>
    </w:p>
    <w:p>
      <w:pPr>
        <w:pStyle w:val="Body"/>
        <w:spacing w:before="240"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DICU, L.R., 2020. COURSE OUTLINE 2016-2017 COURSE TITLE FUNDAMENTALS OF ACCOUNTING CODE: BA112.</w:t>
      </w:r>
    </w:p>
    <w:p>
      <w:pPr>
        <w:pStyle w:val="Body"/>
        <w:spacing w:before="240"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Divaris, K., 2017. Fundamentals of precision medicine.</w:t>
      </w:r>
      <w:r>
        <w:rPr>
          <w:rFonts w:ascii="Times New Roman" w:hAnsi="Times New Roman" w:hint="default"/>
          <w:sz w:val="24"/>
          <w:szCs w:val="24"/>
          <w:rtl w:val="0"/>
          <w:lang w:val="en-US"/>
        </w:rPr>
        <w:t> </w:t>
      </w:r>
      <w:r>
        <w:rPr>
          <w:rFonts w:ascii="Times New Roman" w:hAnsi="Times New Roman"/>
          <w:i w:val="1"/>
          <w:iCs w:val="1"/>
          <w:sz w:val="24"/>
          <w:szCs w:val="24"/>
          <w:rtl w:val="0"/>
          <w:lang w:val="en-US"/>
        </w:rPr>
        <w:t>Compendium of continuing education in dentistry (Jamesburg, NJ: 1995)</w:t>
      </w:r>
      <w:r>
        <w:rPr>
          <w:rFonts w:ascii="Times New Roman" w:hAnsi="Times New Roman"/>
          <w:sz w:val="24"/>
          <w:szCs w:val="24"/>
          <w:rtl w:val="0"/>
          <w:lang w:val="en-US"/>
        </w:rPr>
        <w:t>,</w:t>
      </w:r>
      <w:r>
        <w:rPr>
          <w:rFonts w:ascii="Times New Roman" w:hAnsi="Times New Roman" w:hint="default"/>
          <w:sz w:val="24"/>
          <w:szCs w:val="24"/>
          <w:rtl w:val="0"/>
          <w:lang w:val="en-US"/>
        </w:rPr>
        <w:t> </w:t>
      </w:r>
      <w:r>
        <w:rPr>
          <w:rFonts w:ascii="Times New Roman" w:hAnsi="Times New Roman"/>
          <w:i w:val="1"/>
          <w:iCs w:val="1"/>
          <w:sz w:val="24"/>
          <w:szCs w:val="24"/>
          <w:rtl w:val="0"/>
          <w:lang w:val="en-US"/>
        </w:rPr>
        <w:t>38</w:t>
      </w:r>
      <w:r>
        <w:rPr>
          <w:rFonts w:ascii="Times New Roman" w:hAnsi="Times New Roman"/>
          <w:sz w:val="24"/>
          <w:szCs w:val="24"/>
          <w:rtl w:val="0"/>
          <w:lang w:val="en-US"/>
        </w:rPr>
        <w:t>(8 Suppl), p.30.</w:t>
      </w:r>
    </w:p>
    <w:p>
      <w:pPr>
        <w:pStyle w:val="Body"/>
        <w:spacing w:before="240"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Huo, T., Ren, H., Zhang, X., Cai, W., Feng, W., Zhou, N. and Wang, X., 2018. China's energy consumption in the building sector: </w:t>
      </w:r>
      <w:r>
        <w:rPr>
          <w:rFonts w:ascii="Times New Roman" w:hAnsi="Times New Roman"/>
          <w:i w:val="1"/>
          <w:iCs w:val="1"/>
          <w:sz w:val="24"/>
          <w:szCs w:val="24"/>
          <w:rtl w:val="0"/>
          <w:lang w:val="en-US"/>
        </w:rPr>
        <w:t>A Statistical Yearbook-Energy Balance Sheet based splitting method. Journal of cleaner production, 185,</w:t>
      </w:r>
      <w:r>
        <w:rPr>
          <w:rFonts w:ascii="Times New Roman" w:hAnsi="Times New Roman"/>
          <w:sz w:val="24"/>
          <w:szCs w:val="24"/>
          <w:rtl w:val="0"/>
          <w:lang w:val="en-US"/>
        </w:rPr>
        <w:t xml:space="preserve"> pp.665-679.</w:t>
      </w:r>
    </w:p>
    <w:p>
      <w:pPr>
        <w:pStyle w:val="Body"/>
        <w:spacing w:before="240" w:line="360" w:lineRule="auto"/>
        <w:jc w:val="both"/>
      </w:pPr>
      <w:r>
        <w:rPr>
          <w:rFonts w:ascii="Times New Roman" w:hAnsi="Times New Roman"/>
          <w:sz w:val="24"/>
          <w:szCs w:val="24"/>
          <w:rtl w:val="0"/>
          <w:lang w:val="en-US"/>
        </w:rPr>
        <w:t>Kumhof, M. and Noone, C., 2018. Central bank digital currencies-design principles and balance sheet implications.</w:t>
      </w:r>
      <w:r>
        <w:rPr>
          <w:rFonts w:ascii="Times New Roman" w:cs="Times New Roman" w:hAnsi="Times New Roman" w:eastAsia="Times New Roman"/>
          <w:sz w:val="24"/>
          <w:szCs w:val="24"/>
        </w:rPr>
      </w:r>
    </w:p>
    <w:sectPr>
      <w:headerReference w:type="default" r:id="rId4"/>
      <w:footerReference w:type="default" r:id="rId5"/>
      <w:pgSz w:w="12240" w:h="15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right"/>
    </w:pP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paragraph" w:styleId="TOC Heading">
    <w:name w:val="TOC Heading"/>
    <w:next w:val="Body"/>
    <w:pPr>
      <w:keepNext w:val="1"/>
      <w:keepLines w:val="1"/>
      <w:pageBreakBefore w:val="0"/>
      <w:widowControl w:val="1"/>
      <w:shd w:val="clear" w:color="auto" w:fill="auto"/>
      <w:suppressAutoHyphens w:val="0"/>
      <w:bidi w:val="0"/>
      <w:spacing w:before="480" w:after="0" w:line="276" w:lineRule="auto"/>
      <w:ind w:left="0" w:right="0" w:firstLine="0"/>
      <w:jc w:val="left"/>
      <w:outlineLvl w:val="9"/>
    </w:pPr>
    <w:rPr>
      <w:rFonts w:ascii="Calibri" w:cs="Arial Unicode MS" w:hAnsi="Calibri" w:eastAsia="Arial Unicode MS"/>
      <w:b w:val="1"/>
      <w:bCs w:val="1"/>
      <w:i w:val="0"/>
      <w:iCs w:val="0"/>
      <w:caps w:val="0"/>
      <w:smallCaps w:val="0"/>
      <w:strike w:val="0"/>
      <w:dstrike w:val="0"/>
      <w:outline w:val="0"/>
      <w:color w:val="365f91"/>
      <w:spacing w:val="0"/>
      <w:kern w:val="0"/>
      <w:position w:val="0"/>
      <w:sz w:val="28"/>
      <w:szCs w:val="28"/>
      <w:u w:val="none" w:color="365f91"/>
      <w:shd w:val="nil" w:color="auto" w:fill="auto"/>
      <w:vertAlign w:val="baseline"/>
      <w:lang w:val="en-US"/>
      <w14:textFill>
        <w14:solidFill>
          <w14:srgbClr w14:val="365F91"/>
        </w14:solidFill>
      </w14:textFill>
    </w:rPr>
  </w:style>
  <w:style w:type="paragraph" w:styleId="TOC 1">
    <w:name w:val="TOC 1"/>
    <w:next w:val="TOC 1"/>
    <w:pPr>
      <w:keepNext w:val="0"/>
      <w:keepLines w:val="0"/>
      <w:pageBreakBefore w:val="0"/>
      <w:widowControl w:val="1"/>
      <w:shd w:val="clear" w:color="auto" w:fill="auto"/>
      <w:tabs>
        <w:tab w:val="right" w:pos="9340" w:leader="dot"/>
      </w:tabs>
      <w:suppressAutoHyphens w:val="0"/>
      <w:bidi w:val="0"/>
      <w:spacing w:before="0" w:after="240" w:line="360" w:lineRule="auto"/>
      <w:ind w:left="0" w:right="0" w:firstLine="0"/>
      <w:jc w:val="both"/>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w:name w:val="Heading"/>
    <w:next w:val="Normal1"/>
    <w:pPr>
      <w:keepNext w:val="1"/>
      <w:keepLines w:val="1"/>
      <w:pageBreakBefore w:val="0"/>
      <w:widowControl w:val="1"/>
      <w:shd w:val="clear" w:color="auto" w:fill="auto"/>
      <w:suppressAutoHyphens w:val="0"/>
      <w:bidi w:val="0"/>
      <w:spacing w:before="400" w:after="120" w:line="360" w:lineRule="auto"/>
      <w:ind w:left="0" w:right="0" w:firstLine="0"/>
      <w:jc w:val="both"/>
      <w:outlineLvl w:val="0"/>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14:textOutline>
        <w14:noFill/>
      </w14:textOutline>
      <w14:textFill>
        <w14:solidFill>
          <w14:srgbClr w14:val="000000"/>
        </w14:solidFill>
      </w14:textFill>
    </w:rPr>
  </w:style>
  <w:style w:type="paragraph" w:styleId="Normal1">
    <w:name w:val="Normal1"/>
    <w:next w:val="Normal1"/>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TOC 2">
    <w:name w:val="TOC 2"/>
    <w:next w:val="TOC 2"/>
    <w:pPr>
      <w:keepNext w:val="0"/>
      <w:keepLines w:val="0"/>
      <w:pageBreakBefore w:val="0"/>
      <w:widowControl w:val="1"/>
      <w:shd w:val="clear" w:color="auto" w:fill="auto"/>
      <w:tabs>
        <w:tab w:val="right" w:pos="9340" w:leader="dot"/>
      </w:tabs>
      <w:suppressAutoHyphens w:val="0"/>
      <w:bidi w:val="0"/>
      <w:spacing w:before="0" w:after="240" w:line="360" w:lineRule="auto"/>
      <w:ind w:left="220" w:right="0" w:firstLine="0"/>
      <w:jc w:val="both"/>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2">
    <w:name w:val="Heading 2"/>
    <w:next w:val="Normal1"/>
    <w:pPr>
      <w:keepNext w:val="1"/>
      <w:keepLines w:val="1"/>
      <w:pageBreakBefore w:val="0"/>
      <w:widowControl w:val="1"/>
      <w:shd w:val="clear" w:color="auto" w:fill="auto"/>
      <w:suppressAutoHyphens w:val="0"/>
      <w:bidi w:val="0"/>
      <w:spacing w:before="360" w:after="120" w:line="360" w:lineRule="auto"/>
      <w:ind w:left="0" w:right="0" w:firstLine="0"/>
      <w:jc w:val="both"/>
      <w:outlineLvl w:val="1"/>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6"/>
      <w:szCs w:val="26"/>
      <w:u w:val="none" w:color="000000"/>
      <w:shd w:val="nil" w:color="auto" w:fill="auto"/>
      <w:vertAlign w:val="baseline"/>
      <w14:textOutline>
        <w14:noFill/>
      </w14:textOutline>
      <w14:textFill>
        <w14:solidFill>
          <w14:srgbClr w14:val="000000"/>
        </w14:solidFill>
      </w14:textFill>
    </w:rPr>
  </w:style>
  <w:style w:type="paragraph" w:styleId="Normal2">
    <w:name w:val="Normal2"/>
    <w:next w:val="Normal2"/>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