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0C9795" w14:textId="77777777" w:rsidR="004E562B" w:rsidRDefault="004E562B" w:rsidP="004E562B"/>
    <w:p w14:paraId="5D929851" w14:textId="59038C58" w:rsidR="00A03341" w:rsidRPr="00184208" w:rsidRDefault="00A03341" w:rsidP="00A03341">
      <w:pPr>
        <w:pStyle w:val="Title"/>
        <w:jc w:val="center"/>
        <w:rPr>
          <w:sz w:val="52"/>
          <w:szCs w:val="52"/>
        </w:rPr>
      </w:pPr>
      <w:r w:rsidRPr="00184208">
        <w:rPr>
          <w:sz w:val="52"/>
          <w:szCs w:val="52"/>
        </w:rPr>
        <w:t>Management</w:t>
      </w:r>
      <w:r w:rsidRPr="00184208">
        <w:rPr>
          <w:sz w:val="52"/>
          <w:szCs w:val="52"/>
        </w:rPr>
        <w:t xml:space="preserve"> </w:t>
      </w:r>
      <w:r w:rsidRPr="00184208">
        <w:rPr>
          <w:sz w:val="52"/>
          <w:szCs w:val="52"/>
        </w:rPr>
        <w:t>Economics</w:t>
      </w:r>
      <w:r w:rsidR="00184208">
        <w:rPr>
          <w:sz w:val="52"/>
          <w:szCs w:val="52"/>
        </w:rPr>
        <w:t xml:space="preserve"> LCBB50</w:t>
      </w:r>
      <w:r w:rsidRPr="00184208">
        <w:rPr>
          <w:sz w:val="52"/>
          <w:szCs w:val="52"/>
        </w:rPr>
        <w:t>08</w:t>
      </w:r>
    </w:p>
    <w:p w14:paraId="15797542" w14:textId="369D0413" w:rsidR="00A03341" w:rsidRPr="00184208" w:rsidRDefault="00A03341" w:rsidP="004E562B">
      <w:pPr>
        <w:pStyle w:val="Title"/>
        <w:jc w:val="center"/>
        <w:rPr>
          <w:sz w:val="52"/>
          <w:szCs w:val="52"/>
        </w:rPr>
      </w:pPr>
      <w:r w:rsidRPr="00184208">
        <w:rPr>
          <w:sz w:val="52"/>
          <w:szCs w:val="52"/>
        </w:rPr>
        <w:t>Assessment</w:t>
      </w:r>
      <w:r w:rsidRPr="00184208">
        <w:rPr>
          <w:sz w:val="52"/>
          <w:szCs w:val="52"/>
        </w:rPr>
        <w:t xml:space="preserve"> 1 </w:t>
      </w:r>
    </w:p>
    <w:p w14:paraId="428A0508" w14:textId="77777777" w:rsidR="00A03341" w:rsidRDefault="00A03341" w:rsidP="00A03341"/>
    <w:p w14:paraId="43EFDCEC" w14:textId="77777777" w:rsidR="00A03341" w:rsidRPr="00A03341" w:rsidRDefault="00A03341" w:rsidP="00A03341"/>
    <w:p w14:paraId="4B4A7813" w14:textId="77777777" w:rsidR="00A03341" w:rsidRPr="00A03341" w:rsidRDefault="00A03341" w:rsidP="00A03341"/>
    <w:p w14:paraId="148BFDB1" w14:textId="64717F69" w:rsidR="004E562B" w:rsidRPr="00184208" w:rsidRDefault="004E562B" w:rsidP="004E562B">
      <w:pPr>
        <w:pStyle w:val="Title"/>
        <w:jc w:val="center"/>
        <w:rPr>
          <w:b/>
          <w:sz w:val="40"/>
          <w:szCs w:val="40"/>
        </w:rPr>
      </w:pPr>
      <w:r w:rsidRPr="00184208">
        <w:rPr>
          <w:b/>
          <w:sz w:val="40"/>
          <w:szCs w:val="40"/>
        </w:rPr>
        <w:t>Analyzing Demand Dynamics and Pricing Strategies for Rolls-Royce Propulsion Solutions in the Aerospace Industry</w:t>
      </w:r>
    </w:p>
    <w:p w14:paraId="3785E987" w14:textId="77777777" w:rsidR="004E562B" w:rsidRPr="00A03341" w:rsidRDefault="004E562B" w:rsidP="004E562B">
      <w:pPr>
        <w:rPr>
          <w:sz w:val="48"/>
          <w:szCs w:val="48"/>
        </w:rPr>
      </w:pPr>
    </w:p>
    <w:p w14:paraId="2B316654" w14:textId="77777777" w:rsidR="004E562B" w:rsidRDefault="004E562B" w:rsidP="004E562B"/>
    <w:p w14:paraId="31E7AA95" w14:textId="77777777" w:rsidR="004E562B" w:rsidRDefault="004E562B" w:rsidP="004E562B"/>
    <w:p w14:paraId="3B86E05B" w14:textId="77777777" w:rsidR="004E562B" w:rsidRDefault="004E562B" w:rsidP="004E562B">
      <w:bookmarkStart w:id="0" w:name="_GoBack"/>
      <w:bookmarkEnd w:id="0"/>
    </w:p>
    <w:p w14:paraId="502C0FDE" w14:textId="77777777" w:rsidR="004E562B" w:rsidRDefault="004E562B" w:rsidP="004E562B"/>
    <w:p w14:paraId="7EABB252" w14:textId="77777777" w:rsidR="004E562B" w:rsidRDefault="004E562B" w:rsidP="004E562B"/>
    <w:p w14:paraId="36D08749" w14:textId="77777777" w:rsidR="004E562B" w:rsidRDefault="004E562B" w:rsidP="004E562B"/>
    <w:p w14:paraId="2D238A02" w14:textId="77777777" w:rsidR="004E562B" w:rsidRDefault="004E562B" w:rsidP="004E562B"/>
    <w:p w14:paraId="014EEE4A" w14:textId="77777777" w:rsidR="004E562B" w:rsidRDefault="004E562B" w:rsidP="004E562B"/>
    <w:p w14:paraId="5A109398" w14:textId="77777777" w:rsidR="004E562B" w:rsidRDefault="004E562B" w:rsidP="004E562B"/>
    <w:p w14:paraId="61C4555E" w14:textId="77777777" w:rsidR="004E562B" w:rsidRDefault="004E562B" w:rsidP="004E562B"/>
    <w:p w14:paraId="196231C7" w14:textId="77777777" w:rsidR="004E562B" w:rsidRDefault="004E562B" w:rsidP="004E562B"/>
    <w:p w14:paraId="4475032E" w14:textId="77777777" w:rsidR="004E562B" w:rsidRDefault="004E562B" w:rsidP="004E562B"/>
    <w:p w14:paraId="3D4B0E68" w14:textId="77777777" w:rsidR="004E562B" w:rsidRDefault="004E562B" w:rsidP="004E562B"/>
    <w:p w14:paraId="284555CA" w14:textId="77777777" w:rsidR="004E562B" w:rsidRDefault="004E562B" w:rsidP="004E562B"/>
    <w:p w14:paraId="1662A0B9" w14:textId="77777777" w:rsidR="004E562B" w:rsidRDefault="004E562B" w:rsidP="004E562B"/>
    <w:p w14:paraId="3D6DBBBD" w14:textId="77777777" w:rsidR="004E562B" w:rsidRDefault="004E562B" w:rsidP="004E562B"/>
    <w:p w14:paraId="55899510" w14:textId="77777777" w:rsidR="004E562B" w:rsidRDefault="004E562B" w:rsidP="004E562B"/>
    <w:p w14:paraId="1CB9F9B1" w14:textId="77777777" w:rsidR="004E562B" w:rsidRDefault="004E562B" w:rsidP="004E562B"/>
    <w:p w14:paraId="6FC4D6EA" w14:textId="77777777" w:rsidR="004E562B" w:rsidRDefault="004E562B" w:rsidP="004E562B"/>
    <w:p w14:paraId="5AE6046F" w14:textId="77777777" w:rsidR="004E562B" w:rsidRDefault="004E562B" w:rsidP="004E562B"/>
    <w:p w14:paraId="05199AC1" w14:textId="77777777" w:rsidR="004E562B" w:rsidRDefault="004E562B" w:rsidP="004E562B"/>
    <w:p w14:paraId="4FBD654B" w14:textId="77777777" w:rsidR="004E562B" w:rsidRDefault="004E562B" w:rsidP="004E562B"/>
    <w:p w14:paraId="4F40B405" w14:textId="77777777" w:rsidR="004E562B" w:rsidRDefault="004E562B" w:rsidP="004E562B"/>
    <w:p w14:paraId="3DFC8D86" w14:textId="77777777" w:rsidR="004E562B" w:rsidRDefault="004E562B" w:rsidP="004E562B"/>
    <w:p w14:paraId="4C61D1C1" w14:textId="77777777" w:rsidR="004E562B" w:rsidRDefault="004E562B" w:rsidP="004E562B"/>
    <w:p w14:paraId="4AE9F57F" w14:textId="77777777" w:rsidR="004E562B" w:rsidRDefault="004E562B" w:rsidP="004E562B"/>
    <w:sdt>
      <w:sdtPr>
        <w:rPr>
          <w:rFonts w:asciiTheme="minorHAnsi" w:eastAsiaTheme="minorHAnsi" w:hAnsiTheme="minorHAnsi" w:cstheme="minorBidi"/>
          <w:color w:val="auto"/>
          <w:kern w:val="2"/>
          <w:sz w:val="22"/>
          <w:szCs w:val="22"/>
          <w:lang w:val="en-GB"/>
          <w14:ligatures w14:val="standardContextual"/>
        </w:rPr>
        <w:id w:val="1110782029"/>
        <w:docPartObj>
          <w:docPartGallery w:val="Table of Contents"/>
          <w:docPartUnique/>
        </w:docPartObj>
      </w:sdtPr>
      <w:sdtEndPr>
        <w:rPr>
          <w:b/>
          <w:bCs/>
          <w:noProof/>
        </w:rPr>
      </w:sdtEndPr>
      <w:sdtContent>
        <w:p w14:paraId="1F4CD15B" w14:textId="79D5FB68" w:rsidR="004E562B" w:rsidRDefault="004E562B">
          <w:pPr>
            <w:pStyle w:val="TOCHeading"/>
          </w:pPr>
          <w:r>
            <w:t>Contents</w:t>
          </w:r>
        </w:p>
        <w:p w14:paraId="0846F76F" w14:textId="327B842D" w:rsidR="004E562B" w:rsidRDefault="004E562B">
          <w:pPr>
            <w:pStyle w:val="TOC1"/>
            <w:tabs>
              <w:tab w:val="right" w:leader="dot" w:pos="9016"/>
            </w:tabs>
            <w:rPr>
              <w:noProof/>
            </w:rPr>
          </w:pPr>
          <w:r>
            <w:fldChar w:fldCharType="begin"/>
          </w:r>
          <w:r>
            <w:instrText xml:space="preserve"> TOC \o "1-3" \h \z \u </w:instrText>
          </w:r>
          <w:r>
            <w:fldChar w:fldCharType="separate"/>
          </w:r>
          <w:hyperlink w:anchor="_Toc144414282" w:history="1">
            <w:r w:rsidRPr="001E012A">
              <w:rPr>
                <w:rStyle w:val="Hyperlink"/>
                <w:noProof/>
              </w:rPr>
              <w:t>Section 1: Introduction</w:t>
            </w:r>
            <w:r>
              <w:rPr>
                <w:noProof/>
                <w:webHidden/>
              </w:rPr>
              <w:tab/>
            </w:r>
            <w:r>
              <w:rPr>
                <w:noProof/>
                <w:webHidden/>
              </w:rPr>
              <w:fldChar w:fldCharType="begin"/>
            </w:r>
            <w:r>
              <w:rPr>
                <w:noProof/>
                <w:webHidden/>
              </w:rPr>
              <w:instrText xml:space="preserve"> PAGEREF _Toc144414282 \h </w:instrText>
            </w:r>
            <w:r>
              <w:rPr>
                <w:noProof/>
                <w:webHidden/>
              </w:rPr>
            </w:r>
            <w:r>
              <w:rPr>
                <w:noProof/>
                <w:webHidden/>
              </w:rPr>
              <w:fldChar w:fldCharType="separate"/>
            </w:r>
            <w:r>
              <w:rPr>
                <w:noProof/>
                <w:webHidden/>
              </w:rPr>
              <w:t>3</w:t>
            </w:r>
            <w:r>
              <w:rPr>
                <w:noProof/>
                <w:webHidden/>
              </w:rPr>
              <w:fldChar w:fldCharType="end"/>
            </w:r>
          </w:hyperlink>
        </w:p>
        <w:p w14:paraId="258F1F43" w14:textId="6D1B00AC" w:rsidR="004E562B" w:rsidRDefault="00297263">
          <w:pPr>
            <w:pStyle w:val="TOC1"/>
            <w:tabs>
              <w:tab w:val="right" w:leader="dot" w:pos="9016"/>
            </w:tabs>
            <w:rPr>
              <w:noProof/>
            </w:rPr>
          </w:pPr>
          <w:hyperlink w:anchor="_Toc144414283" w:history="1">
            <w:r w:rsidR="004E562B" w:rsidRPr="001E012A">
              <w:rPr>
                <w:rStyle w:val="Hyperlink"/>
                <w:noProof/>
              </w:rPr>
              <w:t>Section 2.1: Price of Substitutes</w:t>
            </w:r>
            <w:r w:rsidR="004E562B">
              <w:rPr>
                <w:noProof/>
                <w:webHidden/>
              </w:rPr>
              <w:tab/>
            </w:r>
            <w:r w:rsidR="004E562B">
              <w:rPr>
                <w:noProof/>
                <w:webHidden/>
              </w:rPr>
              <w:fldChar w:fldCharType="begin"/>
            </w:r>
            <w:r w:rsidR="004E562B">
              <w:rPr>
                <w:noProof/>
                <w:webHidden/>
              </w:rPr>
              <w:instrText xml:space="preserve"> PAGEREF _Toc144414283 \h </w:instrText>
            </w:r>
            <w:r w:rsidR="004E562B">
              <w:rPr>
                <w:noProof/>
                <w:webHidden/>
              </w:rPr>
            </w:r>
            <w:r w:rsidR="004E562B">
              <w:rPr>
                <w:noProof/>
                <w:webHidden/>
              </w:rPr>
              <w:fldChar w:fldCharType="separate"/>
            </w:r>
            <w:r w:rsidR="004E562B">
              <w:rPr>
                <w:noProof/>
                <w:webHidden/>
              </w:rPr>
              <w:t>3</w:t>
            </w:r>
            <w:r w:rsidR="004E562B">
              <w:rPr>
                <w:noProof/>
                <w:webHidden/>
              </w:rPr>
              <w:fldChar w:fldCharType="end"/>
            </w:r>
          </w:hyperlink>
        </w:p>
        <w:p w14:paraId="7EAF212E" w14:textId="139172A3" w:rsidR="004E562B" w:rsidRDefault="00297263">
          <w:pPr>
            <w:pStyle w:val="TOC1"/>
            <w:tabs>
              <w:tab w:val="right" w:leader="dot" w:pos="9016"/>
            </w:tabs>
            <w:rPr>
              <w:noProof/>
            </w:rPr>
          </w:pPr>
          <w:hyperlink w:anchor="_Toc144414284" w:history="1">
            <w:r w:rsidR="004E562B" w:rsidRPr="001E012A">
              <w:rPr>
                <w:rStyle w:val="Hyperlink"/>
                <w:noProof/>
              </w:rPr>
              <w:t>Section 2.1: Price of Complements</w:t>
            </w:r>
            <w:r w:rsidR="004E562B">
              <w:rPr>
                <w:noProof/>
                <w:webHidden/>
              </w:rPr>
              <w:tab/>
            </w:r>
            <w:r w:rsidR="004E562B">
              <w:rPr>
                <w:noProof/>
                <w:webHidden/>
              </w:rPr>
              <w:fldChar w:fldCharType="begin"/>
            </w:r>
            <w:r w:rsidR="004E562B">
              <w:rPr>
                <w:noProof/>
                <w:webHidden/>
              </w:rPr>
              <w:instrText xml:space="preserve"> PAGEREF _Toc144414284 \h </w:instrText>
            </w:r>
            <w:r w:rsidR="004E562B">
              <w:rPr>
                <w:noProof/>
                <w:webHidden/>
              </w:rPr>
            </w:r>
            <w:r w:rsidR="004E562B">
              <w:rPr>
                <w:noProof/>
                <w:webHidden/>
              </w:rPr>
              <w:fldChar w:fldCharType="separate"/>
            </w:r>
            <w:r w:rsidR="004E562B">
              <w:rPr>
                <w:noProof/>
                <w:webHidden/>
              </w:rPr>
              <w:t>3</w:t>
            </w:r>
            <w:r w:rsidR="004E562B">
              <w:rPr>
                <w:noProof/>
                <w:webHidden/>
              </w:rPr>
              <w:fldChar w:fldCharType="end"/>
            </w:r>
          </w:hyperlink>
        </w:p>
        <w:p w14:paraId="1F98EBBB" w14:textId="2DED5DB1" w:rsidR="004E562B" w:rsidRDefault="00297263">
          <w:pPr>
            <w:pStyle w:val="TOC1"/>
            <w:tabs>
              <w:tab w:val="right" w:leader="dot" w:pos="9016"/>
            </w:tabs>
            <w:rPr>
              <w:noProof/>
            </w:rPr>
          </w:pPr>
          <w:hyperlink w:anchor="_Toc144414285" w:history="1">
            <w:r w:rsidR="004E562B" w:rsidRPr="001E012A">
              <w:rPr>
                <w:rStyle w:val="Hyperlink"/>
                <w:noProof/>
              </w:rPr>
              <w:t>Section 2.1: Consumer Income</w:t>
            </w:r>
            <w:r w:rsidR="004E562B">
              <w:rPr>
                <w:noProof/>
                <w:webHidden/>
              </w:rPr>
              <w:tab/>
            </w:r>
            <w:r w:rsidR="004E562B">
              <w:rPr>
                <w:noProof/>
                <w:webHidden/>
              </w:rPr>
              <w:fldChar w:fldCharType="begin"/>
            </w:r>
            <w:r w:rsidR="004E562B">
              <w:rPr>
                <w:noProof/>
                <w:webHidden/>
              </w:rPr>
              <w:instrText xml:space="preserve"> PAGEREF _Toc144414285 \h </w:instrText>
            </w:r>
            <w:r w:rsidR="004E562B">
              <w:rPr>
                <w:noProof/>
                <w:webHidden/>
              </w:rPr>
            </w:r>
            <w:r w:rsidR="004E562B">
              <w:rPr>
                <w:noProof/>
                <w:webHidden/>
              </w:rPr>
              <w:fldChar w:fldCharType="separate"/>
            </w:r>
            <w:r w:rsidR="004E562B">
              <w:rPr>
                <w:noProof/>
                <w:webHidden/>
              </w:rPr>
              <w:t>4</w:t>
            </w:r>
            <w:r w:rsidR="004E562B">
              <w:rPr>
                <w:noProof/>
                <w:webHidden/>
              </w:rPr>
              <w:fldChar w:fldCharType="end"/>
            </w:r>
          </w:hyperlink>
        </w:p>
        <w:p w14:paraId="48982EE3" w14:textId="617C8B4C" w:rsidR="004E562B" w:rsidRDefault="00297263">
          <w:pPr>
            <w:pStyle w:val="TOC1"/>
            <w:tabs>
              <w:tab w:val="right" w:leader="dot" w:pos="9016"/>
            </w:tabs>
            <w:rPr>
              <w:noProof/>
            </w:rPr>
          </w:pPr>
          <w:hyperlink w:anchor="_Toc144414286" w:history="1">
            <w:r w:rsidR="004E562B" w:rsidRPr="001E012A">
              <w:rPr>
                <w:rStyle w:val="Hyperlink"/>
                <w:noProof/>
              </w:rPr>
              <w:t>Section 2.1: Consumer Tastes &amp; Preferences</w:t>
            </w:r>
            <w:r w:rsidR="004E562B">
              <w:rPr>
                <w:noProof/>
                <w:webHidden/>
              </w:rPr>
              <w:tab/>
            </w:r>
            <w:r w:rsidR="004E562B">
              <w:rPr>
                <w:noProof/>
                <w:webHidden/>
              </w:rPr>
              <w:fldChar w:fldCharType="begin"/>
            </w:r>
            <w:r w:rsidR="004E562B">
              <w:rPr>
                <w:noProof/>
                <w:webHidden/>
              </w:rPr>
              <w:instrText xml:space="preserve"> PAGEREF _Toc144414286 \h </w:instrText>
            </w:r>
            <w:r w:rsidR="004E562B">
              <w:rPr>
                <w:noProof/>
                <w:webHidden/>
              </w:rPr>
            </w:r>
            <w:r w:rsidR="004E562B">
              <w:rPr>
                <w:noProof/>
                <w:webHidden/>
              </w:rPr>
              <w:fldChar w:fldCharType="separate"/>
            </w:r>
            <w:r w:rsidR="004E562B">
              <w:rPr>
                <w:noProof/>
                <w:webHidden/>
              </w:rPr>
              <w:t>5</w:t>
            </w:r>
            <w:r w:rsidR="004E562B">
              <w:rPr>
                <w:noProof/>
                <w:webHidden/>
              </w:rPr>
              <w:fldChar w:fldCharType="end"/>
            </w:r>
          </w:hyperlink>
        </w:p>
        <w:p w14:paraId="114B9F06" w14:textId="76C7FEFF" w:rsidR="004E562B" w:rsidRDefault="00297263">
          <w:pPr>
            <w:pStyle w:val="TOC1"/>
            <w:tabs>
              <w:tab w:val="right" w:leader="dot" w:pos="9016"/>
            </w:tabs>
            <w:rPr>
              <w:noProof/>
            </w:rPr>
          </w:pPr>
          <w:hyperlink w:anchor="_Toc144414287" w:history="1">
            <w:r w:rsidR="004E562B" w:rsidRPr="001E012A">
              <w:rPr>
                <w:rStyle w:val="Hyperlink"/>
                <w:noProof/>
              </w:rPr>
              <w:t>Section 2.1: Demographics - Number of Consumers (Buyers)</w:t>
            </w:r>
            <w:r w:rsidR="004E562B">
              <w:rPr>
                <w:noProof/>
                <w:webHidden/>
              </w:rPr>
              <w:tab/>
            </w:r>
            <w:r w:rsidR="004E562B">
              <w:rPr>
                <w:noProof/>
                <w:webHidden/>
              </w:rPr>
              <w:fldChar w:fldCharType="begin"/>
            </w:r>
            <w:r w:rsidR="004E562B">
              <w:rPr>
                <w:noProof/>
                <w:webHidden/>
              </w:rPr>
              <w:instrText xml:space="preserve"> PAGEREF _Toc144414287 \h </w:instrText>
            </w:r>
            <w:r w:rsidR="004E562B">
              <w:rPr>
                <w:noProof/>
                <w:webHidden/>
              </w:rPr>
            </w:r>
            <w:r w:rsidR="004E562B">
              <w:rPr>
                <w:noProof/>
                <w:webHidden/>
              </w:rPr>
              <w:fldChar w:fldCharType="separate"/>
            </w:r>
            <w:r w:rsidR="004E562B">
              <w:rPr>
                <w:noProof/>
                <w:webHidden/>
              </w:rPr>
              <w:t>5</w:t>
            </w:r>
            <w:r w:rsidR="004E562B">
              <w:rPr>
                <w:noProof/>
                <w:webHidden/>
              </w:rPr>
              <w:fldChar w:fldCharType="end"/>
            </w:r>
          </w:hyperlink>
        </w:p>
        <w:p w14:paraId="1D205384" w14:textId="3D970C10" w:rsidR="004E562B" w:rsidRDefault="00297263">
          <w:pPr>
            <w:pStyle w:val="TOC1"/>
            <w:tabs>
              <w:tab w:val="right" w:leader="dot" w:pos="9016"/>
            </w:tabs>
            <w:rPr>
              <w:noProof/>
            </w:rPr>
          </w:pPr>
          <w:hyperlink w:anchor="_Toc144414288" w:history="1">
            <w:r w:rsidR="004E562B" w:rsidRPr="001E012A">
              <w:rPr>
                <w:rStyle w:val="Hyperlink"/>
                <w:noProof/>
              </w:rPr>
              <w:t>Section 2.2: Factors Affecting Price Elasticity of Demand</w:t>
            </w:r>
            <w:r w:rsidR="004E562B">
              <w:rPr>
                <w:noProof/>
                <w:webHidden/>
              </w:rPr>
              <w:tab/>
            </w:r>
            <w:r w:rsidR="004E562B">
              <w:rPr>
                <w:noProof/>
                <w:webHidden/>
              </w:rPr>
              <w:fldChar w:fldCharType="begin"/>
            </w:r>
            <w:r w:rsidR="004E562B">
              <w:rPr>
                <w:noProof/>
                <w:webHidden/>
              </w:rPr>
              <w:instrText xml:space="preserve"> PAGEREF _Toc144414288 \h </w:instrText>
            </w:r>
            <w:r w:rsidR="004E562B">
              <w:rPr>
                <w:noProof/>
                <w:webHidden/>
              </w:rPr>
            </w:r>
            <w:r w:rsidR="004E562B">
              <w:rPr>
                <w:noProof/>
                <w:webHidden/>
              </w:rPr>
              <w:fldChar w:fldCharType="separate"/>
            </w:r>
            <w:r w:rsidR="004E562B">
              <w:rPr>
                <w:noProof/>
                <w:webHidden/>
              </w:rPr>
              <w:t>6</w:t>
            </w:r>
            <w:r w:rsidR="004E562B">
              <w:rPr>
                <w:noProof/>
                <w:webHidden/>
              </w:rPr>
              <w:fldChar w:fldCharType="end"/>
            </w:r>
          </w:hyperlink>
        </w:p>
        <w:p w14:paraId="7C30BA7A" w14:textId="63909A31" w:rsidR="004E562B" w:rsidRDefault="00297263">
          <w:pPr>
            <w:pStyle w:val="TOC1"/>
            <w:tabs>
              <w:tab w:val="right" w:leader="dot" w:pos="9016"/>
            </w:tabs>
            <w:rPr>
              <w:noProof/>
            </w:rPr>
          </w:pPr>
          <w:hyperlink w:anchor="_Toc144414289" w:history="1">
            <w:r w:rsidR="004E562B" w:rsidRPr="001E012A">
              <w:rPr>
                <w:rStyle w:val="Hyperlink"/>
                <w:noProof/>
              </w:rPr>
              <w:t>Section 2.3: Recommended Pricing Policy</w:t>
            </w:r>
            <w:r w:rsidR="004E562B">
              <w:rPr>
                <w:noProof/>
                <w:webHidden/>
              </w:rPr>
              <w:tab/>
            </w:r>
            <w:r w:rsidR="004E562B">
              <w:rPr>
                <w:noProof/>
                <w:webHidden/>
              </w:rPr>
              <w:fldChar w:fldCharType="begin"/>
            </w:r>
            <w:r w:rsidR="004E562B">
              <w:rPr>
                <w:noProof/>
                <w:webHidden/>
              </w:rPr>
              <w:instrText xml:space="preserve"> PAGEREF _Toc144414289 \h </w:instrText>
            </w:r>
            <w:r w:rsidR="004E562B">
              <w:rPr>
                <w:noProof/>
                <w:webHidden/>
              </w:rPr>
            </w:r>
            <w:r w:rsidR="004E562B">
              <w:rPr>
                <w:noProof/>
                <w:webHidden/>
              </w:rPr>
              <w:fldChar w:fldCharType="separate"/>
            </w:r>
            <w:r w:rsidR="004E562B">
              <w:rPr>
                <w:noProof/>
                <w:webHidden/>
              </w:rPr>
              <w:t>6</w:t>
            </w:r>
            <w:r w:rsidR="004E562B">
              <w:rPr>
                <w:noProof/>
                <w:webHidden/>
              </w:rPr>
              <w:fldChar w:fldCharType="end"/>
            </w:r>
          </w:hyperlink>
        </w:p>
        <w:p w14:paraId="746EDE1E" w14:textId="4553C9EC" w:rsidR="004E562B" w:rsidRDefault="00297263">
          <w:pPr>
            <w:pStyle w:val="TOC1"/>
            <w:tabs>
              <w:tab w:val="right" w:leader="dot" w:pos="9016"/>
            </w:tabs>
            <w:rPr>
              <w:noProof/>
            </w:rPr>
          </w:pPr>
          <w:hyperlink w:anchor="_Toc144414290" w:history="1">
            <w:r w:rsidR="004E562B" w:rsidRPr="001E012A">
              <w:rPr>
                <w:rStyle w:val="Hyperlink"/>
                <w:noProof/>
              </w:rPr>
              <w:t>Section 3: Conclusion</w:t>
            </w:r>
            <w:r w:rsidR="004E562B">
              <w:rPr>
                <w:noProof/>
                <w:webHidden/>
              </w:rPr>
              <w:tab/>
            </w:r>
            <w:r w:rsidR="004E562B">
              <w:rPr>
                <w:noProof/>
                <w:webHidden/>
              </w:rPr>
              <w:fldChar w:fldCharType="begin"/>
            </w:r>
            <w:r w:rsidR="004E562B">
              <w:rPr>
                <w:noProof/>
                <w:webHidden/>
              </w:rPr>
              <w:instrText xml:space="preserve"> PAGEREF _Toc144414290 \h </w:instrText>
            </w:r>
            <w:r w:rsidR="004E562B">
              <w:rPr>
                <w:noProof/>
                <w:webHidden/>
              </w:rPr>
            </w:r>
            <w:r w:rsidR="004E562B">
              <w:rPr>
                <w:noProof/>
                <w:webHidden/>
              </w:rPr>
              <w:fldChar w:fldCharType="separate"/>
            </w:r>
            <w:r w:rsidR="004E562B">
              <w:rPr>
                <w:noProof/>
                <w:webHidden/>
              </w:rPr>
              <w:t>7</w:t>
            </w:r>
            <w:r w:rsidR="004E562B">
              <w:rPr>
                <w:noProof/>
                <w:webHidden/>
              </w:rPr>
              <w:fldChar w:fldCharType="end"/>
            </w:r>
          </w:hyperlink>
        </w:p>
        <w:p w14:paraId="5C4C1238" w14:textId="089A4892" w:rsidR="004E562B" w:rsidRDefault="00297263">
          <w:pPr>
            <w:pStyle w:val="TOC1"/>
            <w:tabs>
              <w:tab w:val="right" w:leader="dot" w:pos="9016"/>
            </w:tabs>
            <w:rPr>
              <w:noProof/>
            </w:rPr>
          </w:pPr>
          <w:hyperlink w:anchor="_Toc144414291" w:history="1">
            <w:r w:rsidR="004E562B" w:rsidRPr="001E012A">
              <w:rPr>
                <w:rStyle w:val="Hyperlink"/>
                <w:noProof/>
              </w:rPr>
              <w:t>References:</w:t>
            </w:r>
            <w:r w:rsidR="004E562B">
              <w:rPr>
                <w:noProof/>
                <w:webHidden/>
              </w:rPr>
              <w:tab/>
            </w:r>
            <w:r w:rsidR="004E562B">
              <w:rPr>
                <w:noProof/>
                <w:webHidden/>
              </w:rPr>
              <w:fldChar w:fldCharType="begin"/>
            </w:r>
            <w:r w:rsidR="004E562B">
              <w:rPr>
                <w:noProof/>
                <w:webHidden/>
              </w:rPr>
              <w:instrText xml:space="preserve"> PAGEREF _Toc144414291 \h </w:instrText>
            </w:r>
            <w:r w:rsidR="004E562B">
              <w:rPr>
                <w:noProof/>
                <w:webHidden/>
              </w:rPr>
            </w:r>
            <w:r w:rsidR="004E562B">
              <w:rPr>
                <w:noProof/>
                <w:webHidden/>
              </w:rPr>
              <w:fldChar w:fldCharType="separate"/>
            </w:r>
            <w:r w:rsidR="004E562B">
              <w:rPr>
                <w:noProof/>
                <w:webHidden/>
              </w:rPr>
              <w:t>8</w:t>
            </w:r>
            <w:r w:rsidR="004E562B">
              <w:rPr>
                <w:noProof/>
                <w:webHidden/>
              </w:rPr>
              <w:fldChar w:fldCharType="end"/>
            </w:r>
          </w:hyperlink>
        </w:p>
        <w:p w14:paraId="610843FB" w14:textId="21DEC270" w:rsidR="004E562B" w:rsidRDefault="004E562B">
          <w:r>
            <w:rPr>
              <w:b/>
              <w:bCs/>
              <w:noProof/>
            </w:rPr>
            <w:fldChar w:fldCharType="end"/>
          </w:r>
        </w:p>
      </w:sdtContent>
    </w:sdt>
    <w:p w14:paraId="05891BF9" w14:textId="77777777" w:rsidR="004E562B" w:rsidRDefault="004E562B" w:rsidP="004E562B"/>
    <w:p w14:paraId="2040428A" w14:textId="77777777" w:rsidR="004E562B" w:rsidRDefault="004E562B" w:rsidP="004E562B"/>
    <w:p w14:paraId="6FFA11C0" w14:textId="77777777" w:rsidR="004E562B" w:rsidRDefault="004E562B" w:rsidP="004E562B"/>
    <w:p w14:paraId="62613057" w14:textId="77777777" w:rsidR="004E562B" w:rsidRDefault="004E562B" w:rsidP="004E562B"/>
    <w:p w14:paraId="1A26EBE4" w14:textId="77777777" w:rsidR="004E562B" w:rsidRDefault="004E562B" w:rsidP="004E562B"/>
    <w:p w14:paraId="0A0F4047" w14:textId="77777777" w:rsidR="004E562B" w:rsidRDefault="004E562B" w:rsidP="004E562B"/>
    <w:p w14:paraId="521F5EF4" w14:textId="77777777" w:rsidR="004E562B" w:rsidRDefault="004E562B" w:rsidP="004E562B"/>
    <w:p w14:paraId="16E9AF74" w14:textId="77777777" w:rsidR="004E562B" w:rsidRDefault="004E562B" w:rsidP="004E562B"/>
    <w:p w14:paraId="0239576D" w14:textId="77777777" w:rsidR="004E562B" w:rsidRDefault="004E562B" w:rsidP="004E562B"/>
    <w:p w14:paraId="4123DF39" w14:textId="77777777" w:rsidR="004E562B" w:rsidRDefault="004E562B" w:rsidP="004E562B"/>
    <w:p w14:paraId="21442F42" w14:textId="77777777" w:rsidR="004E562B" w:rsidRDefault="004E562B" w:rsidP="004E562B"/>
    <w:p w14:paraId="539FAE50" w14:textId="77777777" w:rsidR="004E562B" w:rsidRDefault="004E562B" w:rsidP="004E562B"/>
    <w:p w14:paraId="7F6A5B9F" w14:textId="77777777" w:rsidR="004E562B" w:rsidRDefault="004E562B" w:rsidP="004E562B"/>
    <w:p w14:paraId="655B1B0B" w14:textId="77777777" w:rsidR="004E562B" w:rsidRDefault="004E562B" w:rsidP="004E562B"/>
    <w:p w14:paraId="13E48C5B" w14:textId="77777777" w:rsidR="004E562B" w:rsidRDefault="004E562B" w:rsidP="004E562B"/>
    <w:p w14:paraId="41F9C2A3" w14:textId="77777777" w:rsidR="004E562B" w:rsidRDefault="004E562B" w:rsidP="004E562B"/>
    <w:p w14:paraId="3850721F" w14:textId="1C200C7E" w:rsidR="004E562B" w:rsidRDefault="004E562B" w:rsidP="004E562B">
      <w:pPr>
        <w:pStyle w:val="Heading1"/>
      </w:pPr>
      <w:bookmarkStart w:id="1" w:name="_Toc144414282"/>
      <w:r>
        <w:t>Section 1: Introduction</w:t>
      </w:r>
      <w:bookmarkEnd w:id="1"/>
    </w:p>
    <w:p w14:paraId="65C90562" w14:textId="2D267B2E" w:rsidR="004E562B" w:rsidRDefault="004E562B" w:rsidP="004E562B">
      <w:r>
        <w:t>Rolls-Royce, an established player in both aerospace and defense industries, boasts an illustrious past marked by innovation and excellence. At Aero Engines we pursue multiple activities, from cutting-edge research and technology development, to producing high performance engines for both civil and defense aerospace and defense use. This paper provides a thorough examination of factors impacting Rolls-Royce's offerings, with particular attention paid to economic determinants like substitute price comparisons as a means to shed light on how market dynamics interact with company strategies and positioning. This analysis draws upon academic contributions by Wuori (2023), Kong (2022), and others that provide insight into the factors driving demand for Rolls-Royce products. By combining academic insights with real world statistics from its quarterly reports, this analysis will give readers a nuanced understanding of substitute pricing's effect on Rolls-Royce performance.</w:t>
      </w:r>
    </w:p>
    <w:p w14:paraId="6BE0805A" w14:textId="77777777" w:rsidR="004E562B" w:rsidRDefault="004E562B" w:rsidP="004E562B">
      <w:pPr>
        <w:pStyle w:val="Heading1"/>
      </w:pPr>
      <w:bookmarkStart w:id="2" w:name="_Toc144414283"/>
      <w:r>
        <w:t>Section 2.1: Price of Substitutes</w:t>
      </w:r>
      <w:bookmarkEnd w:id="2"/>
    </w:p>
    <w:p w14:paraId="1EA8F149" w14:textId="77777777" w:rsidR="004E562B" w:rsidRDefault="004E562B" w:rsidP="004E562B">
      <w:r>
        <w:t>Understanding consumer behavior and demand patterns for Rolls-Royce products requires understanding substitutes as alternative options that have an influence over consumer choices and, consequently, on demand for them. Substitute prices have direct bearing on propulsion solutions sold by Rolls-Royce; an increase can make their offerings more desirable, leading to greater interest; conversely a decrease may cause consumers to shy away from our offerings, diminishing demand.</w:t>
      </w:r>
    </w:p>
    <w:p w14:paraId="523D4945" w14:textId="77777777" w:rsidR="004E562B" w:rsidRDefault="004E562B" w:rsidP="004E562B">
      <w:r>
        <w:t>Scholars such as Wuori (2023) and Kong (2022) provide insights into the dynamics of substitute pricing and its effect on demand, while quarterly report statistical information shows a correlation between new orders, revenue growth and profit increase - underscoring real world implications of substitute prices on Rolls-Royce performance. This section employs theoretical analysis, scholarly contributions and practical data to illustrate this complex interplay between substitute pricing strategies and demand patterns for Rolls-Royce products.</w:t>
      </w:r>
    </w:p>
    <w:p w14:paraId="1430CE69" w14:textId="77777777" w:rsidR="004E562B" w:rsidRDefault="004E562B" w:rsidP="004E562B">
      <w:r>
        <w:t>Substitute goods play an integral part in shaping consumer preferences and demand dynamics for Rolls-Royce offerings. A substitute refers to any product which serves the same function, such as serving an alternative purpose than another product does. Price comparisons among products is an important factor that impacts consumer decisions, which in turn has an effect on Rolls-Royce's propulsion solutions demand. When prices of rival offerings increase, consumers might find Rolls-Royce products more appealing, leading to an upswing in interest for Rolls-Royce offerings and thus leading to an increase in demand. On the flipside, reduced prices of substitutes could possibly sway consumer preferences away from Rolls-Royce products. Drawing upon theoretical foundations and scholarly works such as those by Wuori (2023) and Kong (2022), this section explores the complex relationship between substitute pricing and its impacts on Rolls-Royce product demand landscape. Integrating insights from Rolls-Royce's quarterly report, which emphasizes the relationship between new orders, revenue growth and profit expansion is enhanced by showing its effect on Rolls-Royce's overall business performance.</w:t>
      </w:r>
    </w:p>
    <w:p w14:paraId="2F6B4CAA" w14:textId="77777777" w:rsidR="004E562B" w:rsidRDefault="004E562B" w:rsidP="004E562B">
      <w:pPr>
        <w:pStyle w:val="Heading1"/>
      </w:pPr>
      <w:bookmarkStart w:id="3" w:name="_Toc144414284"/>
      <w:r>
        <w:lastRenderedPageBreak/>
        <w:t>Section 2.1: Price of Complements</w:t>
      </w:r>
      <w:bookmarkEnd w:id="3"/>
    </w:p>
    <w:p w14:paraId="4268EA47" w14:textId="77777777" w:rsidR="004E562B" w:rsidRDefault="004E562B" w:rsidP="004E562B">
      <w:r>
        <w:t>Complementary goods have an intricate connection with Rolls-Royce offerings that requires in-depth investigation. Complements refer to products or services used together that add utility, and their price exerts a tangible effect on demand for the company's propulsion solutions.</w:t>
      </w:r>
    </w:p>
    <w:p w14:paraId="4DF07B6F" w14:textId="77777777" w:rsidR="004E562B" w:rsidRDefault="004E562B" w:rsidP="004E562B">
      <w:r>
        <w:t>Price fluctuations of complementary products have the power to have an immediate and widespread effect on consumer behaviors and purchases, with increasing costs leading to greater expenses associated with using both items together. Rolls-Royce faces a potential issue where aviation fuel, an essential component for aircraft engines, experiences an upward price trend and becomes less attractive as part of their combined consumption plan. Such an outcome would prompt consumers to reconsider their purchasing decisions. Rolls-Royce engines could become less cost-effective as fuel prices continue to increase, prompting airlines and operators to assess whether operating aircraft equipped with them remains cost effective. If increased fuel costs make operation more costly overall, demand for energy-saving engines like those produced by Rolls-Royce could decline accordingly.</w:t>
      </w:r>
    </w:p>
    <w:p w14:paraId="1DBC42C5" w14:textId="77777777" w:rsidR="004E562B" w:rsidRDefault="004E562B" w:rsidP="004E562B">
      <w:r>
        <w:t>Conversely, when prices of complement products decrease, this can have a beneficial impact on demand for their core product. Lower costs associated with using both can increase consumer appeal and value proposition. For instance, airlines might find it more economically viable to invest in both components, potentially driving demand for Rolls-Royce engines.</w:t>
      </w:r>
    </w:p>
    <w:p w14:paraId="5A5A3331" w14:textId="77777777" w:rsidR="004E562B" w:rsidRDefault="004E562B" w:rsidP="004E562B">
      <w:r>
        <w:t>Drawing insights from Wuori's analysis in 2023 and Brennan's research in 2020, this section illuminates the intricate relationship between pricing of complementary goods and its ensuing impact on demand for Rolls-Royce products. By delving into real world scenarios and theoretical foundations this exploration enhances our understanding of how changes in complement pricing can significantly alter aerospace and defense sector dynamics - thus altering their respective markets - ultimately shaping how people purchase Rolls-Royce propulsion solutions.</w:t>
      </w:r>
    </w:p>
    <w:p w14:paraId="516ABE69" w14:textId="4C684F91" w:rsidR="004E562B" w:rsidRDefault="004E562B" w:rsidP="004E562B">
      <w:pPr>
        <w:pStyle w:val="Heading1"/>
      </w:pPr>
      <w:bookmarkStart w:id="4" w:name="_Toc144414285"/>
      <w:r>
        <w:t>Section 2.1: Consumer Income</w:t>
      </w:r>
      <w:bookmarkEnd w:id="4"/>
    </w:p>
    <w:p w14:paraId="0717934C" w14:textId="77777777" w:rsidR="004E562B" w:rsidRDefault="004E562B" w:rsidP="004E562B">
      <w:r>
        <w:t>Rolls-Royce products depend heavily on consumer income as an economic factor to define demand landscape. Fluctuations in individual spending power has an enormous effect on purchasing decisions across a range of products in both aerospace and defense markets, informing their buying decisions accordingly.</w:t>
      </w:r>
    </w:p>
    <w:p w14:paraId="2E7A7339" w14:textId="77777777" w:rsidR="004E562B" w:rsidRDefault="004E562B" w:rsidP="004E562B">
      <w:r>
        <w:t>As consumer incomes increase, individuals often see an increased capacity to spend on goods and services including luxury and premium offerings. When applied to Rolls-Royce specifically, an increase in consumer income translates to greater individual and organizational interest in investing in cutting edge propulsion solutions; airlines may become more willing to adopt technologically advanced engines for improved efficiency and performance as income levels increase, which in turn can positively influence revenue and growth prospects of Rolls-Royce.</w:t>
      </w:r>
    </w:p>
    <w:p w14:paraId="2AA3166B" w14:textId="77777777" w:rsidR="004E562B" w:rsidRDefault="004E562B" w:rsidP="004E562B">
      <w:r>
        <w:t>Conversely, reduced income levels can result in tightened budgets and altered spending patterns. When an economic downturn or uncertainty strikes, people may prioritise essential needs over discretionary purchases - this shift could have major ramifications for Rolls-Royce products viewed as luxury or premium offerings; demand could decline accordingly in response to reduced income levels.</w:t>
      </w:r>
    </w:p>
    <w:p w14:paraId="06FB74A2" w14:textId="3194CF57" w:rsidR="004E562B" w:rsidRDefault="004E562B" w:rsidP="004E562B">
      <w:r>
        <w:t xml:space="preserve">References to Andreyeva's study from 2010 provide insight into the correlation between changes in consumer income and consumption patterns and shifts, deepening this section's analysis. By drawing on such scholarly works and theoretical frameworks, this exploration highlights how consumer </w:t>
      </w:r>
      <w:r>
        <w:lastRenderedPageBreak/>
        <w:t>income plays an essential role in driving demand dynamics for Rolls-Royce products, and needs to remain aware of wider economic trends as well as fluctuations in income fluctuations to successfully navigate its propulsion solutions market.</w:t>
      </w:r>
    </w:p>
    <w:p w14:paraId="77B61C27" w14:textId="479508CB" w:rsidR="004E562B" w:rsidRDefault="004E562B" w:rsidP="004E562B">
      <w:pPr>
        <w:pStyle w:val="Heading1"/>
      </w:pPr>
      <w:bookmarkStart w:id="5" w:name="_Toc144414286"/>
      <w:r>
        <w:t>Section 2.1: Consumer Tastes &amp; Preferences</w:t>
      </w:r>
      <w:bookmarkEnd w:id="5"/>
    </w:p>
    <w:p w14:paraId="2062F1F1" w14:textId="77777777" w:rsidR="004E562B" w:rsidRDefault="004E562B" w:rsidP="004E562B">
      <w:r>
        <w:t>Understanding consumer tastes and preferences are central to understanding Rolls-Royce's demand landscape. As consumer tastes shift over time, their effects ultimately determine desirability for specific products or services and directly shape demand dynamics within aerospace and defense sectors.</w:t>
      </w:r>
    </w:p>
    <w:p w14:paraId="0EE86213" w14:textId="77777777" w:rsidR="004E562B" w:rsidRDefault="004E562B" w:rsidP="004E562B">
      <w:r>
        <w:t>Changes in consumer tastes can have a considerable effect on Rolls-Royce product demand. For instance, as consumer preferences shift toward environmentally-friendly technologies and sustainable practices, fuel-efficient engines may become more desirable; Rolls-Royce could capitalize on this shift with investments in innovative eco-conscious propulsion solutions to meet this increasing demand for their products. If customer tastes shift towards cost efficiency over performance features instead, however, Rolls-Royce may have to adjust its offerings to account for this changing demand landscape.</w:t>
      </w:r>
    </w:p>
    <w:p w14:paraId="04073D3C" w14:textId="77777777" w:rsidR="004E562B" w:rsidRDefault="004E562B" w:rsidP="004E562B">
      <w:r>
        <w:t>Scholars such as Wuori (2023) emphasize the significance of consumer preferences in driving market trends. By drawing upon such academic contributions, this section intends to underscore how understanding evolving tastes and preferences is integral for Rolls-Royce to meet changing consumer demands while remaining competitive within aerospace and defense markets.</w:t>
      </w:r>
    </w:p>
    <w:p w14:paraId="24C4E178" w14:textId="77777777" w:rsidR="004E562B" w:rsidRDefault="004E562B" w:rsidP="004E562B">
      <w:r>
        <w:t>Anticipating consumer expectations regarding future price changes is a critical element of demand analysis for Rolls-Royce products. Consumer expectations play an essential part in driving purchasing decisions and shaping demand patterns across markets.</w:t>
      </w:r>
    </w:p>
    <w:p w14:paraId="300A74B0" w14:textId="77777777" w:rsidR="004E562B" w:rsidRDefault="004E562B" w:rsidP="004E562B">
      <w:r>
        <w:t>Anticipatory buying occurs when consumers anticipate that Rolls-Royce products' prices will increase in the near future and purchase immediately to capitalize on current, relatively lower prices; conversely if consumers anticipate future price decreases they might delay purchases leading to temporary decrease in demand.</w:t>
      </w:r>
    </w:p>
    <w:p w14:paraId="1C2B5157" w14:textId="77777777" w:rsidR="004E562B" w:rsidRDefault="004E562B" w:rsidP="004E562B">
      <w:r>
        <w:t>Rolls-Royce must carefully manage consumer expectations to maintain long-term success. Communicating pricing strategies transparently, and its dedication to maintaining value and quality are two factors which can influence how consumers perceive future price changes. Drawing from Brennan's 2020 study on marketing ethics, this section explores the intricate link between consumer price expectations and their effect on demand for Rolls-Royce offerings; with such knowledge comes an ability for the company to craft strategies which coincide with market sentiment while taking full advantage of demand fluctuations.</w:t>
      </w:r>
    </w:p>
    <w:p w14:paraId="44DC426F" w14:textId="77777777" w:rsidR="004E562B" w:rsidRDefault="004E562B" w:rsidP="004E562B">
      <w:pPr>
        <w:pStyle w:val="Heading1"/>
      </w:pPr>
      <w:bookmarkStart w:id="6" w:name="_Toc144414287"/>
      <w:r>
        <w:t>Section 2.1: Demographics - Number of Consumers (Buyers)</w:t>
      </w:r>
      <w:bookmarkEnd w:id="6"/>
    </w:p>
    <w:p w14:paraId="50ED6F45" w14:textId="77777777" w:rsidR="004E562B" w:rsidRDefault="004E562B" w:rsidP="004E562B">
      <w:r>
        <w:t>Demographic composition and consumer purchasing patterns have an enormous effect on Rolls-Royce's demand landscape. Shifts in population size or demographic composition can significantly shift market dynamics of aerospace and defense sectors, leading to changes that affect demand for its offerings from Rolls-Royce.</w:t>
      </w:r>
    </w:p>
    <w:p w14:paraId="3FD286D4" w14:textId="77777777" w:rsidR="004E562B" w:rsidRDefault="004E562B" w:rsidP="004E562B">
      <w:r>
        <w:t xml:space="preserve">Demand is directly dependent upon the number of buyers. An increase in purchasers could drive an upswing in demand for Rolls-Royce propulsion solutions; similarly, growing populations in regions with significant aviation and defense activities could drive increased aircraft engine demand; this trend can be illustrated through demand curve shifts in economic diagrams. Conversely, decreasing </w:t>
      </w:r>
      <w:r>
        <w:lastRenderedPageBreak/>
        <w:t>buyer numbers might decrease demand significantly and shed light on how demographic trends play a part in shaping Rolls-Royce markets.</w:t>
      </w:r>
    </w:p>
    <w:p w14:paraId="0A8B47EA" w14:textId="77777777" w:rsidR="004E562B" w:rsidRDefault="004E562B" w:rsidP="004E562B">
      <w:r>
        <w:t>Economic theories related to market demand and demographic shifts as discussed by Aigner-Walder (2015) are essential in understanding the relationship between population changes and demand dynamics. By drawing upon academic contributions and employing relevant economic diagrams, this section seeks to offer an in-depth analysis of how demographic trends impact demand for Rolls-Royce products; such an investigation will lead to greater insight into how population shifts influence aerospace and defense sectors as a whole, thus impacting Rolls-Royce market performance overall.</w:t>
      </w:r>
    </w:p>
    <w:p w14:paraId="27AB0579" w14:textId="3BE26F9F" w:rsidR="004E562B" w:rsidRDefault="004E562B" w:rsidP="004E562B">
      <w:pPr>
        <w:pStyle w:val="Heading1"/>
      </w:pPr>
      <w:bookmarkStart w:id="7" w:name="_Toc144414288"/>
      <w:r w:rsidRPr="004E562B">
        <w:t>Section 2.2: Factors Affecting Price Elasticity of Demand</w:t>
      </w:r>
      <w:bookmarkEnd w:id="7"/>
    </w:p>
    <w:p w14:paraId="1C5287C5" w14:textId="77777777" w:rsidR="004E562B" w:rsidRDefault="004E562B" w:rsidP="004E562B">
      <w:r>
        <w:t>Price Elasticity of Demand (PED) measures the responsiveness of demand to changes in price of products or services, such as propulsion solutions from Rolls-Royce. Understanding which factors affect PED for Rolls-Royce propulsion solutions is vital to comprehending market dynamics and consumer behavior.</w:t>
      </w:r>
    </w:p>
    <w:p w14:paraId="252F470B" w14:textId="77777777" w:rsidR="004E562B" w:rsidRDefault="004E562B" w:rsidP="004E562B">
      <w:r>
        <w:t>Substitution Effects &amp; Luxury Vs Necessity: Substitution effects play an essential part in determining Rolls-Royce propulsion solutions' elasticity of demand; in terms of luxury versus necessity, demand elasticity depends upon consumers' perceptions. Rolls-Royce engines may be perceived as necessary products and their demand may be less elastic due to limited alternatives available to buyers. However, when products are seen as luxurious goods or services, alternatives might make their demand more elastic as consumers opt for different solutions in response to price increases. Luxury status may exacerbate this effect and make demand even more elastic; consumers are likely to explore other solutions more readily in response to price rises.</w:t>
      </w:r>
    </w:p>
    <w:p w14:paraId="21C5267F" w14:textId="77777777" w:rsidR="004E562B" w:rsidRDefault="004E562B" w:rsidP="004E562B">
      <w:r>
        <w:t>Income Effects &amp; Percentage of Income: Consumer income can play an influential role in demand elasticity. For high-income consumers, purchasing Rolls-Royce propulsion solutions could represent a lower proportion of their total income - suggesting less inelastic demand for these solutions. Consumers with higher disposable income tend to be less sensitive to price changes, while for those on lower income levels purchases may represent a larger portion of their earnings, making their demand more elastic. Luxury products, where their purchase represents a percentage of income, may experience greater price sensitivity due to price changes than others. An increase could cause proportionately larger decrease in quantity demanded indicating greater demand elasticity.</w:t>
      </w:r>
    </w:p>
    <w:p w14:paraId="2362A424" w14:textId="77777777" w:rsidR="004E562B" w:rsidRDefault="004E562B" w:rsidP="004E562B">
      <w:r>
        <w:t>Rolls-Royce propulsion solutions' elastic demand is inextricably linked with concepts like substitution, luxury vs necessity and income effects. Acknowledging these factors allows the company to tailor pricing strategies and product positioning accordingly to specific consumer segments with preferences in mind. By considering their interplay between each other and price changes that might impact demand, Rolls-Royce can gain insights into how price changes might influence demand and adapt accordingly.</w:t>
      </w:r>
    </w:p>
    <w:p w14:paraId="1A3FAFEE" w14:textId="77777777" w:rsidR="004E562B" w:rsidRDefault="004E562B" w:rsidP="004E562B">
      <w:pPr>
        <w:pStyle w:val="Heading1"/>
      </w:pPr>
      <w:bookmarkStart w:id="8" w:name="_Toc144414289"/>
      <w:r>
        <w:t>Section 2.3: Recommended Pricing Policy</w:t>
      </w:r>
      <w:bookmarkEnd w:id="8"/>
    </w:p>
    <w:p w14:paraId="184CEF71" w14:textId="77777777" w:rsidR="004E562B" w:rsidRDefault="004E562B" w:rsidP="004E562B">
      <w:r>
        <w:t>After conducting a detailed analysis of the factors impacting demand for Rolls-Royce propulsion solutions, an adaptive pricing policy tailored to shifting market conditions and consumer tastes is recommended. This strategy encompasses both value-based pricing and price differentiation to meet different customer segments' unique requirements.</w:t>
      </w:r>
    </w:p>
    <w:p w14:paraId="5A8A7B72" w14:textId="77777777" w:rsidR="004E562B" w:rsidRDefault="004E562B" w:rsidP="004E562B">
      <w:r>
        <w:t xml:space="preserve">Rolls-Royce operates within the aerospace and defense sectors, which attract a variety of customers such as airlines, government agencies and private operators with differing priorities for fuel </w:t>
      </w:r>
      <w:r>
        <w:lastRenderedPageBreak/>
        <w:t>efficiency, performance, environmental sustainability and cost effectiveness. Therefore, an all-in pricing approach could not effectively meet their diverse needs.</w:t>
      </w:r>
    </w:p>
    <w:p w14:paraId="0DAEA380" w14:textId="77777777" w:rsidR="004E562B" w:rsidRDefault="004E562B" w:rsidP="004E562B">
      <w:r>
        <w:t>Rolls-Royce products and services provide premium customers with superior performance and innovation, so an appropriate pricing strategy for them should focus on creating value. This means establishing prices based on what people perceive to be the value that Rolls-Royce's advanced technologies and high performance engines bring to them; their luxurious status allows the company to capture premiums from those who appreciate cutting edge solutions; this pricing strategy aligns perfectly with customer perception of luxury goods as well as inelastic demand associated with luxury items; justifying higher prices by emphasizing tangible or intangible benefits such as efficiency, reliability or prestige that resonates well with this segment of customer segment customers.</w:t>
      </w:r>
    </w:p>
    <w:p w14:paraId="7FC32C3B" w14:textId="77777777" w:rsidR="004E562B" w:rsidRDefault="004E562B" w:rsidP="004E562B">
      <w:r>
        <w:t>Conversely, Rolls-Royce recommends offering tiered pricing options based on customer needs in order to achieve cost-effectiveness and sustainability. By creating tiered options tailored specifically to their individual requirements, this strategy acknowledges that different customers may pay different prices depending on their unique requirements; airlines operating short-haul flights might prioritize fuel efficiency for lower operating costs while long-haul operators might prioritize longevity or performance as priorities; by segmenting markets with tailored price tiers Rolls-Royce can maximize its market share while satisfying more customers.</w:t>
      </w:r>
    </w:p>
    <w:p w14:paraId="7D84BF41" w14:textId="77777777" w:rsidR="004E562B" w:rsidRDefault="004E562B" w:rsidP="004E562B">
      <w:r>
        <w:t>Rolls-Royce should employ a dynamic pricing approach due to the ever-evolving aerospace industry, where geopolitical, environmental, and economic influences can have significant effects on demand and market conditions. Regular analysis of market trends, competitive dynamics, consumer preferences will allow the company to remain responsive to changes in demand elasticity as well as customer expectations.</w:t>
      </w:r>
    </w:p>
    <w:p w14:paraId="68AA0923" w14:textId="77777777" w:rsidR="004E562B" w:rsidRDefault="004E562B" w:rsidP="004E562B">
      <w:r>
        <w:t>Rolls-Royce should adopt a pricing strategy incorporating value-based pricing and price differentiation for sustainable growth in the highly competitive aerospace and defense sectors. By meeting different customer segments' diverse needs and adapting to evolving market conditions, this dynamic pricing policy could position Rolls-Royce for lasting success in these fields.</w:t>
      </w:r>
    </w:p>
    <w:p w14:paraId="5E2D6C8A" w14:textId="77777777" w:rsidR="004E562B" w:rsidRDefault="004E562B" w:rsidP="004E562B">
      <w:pPr>
        <w:pStyle w:val="Heading1"/>
      </w:pPr>
      <w:bookmarkStart w:id="9" w:name="_Toc144414290"/>
      <w:r>
        <w:t>Section 3: Conclusion</w:t>
      </w:r>
      <w:bookmarkEnd w:id="9"/>
    </w:p>
    <w:p w14:paraId="4B979578" w14:textId="0FA9C865" w:rsidR="004E562B" w:rsidRDefault="004E562B" w:rsidP="004E562B">
      <w:r>
        <w:t>As described above, economic forces play a profound role in driving demand dynamics for Rolls-Royce propulsion solutions. Analyzing factors like substitutes, complements, consumer income, preferences, expectations and demographics provides invaluable insight into market trends and consumer behavior. Luxury perception of Rolls-Royce products exacerbates substitution and income elasticity effects, while dynamic pricing strategies tailored specifically to customer segments can effectively meet different customer preferences and market conditions. By taking such an approach to pricing and monitoring market trends continuously, Rolls-Royce can navigate its complex aerospace and defense sectors while remaining competitively advantageous.</w:t>
      </w:r>
    </w:p>
    <w:p w14:paraId="153DE603" w14:textId="77777777" w:rsidR="004E562B" w:rsidRDefault="004E562B" w:rsidP="00A03DD0"/>
    <w:p w14:paraId="1F684F33" w14:textId="77777777" w:rsidR="004E562B" w:rsidRDefault="004E562B" w:rsidP="00A03DD0"/>
    <w:p w14:paraId="75CFA7ED" w14:textId="77777777" w:rsidR="004E562B" w:rsidRDefault="004E562B" w:rsidP="00A03DD0"/>
    <w:p w14:paraId="12781ED5" w14:textId="77777777" w:rsidR="004E562B" w:rsidRDefault="004E562B" w:rsidP="00A03DD0"/>
    <w:p w14:paraId="2B0D2E91" w14:textId="77777777" w:rsidR="004E562B" w:rsidRDefault="004E562B" w:rsidP="00A03DD0"/>
    <w:p w14:paraId="4F2081F5" w14:textId="77777777" w:rsidR="004E562B" w:rsidRPr="00A03DD0" w:rsidRDefault="004E562B" w:rsidP="00A03DD0"/>
    <w:p w14:paraId="4F4F8B40" w14:textId="0485DCE8" w:rsidR="00A03DD0" w:rsidRDefault="00A03DD0" w:rsidP="004E562B">
      <w:pPr>
        <w:pStyle w:val="Heading1"/>
      </w:pPr>
      <w:bookmarkStart w:id="10" w:name="_Toc144414291"/>
      <w:r>
        <w:lastRenderedPageBreak/>
        <w:t>References:</w:t>
      </w:r>
      <w:bookmarkEnd w:id="10"/>
    </w:p>
    <w:p w14:paraId="0325BA1B" w14:textId="7DFF899F" w:rsidR="00A03DD0" w:rsidRDefault="00A03DD0" w:rsidP="00A03DD0">
      <w:pPr>
        <w:pStyle w:val="ListParagraph"/>
        <w:numPr>
          <w:ilvl w:val="0"/>
          <w:numId w:val="1"/>
        </w:numPr>
      </w:pPr>
      <w:r w:rsidRPr="002B5CA0">
        <w:t>Wuori, P.E.M., 2023. Analysing the Differences Between Luxury and Premium in Marketing–Case Study: BMW and Rolls-Royce.</w:t>
      </w:r>
    </w:p>
    <w:p w14:paraId="59616224" w14:textId="77777777" w:rsidR="00A03DD0" w:rsidRDefault="00A03DD0" w:rsidP="00A03DD0">
      <w:pPr>
        <w:pStyle w:val="ListParagraph"/>
        <w:numPr>
          <w:ilvl w:val="0"/>
          <w:numId w:val="1"/>
        </w:numPr>
      </w:pPr>
      <w:r w:rsidRPr="002B5CA0">
        <w:t>Kong, Ruiqi. "Dig deep into Rolls-Royce´ s true value." PhD diss., 2022.</w:t>
      </w:r>
    </w:p>
    <w:p w14:paraId="07FEF219" w14:textId="77777777" w:rsidR="00A03DD0" w:rsidRDefault="00A03DD0" w:rsidP="00A03DD0">
      <w:pPr>
        <w:pStyle w:val="ListParagraph"/>
        <w:numPr>
          <w:ilvl w:val="0"/>
          <w:numId w:val="1"/>
        </w:numPr>
      </w:pPr>
      <w:r w:rsidRPr="002B5CA0">
        <w:t>Brennan, R., 2020. Business-to-Business (Industrial) Marketing Ethics. </w:t>
      </w:r>
      <w:r w:rsidRPr="002B5CA0">
        <w:rPr>
          <w:i/>
          <w:iCs/>
        </w:rPr>
        <w:t>The SAGE Handbook of Marketing Ethics</w:t>
      </w:r>
      <w:r w:rsidRPr="002B5CA0">
        <w:t>, p.238.</w:t>
      </w:r>
    </w:p>
    <w:p w14:paraId="5A9A6C97" w14:textId="77777777" w:rsidR="00A03DD0" w:rsidRDefault="00A03DD0" w:rsidP="00A03DD0">
      <w:pPr>
        <w:pStyle w:val="ListParagraph"/>
        <w:numPr>
          <w:ilvl w:val="0"/>
          <w:numId w:val="1"/>
        </w:numPr>
      </w:pPr>
      <w:r w:rsidRPr="002B5CA0">
        <w:t>Alderei, F., Financial Statement Analysis of Rolls Royce Holdings.</w:t>
      </w:r>
    </w:p>
    <w:p w14:paraId="7144CFF1" w14:textId="77777777" w:rsidR="00A03DD0" w:rsidRDefault="00A03DD0" w:rsidP="00A03DD0">
      <w:pPr>
        <w:pStyle w:val="ListParagraph"/>
        <w:numPr>
          <w:ilvl w:val="0"/>
          <w:numId w:val="1"/>
        </w:numPr>
      </w:pPr>
      <w:r w:rsidRPr="002B5CA0">
        <w:t>Wuori, P.E.M., 2023. Analysing the Differences Between Luxury and Premium in Marketing–Case Study: BMW and Rolls-Royce.</w:t>
      </w:r>
    </w:p>
    <w:p w14:paraId="77EA50C0" w14:textId="77777777" w:rsidR="00A03DD0" w:rsidRDefault="00A03DD0" w:rsidP="00A03DD0">
      <w:pPr>
        <w:pStyle w:val="ListParagraph"/>
        <w:numPr>
          <w:ilvl w:val="0"/>
          <w:numId w:val="1"/>
        </w:numPr>
      </w:pPr>
      <w:r w:rsidRPr="002B5CA0">
        <w:t>Brennan, R., 2020. Business-to-Business (Industrial) Marketing Ethics. </w:t>
      </w:r>
      <w:r w:rsidRPr="002B5CA0">
        <w:rPr>
          <w:i/>
          <w:iCs/>
        </w:rPr>
        <w:t>The SAGE Handbook of Marketing Ethics</w:t>
      </w:r>
      <w:r w:rsidRPr="002B5CA0">
        <w:t>, p.238.</w:t>
      </w:r>
    </w:p>
    <w:p w14:paraId="7328CDDB" w14:textId="77777777" w:rsidR="00A03DD0" w:rsidRDefault="00A03DD0" w:rsidP="00A03DD0">
      <w:pPr>
        <w:pStyle w:val="ListParagraph"/>
        <w:numPr>
          <w:ilvl w:val="0"/>
          <w:numId w:val="1"/>
        </w:numPr>
      </w:pPr>
      <w:r w:rsidRPr="002B5CA0">
        <w:t>Aigner-Walder, B. (2015) Effects of the Demographic Changes on Private Consumption: An Almost Ideal Demand System Analysis for Austria. Journal of Economic and Social Studies, 5, 1, 33-5</w:t>
      </w:r>
      <w:r>
        <w:t>7.</w:t>
      </w:r>
    </w:p>
    <w:p w14:paraId="7F6E515A" w14:textId="77777777" w:rsidR="00A03DD0" w:rsidRDefault="00A03DD0" w:rsidP="00A03DD0">
      <w:pPr>
        <w:pStyle w:val="ListParagraph"/>
        <w:numPr>
          <w:ilvl w:val="0"/>
          <w:numId w:val="1"/>
        </w:numPr>
      </w:pPr>
      <w:r w:rsidRPr="002B5CA0">
        <w:t>Andreyeva, T., Long, M. and Brownell, K. (2010) The Impact of Food Prices on Consumption: A Systematic Review of Research on the Price Elasticity of Demand for Food. American Journal of Public Health, 100, 2, 216-222.</w:t>
      </w:r>
    </w:p>
    <w:p w14:paraId="4633E135" w14:textId="77777777" w:rsidR="00A03DD0" w:rsidRDefault="00A03DD0" w:rsidP="00A03DD0">
      <w:pPr>
        <w:pStyle w:val="ListParagraph"/>
        <w:numPr>
          <w:ilvl w:val="0"/>
          <w:numId w:val="1"/>
        </w:numPr>
      </w:pPr>
      <w:r w:rsidRPr="002B5CA0">
        <w:t>Bagwell, K. (2005) The Economic Analysis of Advertising. Columbia University Discussion Papers No. : 0506- 01</w:t>
      </w:r>
      <w:r>
        <w:t>.</w:t>
      </w:r>
    </w:p>
    <w:p w14:paraId="4F537D4D" w14:textId="77777777" w:rsidR="00A03DD0" w:rsidRDefault="00A03DD0" w:rsidP="00A03DD0">
      <w:pPr>
        <w:pStyle w:val="ListParagraph"/>
        <w:numPr>
          <w:ilvl w:val="0"/>
          <w:numId w:val="1"/>
        </w:numPr>
      </w:pPr>
      <w:r w:rsidRPr="002B5CA0">
        <w:t xml:space="preserve">Baker, J. (2003) Competitive Price Discrimination: The Exercise of Market Power Without Anticompetitive Effects (Comment on Klein and Wiley). Articles in Law Reviews &amp; Other Academic Journals. Paper 278. </w:t>
      </w:r>
    </w:p>
    <w:p w14:paraId="50FAE503" w14:textId="77777777" w:rsidR="00A03DD0" w:rsidRDefault="00A03DD0" w:rsidP="00A03DD0">
      <w:pPr>
        <w:pStyle w:val="ListParagraph"/>
        <w:numPr>
          <w:ilvl w:val="0"/>
          <w:numId w:val="1"/>
        </w:numPr>
      </w:pPr>
      <w:r w:rsidRPr="002B5CA0">
        <w:t xml:space="preserve">Ellickson, P. (2013) Market Structure and Performance. International Encyclopedia of the Social &amp; Behavioral Sciences, Forthcoming; Simon School Working Paper No. 13-21 </w:t>
      </w:r>
    </w:p>
    <w:p w14:paraId="44308F76" w14:textId="77777777" w:rsidR="00A03DD0" w:rsidRDefault="00A03DD0" w:rsidP="00A03DD0">
      <w:pPr>
        <w:pStyle w:val="ListParagraph"/>
        <w:numPr>
          <w:ilvl w:val="0"/>
          <w:numId w:val="1"/>
        </w:numPr>
      </w:pPr>
      <w:r w:rsidRPr="002B5CA0">
        <w:t xml:space="preserve">Foot, D. and Gomez, R. (2006) Population aging and sectorial growth: the case study of the UK, 2006- 2026. OJBE, 5:1 </w:t>
      </w:r>
    </w:p>
    <w:p w14:paraId="15FC86E0" w14:textId="77777777" w:rsidR="00A03DD0" w:rsidRDefault="00A03DD0" w:rsidP="00A03DD0">
      <w:pPr>
        <w:pStyle w:val="ListParagraph"/>
        <w:numPr>
          <w:ilvl w:val="0"/>
          <w:numId w:val="1"/>
        </w:numPr>
      </w:pPr>
      <w:r w:rsidRPr="002B5CA0">
        <w:t>Griffith, G. (2003) The Impact of Supermarkets on Farm Suppliers. The Australian Economic Review, 37, 3, 329–336</w:t>
      </w:r>
    </w:p>
    <w:p w14:paraId="13CEED29" w14:textId="77777777" w:rsidR="00A03DD0" w:rsidRDefault="00A03DD0" w:rsidP="00A03DD0">
      <w:pPr>
        <w:pStyle w:val="ListParagraph"/>
        <w:numPr>
          <w:ilvl w:val="0"/>
          <w:numId w:val="1"/>
        </w:numPr>
      </w:pPr>
      <w:r>
        <w:t>Cigliano, J. (1980) Price and Income Elasticities for Airline Travel: The North Atlantic Market, Business Economics, pp. 17–21.</w:t>
      </w:r>
    </w:p>
    <w:p w14:paraId="6428850F" w14:textId="77777777" w:rsidR="00A03DD0" w:rsidRDefault="00A03DD0"/>
    <w:sectPr w:rsidR="00A03DD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ECFCA0" w14:textId="77777777" w:rsidR="00297263" w:rsidRDefault="00297263" w:rsidP="004E562B">
      <w:pPr>
        <w:spacing w:after="0" w:line="240" w:lineRule="auto"/>
      </w:pPr>
      <w:r>
        <w:separator/>
      </w:r>
    </w:p>
  </w:endnote>
  <w:endnote w:type="continuationSeparator" w:id="0">
    <w:p w14:paraId="15F6D8EC" w14:textId="77777777" w:rsidR="00297263" w:rsidRDefault="00297263" w:rsidP="004E56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E2F040" w14:textId="77777777" w:rsidR="00297263" w:rsidRDefault="00297263" w:rsidP="004E562B">
      <w:pPr>
        <w:spacing w:after="0" w:line="240" w:lineRule="auto"/>
      </w:pPr>
      <w:r>
        <w:separator/>
      </w:r>
    </w:p>
  </w:footnote>
  <w:footnote w:type="continuationSeparator" w:id="0">
    <w:p w14:paraId="34032791" w14:textId="77777777" w:rsidR="00297263" w:rsidRDefault="00297263" w:rsidP="004E562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5C227C"/>
    <w:multiLevelType w:val="hybridMultilevel"/>
    <w:tmpl w:val="40EE54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DD0"/>
    <w:rsid w:val="00184208"/>
    <w:rsid w:val="00297263"/>
    <w:rsid w:val="0035283A"/>
    <w:rsid w:val="004E562B"/>
    <w:rsid w:val="006F78D8"/>
    <w:rsid w:val="00747E10"/>
    <w:rsid w:val="007E5E3D"/>
    <w:rsid w:val="00932DF1"/>
    <w:rsid w:val="00A03341"/>
    <w:rsid w:val="00A03DD0"/>
    <w:rsid w:val="00DA6566"/>
    <w:rsid w:val="00EA7257"/>
    <w:rsid w:val="00F87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E3AB7"/>
  <w15:chartTrackingRefBased/>
  <w15:docId w15:val="{B55221CF-8849-4F31-B690-B693C01C5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E56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3DD0"/>
    <w:pPr>
      <w:ind w:left="720"/>
      <w:contextualSpacing/>
    </w:pPr>
  </w:style>
  <w:style w:type="character" w:customStyle="1" w:styleId="Heading1Char">
    <w:name w:val="Heading 1 Char"/>
    <w:basedOn w:val="DefaultParagraphFont"/>
    <w:link w:val="Heading1"/>
    <w:uiPriority w:val="9"/>
    <w:rsid w:val="004E562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E562B"/>
    <w:pPr>
      <w:outlineLvl w:val="9"/>
    </w:pPr>
    <w:rPr>
      <w:kern w:val="0"/>
      <w:lang w:val="en-US"/>
      <w14:ligatures w14:val="none"/>
    </w:rPr>
  </w:style>
  <w:style w:type="paragraph" w:styleId="TOC1">
    <w:name w:val="toc 1"/>
    <w:basedOn w:val="Normal"/>
    <w:next w:val="Normal"/>
    <w:autoRedefine/>
    <w:uiPriority w:val="39"/>
    <w:unhideWhenUsed/>
    <w:rsid w:val="004E562B"/>
    <w:pPr>
      <w:spacing w:after="100"/>
    </w:pPr>
  </w:style>
  <w:style w:type="character" w:styleId="Hyperlink">
    <w:name w:val="Hyperlink"/>
    <w:basedOn w:val="DefaultParagraphFont"/>
    <w:uiPriority w:val="99"/>
    <w:unhideWhenUsed/>
    <w:rsid w:val="004E562B"/>
    <w:rPr>
      <w:color w:val="0563C1" w:themeColor="hyperlink"/>
      <w:u w:val="single"/>
    </w:rPr>
  </w:style>
  <w:style w:type="paragraph" w:styleId="Header">
    <w:name w:val="header"/>
    <w:basedOn w:val="Normal"/>
    <w:link w:val="HeaderChar"/>
    <w:uiPriority w:val="99"/>
    <w:unhideWhenUsed/>
    <w:rsid w:val="004E56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62B"/>
  </w:style>
  <w:style w:type="paragraph" w:styleId="Footer">
    <w:name w:val="footer"/>
    <w:basedOn w:val="Normal"/>
    <w:link w:val="FooterChar"/>
    <w:uiPriority w:val="99"/>
    <w:unhideWhenUsed/>
    <w:rsid w:val="004E56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62B"/>
  </w:style>
  <w:style w:type="paragraph" w:styleId="Title">
    <w:name w:val="Title"/>
    <w:basedOn w:val="Normal"/>
    <w:next w:val="Normal"/>
    <w:link w:val="TitleChar"/>
    <w:uiPriority w:val="10"/>
    <w:qFormat/>
    <w:rsid w:val="004E562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562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4133088">
      <w:bodyDiv w:val="1"/>
      <w:marLeft w:val="0"/>
      <w:marRight w:val="0"/>
      <w:marTop w:val="0"/>
      <w:marBottom w:val="0"/>
      <w:divBdr>
        <w:top w:val="none" w:sz="0" w:space="0" w:color="auto"/>
        <w:left w:val="none" w:sz="0" w:space="0" w:color="auto"/>
        <w:bottom w:val="none" w:sz="0" w:space="0" w:color="auto"/>
        <w:right w:val="none" w:sz="0" w:space="0" w:color="auto"/>
      </w:divBdr>
    </w:div>
    <w:div w:id="494345225">
      <w:bodyDiv w:val="1"/>
      <w:marLeft w:val="0"/>
      <w:marRight w:val="0"/>
      <w:marTop w:val="0"/>
      <w:marBottom w:val="0"/>
      <w:divBdr>
        <w:top w:val="none" w:sz="0" w:space="0" w:color="auto"/>
        <w:left w:val="none" w:sz="0" w:space="0" w:color="auto"/>
        <w:bottom w:val="none" w:sz="0" w:space="0" w:color="auto"/>
        <w:right w:val="none" w:sz="0" w:space="0" w:color="auto"/>
      </w:divBdr>
    </w:div>
    <w:div w:id="654260035">
      <w:bodyDiv w:val="1"/>
      <w:marLeft w:val="0"/>
      <w:marRight w:val="0"/>
      <w:marTop w:val="0"/>
      <w:marBottom w:val="0"/>
      <w:divBdr>
        <w:top w:val="none" w:sz="0" w:space="0" w:color="auto"/>
        <w:left w:val="none" w:sz="0" w:space="0" w:color="auto"/>
        <w:bottom w:val="none" w:sz="0" w:space="0" w:color="auto"/>
        <w:right w:val="none" w:sz="0" w:space="0" w:color="auto"/>
      </w:divBdr>
    </w:div>
    <w:div w:id="712998780">
      <w:bodyDiv w:val="1"/>
      <w:marLeft w:val="0"/>
      <w:marRight w:val="0"/>
      <w:marTop w:val="0"/>
      <w:marBottom w:val="0"/>
      <w:divBdr>
        <w:top w:val="none" w:sz="0" w:space="0" w:color="auto"/>
        <w:left w:val="none" w:sz="0" w:space="0" w:color="auto"/>
        <w:bottom w:val="none" w:sz="0" w:space="0" w:color="auto"/>
        <w:right w:val="none" w:sz="0" w:space="0" w:color="auto"/>
      </w:divBdr>
    </w:div>
    <w:div w:id="971136260">
      <w:bodyDiv w:val="1"/>
      <w:marLeft w:val="0"/>
      <w:marRight w:val="0"/>
      <w:marTop w:val="0"/>
      <w:marBottom w:val="0"/>
      <w:divBdr>
        <w:top w:val="none" w:sz="0" w:space="0" w:color="auto"/>
        <w:left w:val="none" w:sz="0" w:space="0" w:color="auto"/>
        <w:bottom w:val="none" w:sz="0" w:space="0" w:color="auto"/>
        <w:right w:val="none" w:sz="0" w:space="0" w:color="auto"/>
      </w:divBdr>
    </w:div>
    <w:div w:id="1070620718">
      <w:bodyDiv w:val="1"/>
      <w:marLeft w:val="0"/>
      <w:marRight w:val="0"/>
      <w:marTop w:val="0"/>
      <w:marBottom w:val="0"/>
      <w:divBdr>
        <w:top w:val="none" w:sz="0" w:space="0" w:color="auto"/>
        <w:left w:val="none" w:sz="0" w:space="0" w:color="auto"/>
        <w:bottom w:val="none" w:sz="0" w:space="0" w:color="auto"/>
        <w:right w:val="none" w:sz="0" w:space="0" w:color="auto"/>
      </w:divBdr>
    </w:div>
    <w:div w:id="1112627135">
      <w:bodyDiv w:val="1"/>
      <w:marLeft w:val="0"/>
      <w:marRight w:val="0"/>
      <w:marTop w:val="0"/>
      <w:marBottom w:val="0"/>
      <w:divBdr>
        <w:top w:val="none" w:sz="0" w:space="0" w:color="auto"/>
        <w:left w:val="none" w:sz="0" w:space="0" w:color="auto"/>
        <w:bottom w:val="none" w:sz="0" w:space="0" w:color="auto"/>
        <w:right w:val="none" w:sz="0" w:space="0" w:color="auto"/>
      </w:divBdr>
    </w:div>
    <w:div w:id="1193572032">
      <w:bodyDiv w:val="1"/>
      <w:marLeft w:val="0"/>
      <w:marRight w:val="0"/>
      <w:marTop w:val="0"/>
      <w:marBottom w:val="0"/>
      <w:divBdr>
        <w:top w:val="none" w:sz="0" w:space="0" w:color="auto"/>
        <w:left w:val="none" w:sz="0" w:space="0" w:color="auto"/>
        <w:bottom w:val="none" w:sz="0" w:space="0" w:color="auto"/>
        <w:right w:val="none" w:sz="0" w:space="0" w:color="auto"/>
      </w:divBdr>
    </w:div>
    <w:div w:id="1261136719">
      <w:bodyDiv w:val="1"/>
      <w:marLeft w:val="0"/>
      <w:marRight w:val="0"/>
      <w:marTop w:val="0"/>
      <w:marBottom w:val="0"/>
      <w:divBdr>
        <w:top w:val="none" w:sz="0" w:space="0" w:color="auto"/>
        <w:left w:val="none" w:sz="0" w:space="0" w:color="auto"/>
        <w:bottom w:val="none" w:sz="0" w:space="0" w:color="auto"/>
        <w:right w:val="none" w:sz="0" w:space="0" w:color="auto"/>
      </w:divBdr>
    </w:div>
    <w:div w:id="1282685456">
      <w:bodyDiv w:val="1"/>
      <w:marLeft w:val="0"/>
      <w:marRight w:val="0"/>
      <w:marTop w:val="0"/>
      <w:marBottom w:val="0"/>
      <w:divBdr>
        <w:top w:val="none" w:sz="0" w:space="0" w:color="auto"/>
        <w:left w:val="none" w:sz="0" w:space="0" w:color="auto"/>
        <w:bottom w:val="none" w:sz="0" w:space="0" w:color="auto"/>
        <w:right w:val="none" w:sz="0" w:space="0" w:color="auto"/>
      </w:divBdr>
    </w:div>
    <w:div w:id="1377581633">
      <w:bodyDiv w:val="1"/>
      <w:marLeft w:val="0"/>
      <w:marRight w:val="0"/>
      <w:marTop w:val="0"/>
      <w:marBottom w:val="0"/>
      <w:divBdr>
        <w:top w:val="none" w:sz="0" w:space="0" w:color="auto"/>
        <w:left w:val="none" w:sz="0" w:space="0" w:color="auto"/>
        <w:bottom w:val="none" w:sz="0" w:space="0" w:color="auto"/>
        <w:right w:val="none" w:sz="0" w:space="0" w:color="auto"/>
      </w:divBdr>
    </w:div>
    <w:div w:id="1452360802">
      <w:bodyDiv w:val="1"/>
      <w:marLeft w:val="0"/>
      <w:marRight w:val="0"/>
      <w:marTop w:val="0"/>
      <w:marBottom w:val="0"/>
      <w:divBdr>
        <w:top w:val="none" w:sz="0" w:space="0" w:color="auto"/>
        <w:left w:val="none" w:sz="0" w:space="0" w:color="auto"/>
        <w:bottom w:val="none" w:sz="0" w:space="0" w:color="auto"/>
        <w:right w:val="none" w:sz="0" w:space="0" w:color="auto"/>
      </w:divBdr>
    </w:div>
    <w:div w:id="1740715734">
      <w:bodyDiv w:val="1"/>
      <w:marLeft w:val="0"/>
      <w:marRight w:val="0"/>
      <w:marTop w:val="0"/>
      <w:marBottom w:val="0"/>
      <w:divBdr>
        <w:top w:val="none" w:sz="0" w:space="0" w:color="auto"/>
        <w:left w:val="none" w:sz="0" w:space="0" w:color="auto"/>
        <w:bottom w:val="none" w:sz="0" w:space="0" w:color="auto"/>
        <w:right w:val="none" w:sz="0" w:space="0" w:color="auto"/>
      </w:divBdr>
    </w:div>
    <w:div w:id="1782845723">
      <w:bodyDiv w:val="1"/>
      <w:marLeft w:val="0"/>
      <w:marRight w:val="0"/>
      <w:marTop w:val="0"/>
      <w:marBottom w:val="0"/>
      <w:divBdr>
        <w:top w:val="none" w:sz="0" w:space="0" w:color="auto"/>
        <w:left w:val="none" w:sz="0" w:space="0" w:color="auto"/>
        <w:bottom w:val="none" w:sz="0" w:space="0" w:color="auto"/>
        <w:right w:val="none" w:sz="0" w:space="0" w:color="auto"/>
      </w:divBdr>
    </w:div>
    <w:div w:id="201001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3043</Words>
  <Characters>17351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dc:creator>
  <cp:keywords/>
  <dc:description/>
  <cp:lastModifiedBy>MSI</cp:lastModifiedBy>
  <cp:revision>4</cp:revision>
  <dcterms:created xsi:type="dcterms:W3CDTF">2023-09-01T21:18:00Z</dcterms:created>
  <dcterms:modified xsi:type="dcterms:W3CDTF">2023-09-01T21:31:00Z</dcterms:modified>
</cp:coreProperties>
</file>