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101" w:rsidRDefault="004E4101"/>
    <w:p w:rsidR="003D6913" w:rsidRDefault="003D6913" w:rsidP="004E4101"/>
    <w:p w:rsidR="003D6913" w:rsidRDefault="003D6913" w:rsidP="007C52D2">
      <w:pPr>
        <w:jc w:val="center"/>
      </w:pPr>
    </w:p>
    <w:p w:rsidR="003D6913" w:rsidRPr="003D6913" w:rsidRDefault="003D6913" w:rsidP="007C52D2">
      <w:pPr>
        <w:tabs>
          <w:tab w:val="left" w:pos="3840"/>
        </w:tabs>
        <w:jc w:val="center"/>
        <w:rPr>
          <w:b/>
          <w:sz w:val="36"/>
        </w:rPr>
      </w:pPr>
      <w:r w:rsidRPr="003D6913">
        <w:rPr>
          <w:b/>
          <w:sz w:val="36"/>
        </w:rPr>
        <w:t>Legal Issues- Health and Safety in the Hotel Industry</w:t>
      </w:r>
    </w:p>
    <w:p w:rsidR="003D6913" w:rsidRDefault="007C52D2" w:rsidP="007C52D2">
      <w:pPr>
        <w:tabs>
          <w:tab w:val="left" w:pos="4215"/>
          <w:tab w:val="left" w:pos="4320"/>
          <w:tab w:val="center" w:pos="4680"/>
        </w:tabs>
        <w:jc w:val="center"/>
      </w:pPr>
      <w:r>
        <w:t xml:space="preserve">Student </w:t>
      </w:r>
      <w:r w:rsidR="003D6913">
        <w:t>ID:</w:t>
      </w:r>
      <w:r>
        <w:t xml:space="preserve"> 2126978</w:t>
      </w:r>
    </w:p>
    <w:p w:rsidR="003D6913" w:rsidRDefault="00B62E1F" w:rsidP="00B62E1F">
      <w:pPr>
        <w:tabs>
          <w:tab w:val="left" w:pos="4215"/>
          <w:tab w:val="left" w:pos="4320"/>
          <w:tab w:val="center" w:pos="4680"/>
        </w:tabs>
        <w:jc w:val="center"/>
        <w:rPr>
          <w:sz w:val="22"/>
        </w:rPr>
      </w:pPr>
      <w:r>
        <w:t xml:space="preserve">Module: </w:t>
      </w:r>
      <w:r w:rsidRPr="009843E1">
        <w:rPr>
          <w:sz w:val="22"/>
        </w:rPr>
        <w:t>Business Skills BMIH4001</w:t>
      </w:r>
    </w:p>
    <w:p w:rsidR="00B62E1F" w:rsidRDefault="00B62E1F" w:rsidP="00B62E1F">
      <w:pPr>
        <w:tabs>
          <w:tab w:val="left" w:pos="4215"/>
          <w:tab w:val="left" w:pos="4320"/>
          <w:tab w:val="center" w:pos="4680"/>
        </w:tabs>
        <w:jc w:val="center"/>
      </w:pPr>
      <w:r>
        <w:t>Word Count: 395</w:t>
      </w:r>
    </w:p>
    <w:p w:rsidR="003D6913" w:rsidRPr="003D6913" w:rsidRDefault="003D6913" w:rsidP="004E4101">
      <w:pPr>
        <w:rPr>
          <w:b/>
          <w:sz w:val="28"/>
        </w:rPr>
      </w:pPr>
      <w:r w:rsidRPr="003D6913">
        <w:br w:type="column"/>
      </w:r>
      <w:r w:rsidRPr="003D6913">
        <w:rPr>
          <w:b/>
          <w:sz w:val="28"/>
        </w:rPr>
        <w:lastRenderedPageBreak/>
        <w:t>Introduction</w:t>
      </w:r>
    </w:p>
    <w:p w:rsidR="004E4101" w:rsidRDefault="004E4101" w:rsidP="004E4101">
      <w:r w:rsidRPr="004E4101">
        <w:t>The hotel's total effectiveness depends on keeping its staff and guests in a healthy and secure environment. A reputation for frequent accidents may have a detrimental effect on both visitor numbers and employee retention. It may be possible for hotels to make financial savings as well as protect visitors in the event of an accident by establishing long-term safety and health protocols. Strong security measures must be implemented by hotel owners as part of their moral and legal duty to safeguard the safety of their guests and staff.</w:t>
      </w:r>
    </w:p>
    <w:p w:rsidR="003D6913" w:rsidRPr="003D6913" w:rsidRDefault="003D6913" w:rsidP="004E4101">
      <w:pPr>
        <w:rPr>
          <w:b/>
          <w:sz w:val="28"/>
        </w:rPr>
      </w:pPr>
      <w:r w:rsidRPr="003D6913">
        <w:rPr>
          <w:b/>
          <w:sz w:val="28"/>
        </w:rPr>
        <w:t xml:space="preserve">Legal Issues </w:t>
      </w:r>
    </w:p>
    <w:p w:rsidR="003D6913" w:rsidRDefault="004E4101" w:rsidP="004E4101">
      <w:r w:rsidRPr="004E4101">
        <w:t xml:space="preserve">The cost of occupational accidents is close to 4% of </w:t>
      </w:r>
      <w:r>
        <w:t xml:space="preserve">the </w:t>
      </w:r>
      <w:r w:rsidRPr="004E4101">
        <w:t>GDP. Due to a lack of adequate industrial health and safety laws, more than $3 billion is spent globally each year to make up for workplace injuries and illnesses</w:t>
      </w:r>
      <w:r w:rsidR="003D6913">
        <w:t xml:space="preserve"> (</w:t>
      </w:r>
      <w:proofErr w:type="spellStart"/>
      <w:r w:rsidR="003D6913">
        <w:t>Tompa</w:t>
      </w:r>
      <w:proofErr w:type="spellEnd"/>
      <w:r w:rsidR="003D6913">
        <w:t>, 2021)</w:t>
      </w:r>
      <w:r w:rsidRPr="004E4101">
        <w:t xml:space="preserve">. </w:t>
      </w:r>
      <w:r>
        <w:t>The safety</w:t>
      </w:r>
      <w:r w:rsidRPr="004E4101">
        <w:t xml:space="preserve"> of hotel staff and guests is a concern shared by everyone working in the hospitality industry. The managers, the staff, and the guests are all parties to the hotel business.By following established safety and health protocols, hotel managers and owners can take proactive steps to guarantee the </w:t>
      </w:r>
      <w:r>
        <w:t>well-being</w:t>
      </w:r>
      <w:r w:rsidRPr="004E4101">
        <w:t xml:space="preserve"> of their staff and guests.</w:t>
      </w:r>
      <w:r>
        <w:t xml:space="preserve">Protecting </w:t>
      </w:r>
      <w:r w:rsidR="003D6913">
        <w:t>people</w:t>
      </w:r>
      <w:r>
        <w:t xml:space="preserve"> and</w:t>
      </w:r>
      <w:r w:rsidR="003D6913">
        <w:t xml:space="preserve"> their</w:t>
      </w:r>
      <w:r>
        <w:t xml:space="preserve"> asse</w:t>
      </w:r>
      <w:r w:rsidR="003D6913">
        <w:t>ts necessitates, d</w:t>
      </w:r>
      <w:r>
        <w:t>istributing risk information to all parties concerned, taking note of potential perils in a hotel environment, using training techniques to prevent incidents, and developing a crisis action plan</w:t>
      </w:r>
      <w:r w:rsidR="003D6913">
        <w:t xml:space="preserve"> (</w:t>
      </w:r>
      <w:proofErr w:type="spellStart"/>
      <w:r w:rsidR="003D6913">
        <w:t>Wut</w:t>
      </w:r>
      <w:proofErr w:type="spellEnd"/>
      <w:r w:rsidR="003D6913">
        <w:t>, 2021)</w:t>
      </w:r>
      <w:r>
        <w:t xml:space="preserve">. </w:t>
      </w:r>
    </w:p>
    <w:p w:rsidR="003D6913" w:rsidRDefault="004E4101" w:rsidP="004E4101">
      <w:r>
        <w:t>The high turnover rate may be a result of the employees' exposure to safety and health concerns at work</w:t>
      </w:r>
      <w:r w:rsidR="001B7F9C">
        <w:t xml:space="preserve"> (Sorensen, 2021)</w:t>
      </w:r>
      <w:r>
        <w:t>.</w:t>
      </w:r>
      <w:r w:rsidRPr="004E4101">
        <w:t xml:space="preserve"> By making the workplace safer for everyone, it might be possible to reduce the high rate of employee turnover. In the current digital era, a single unfavorable internet review that disparages a hotel's food, cleanliness, or lack of client safety precautions could have a significant negative financial impact on the business. The reputation a hotel has for security, </w:t>
      </w:r>
      <w:r w:rsidRPr="004E4101">
        <w:lastRenderedPageBreak/>
        <w:t xml:space="preserve">cleanliness, and amenities </w:t>
      </w:r>
      <w:r w:rsidR="00F264A2" w:rsidRPr="004E4101">
        <w:t>defines</w:t>
      </w:r>
      <w:r w:rsidR="00F264A2">
        <w:t>the hotel’s</w:t>
      </w:r>
      <w:r w:rsidRPr="004E4101">
        <w:t xml:space="preserve"> capacity to </w:t>
      </w:r>
      <w:r w:rsidR="00F264A2">
        <w:t>attract</w:t>
      </w:r>
      <w:r w:rsidR="007A78DB">
        <w:t xml:space="preserve"> new customers </w:t>
      </w:r>
      <w:r w:rsidR="007A78DB" w:rsidRPr="007A78DB">
        <w:t xml:space="preserve">while keeping </w:t>
      </w:r>
      <w:r w:rsidR="007A78DB">
        <w:t xml:space="preserve">the </w:t>
      </w:r>
      <w:r w:rsidR="007A78DB" w:rsidRPr="007A78DB">
        <w:t>current clients' loyalty</w:t>
      </w:r>
      <w:r w:rsidRPr="004E4101">
        <w:t>. Staff training may address a variety of hazards in each hotel location, including those caused by spills, flames, poisons, food pollutants, and disca</w:t>
      </w:r>
      <w:bookmarkStart w:id="0" w:name="_GoBack"/>
      <w:bookmarkEnd w:id="0"/>
      <w:r w:rsidRPr="004E4101">
        <w:t>rded goods, lowering the risk of injuries to visitors</w:t>
      </w:r>
      <w:r w:rsidR="001B7F9C">
        <w:t xml:space="preserve"> (</w:t>
      </w:r>
      <w:proofErr w:type="spellStart"/>
      <w:r w:rsidR="001B7F9C">
        <w:t>Kuo</w:t>
      </w:r>
      <w:proofErr w:type="spellEnd"/>
      <w:r w:rsidR="001B7F9C">
        <w:t>, 2020)</w:t>
      </w:r>
      <w:r w:rsidRPr="004E4101">
        <w:t>.</w:t>
      </w:r>
    </w:p>
    <w:p w:rsidR="003D6913" w:rsidRPr="003D6913" w:rsidRDefault="003D6913" w:rsidP="004E4101">
      <w:pPr>
        <w:rPr>
          <w:b/>
          <w:sz w:val="28"/>
        </w:rPr>
      </w:pPr>
      <w:r w:rsidRPr="003D6913">
        <w:rPr>
          <w:b/>
          <w:sz w:val="28"/>
        </w:rPr>
        <w:t>Conclusion</w:t>
      </w:r>
    </w:p>
    <w:p w:rsidR="003D6913" w:rsidRDefault="003D6913" w:rsidP="004E4101">
      <w:r w:rsidRPr="003D6913">
        <w:t>Despite the fact that the hospitality industry can pay off handsomely for hotel owners, there are multiple risks to the safety of their customers and employees. Hotel owners and management are constantly searching for safer solutions due to the numerous potential hazards.</w:t>
      </w:r>
    </w:p>
    <w:p w:rsidR="003D6913" w:rsidRDefault="003D6913" w:rsidP="004E4101">
      <w:pPr>
        <w:rPr>
          <w:b/>
          <w:sz w:val="28"/>
        </w:rPr>
      </w:pPr>
      <w:r>
        <w:br w:type="column"/>
      </w:r>
      <w:r w:rsidRPr="003D6913">
        <w:rPr>
          <w:b/>
          <w:sz w:val="28"/>
        </w:rPr>
        <w:lastRenderedPageBreak/>
        <w:t>References</w:t>
      </w:r>
    </w:p>
    <w:p w:rsidR="001B7F9C" w:rsidRPr="00121FE5" w:rsidRDefault="001B7F9C" w:rsidP="004E4101">
      <w:pPr>
        <w:rPr>
          <w:rFonts w:cs="Times New Roman"/>
          <w:b/>
          <w:sz w:val="36"/>
        </w:rPr>
      </w:pPr>
      <w:proofErr w:type="spellStart"/>
      <w:r w:rsidRPr="001B7F9C">
        <w:rPr>
          <w:rFonts w:cs="Times New Roman"/>
          <w:color w:val="222222"/>
          <w:szCs w:val="20"/>
          <w:shd w:val="clear" w:color="auto" w:fill="FFFFFF"/>
        </w:rPr>
        <w:t>Kuo</w:t>
      </w:r>
      <w:proofErr w:type="spellEnd"/>
      <w:r w:rsidRPr="001B7F9C">
        <w:rPr>
          <w:rFonts w:cs="Times New Roman"/>
          <w:color w:val="222222"/>
          <w:szCs w:val="20"/>
          <w:shd w:val="clear" w:color="auto" w:fill="FFFFFF"/>
        </w:rPr>
        <w:t>, N.T., Cheng, Y.S., C</w:t>
      </w:r>
      <w:r w:rsidR="00121FE5">
        <w:rPr>
          <w:rFonts w:cs="Times New Roman"/>
          <w:color w:val="222222"/>
          <w:szCs w:val="20"/>
          <w:shd w:val="clear" w:color="auto" w:fill="FFFFFF"/>
        </w:rPr>
        <w:t>hang, K.C. and Ying, W.H., 2020</w:t>
      </w:r>
      <w:r w:rsidRPr="001B7F9C">
        <w:rPr>
          <w:rFonts w:cs="Times New Roman"/>
          <w:color w:val="222222"/>
          <w:szCs w:val="20"/>
          <w:shd w:val="clear" w:color="auto" w:fill="FFFFFF"/>
        </w:rPr>
        <w:t xml:space="preserve"> </w:t>
      </w:r>
      <w:proofErr w:type="gramStart"/>
      <w:r w:rsidRPr="00121FE5">
        <w:rPr>
          <w:rFonts w:cs="Times New Roman"/>
          <w:i/>
          <w:color w:val="222222"/>
          <w:szCs w:val="20"/>
          <w:shd w:val="clear" w:color="auto" w:fill="FFFFFF"/>
        </w:rPr>
        <w:t>Establishing</w:t>
      </w:r>
      <w:proofErr w:type="gramEnd"/>
      <w:r w:rsidRPr="00121FE5">
        <w:rPr>
          <w:rFonts w:cs="Times New Roman"/>
          <w:i/>
          <w:color w:val="222222"/>
          <w:szCs w:val="20"/>
          <w:shd w:val="clear" w:color="auto" w:fill="FFFFFF"/>
        </w:rPr>
        <w:t xml:space="preserve"> a measurement scale for safety culture in the hotel industry.</w:t>
      </w:r>
      <w:r w:rsidRPr="001B7F9C">
        <w:rPr>
          <w:rFonts w:cs="Times New Roman"/>
          <w:color w:val="222222"/>
          <w:szCs w:val="20"/>
          <w:shd w:val="clear" w:color="auto" w:fill="FFFFFF"/>
        </w:rPr>
        <w:t> </w:t>
      </w:r>
      <w:proofErr w:type="gramStart"/>
      <w:r w:rsidRPr="00121FE5">
        <w:rPr>
          <w:rFonts w:cs="Times New Roman"/>
          <w:iCs/>
          <w:color w:val="222222"/>
          <w:szCs w:val="20"/>
          <w:shd w:val="clear" w:color="auto" w:fill="FFFFFF"/>
        </w:rPr>
        <w:t>Journal of Hospitality and Tourism Management</w:t>
      </w:r>
      <w:r w:rsidRPr="00121FE5">
        <w:rPr>
          <w:rFonts w:cs="Times New Roman"/>
          <w:color w:val="222222"/>
          <w:szCs w:val="20"/>
          <w:shd w:val="clear" w:color="auto" w:fill="FFFFFF"/>
        </w:rPr>
        <w:t>, </w:t>
      </w:r>
      <w:r w:rsidRPr="00121FE5">
        <w:rPr>
          <w:rFonts w:cs="Times New Roman"/>
          <w:iCs/>
          <w:color w:val="222222"/>
          <w:szCs w:val="20"/>
          <w:shd w:val="clear" w:color="auto" w:fill="FFFFFF"/>
        </w:rPr>
        <w:t>42</w:t>
      </w:r>
      <w:r w:rsidRPr="00121FE5">
        <w:rPr>
          <w:rFonts w:cs="Times New Roman"/>
          <w:color w:val="222222"/>
          <w:szCs w:val="20"/>
          <w:shd w:val="clear" w:color="auto" w:fill="FFFFFF"/>
        </w:rPr>
        <w:t>, pp.12-28.</w:t>
      </w:r>
      <w:proofErr w:type="gramEnd"/>
    </w:p>
    <w:p w:rsidR="001B7F9C" w:rsidRPr="001B7F9C" w:rsidRDefault="001B7F9C" w:rsidP="004E4101">
      <w:pPr>
        <w:rPr>
          <w:rFonts w:cs="Times New Roman"/>
          <w:color w:val="222222"/>
          <w:szCs w:val="20"/>
          <w:shd w:val="clear" w:color="auto" w:fill="FFFFFF"/>
        </w:rPr>
      </w:pPr>
      <w:r w:rsidRPr="001B7F9C">
        <w:rPr>
          <w:rFonts w:cs="Times New Roman"/>
          <w:color w:val="222222"/>
          <w:szCs w:val="20"/>
          <w:shd w:val="clear" w:color="auto" w:fill="FFFFFF"/>
        </w:rPr>
        <w:t xml:space="preserve">Sorensen, G., </w:t>
      </w:r>
      <w:proofErr w:type="spellStart"/>
      <w:r w:rsidRPr="001B7F9C">
        <w:rPr>
          <w:rFonts w:cs="Times New Roman"/>
          <w:color w:val="222222"/>
          <w:szCs w:val="20"/>
          <w:shd w:val="clear" w:color="auto" w:fill="FFFFFF"/>
        </w:rPr>
        <w:t>Dennerlein</w:t>
      </w:r>
      <w:proofErr w:type="spellEnd"/>
      <w:r w:rsidRPr="001B7F9C">
        <w:rPr>
          <w:rFonts w:cs="Times New Roman"/>
          <w:color w:val="222222"/>
          <w:szCs w:val="20"/>
          <w:shd w:val="clear" w:color="auto" w:fill="FFFFFF"/>
        </w:rPr>
        <w:t>, J.T., Peters, S.E., Sabbath, E.L., Kel</w:t>
      </w:r>
      <w:r w:rsidR="00121FE5">
        <w:rPr>
          <w:rFonts w:cs="Times New Roman"/>
          <w:color w:val="222222"/>
          <w:szCs w:val="20"/>
          <w:shd w:val="clear" w:color="auto" w:fill="FFFFFF"/>
        </w:rPr>
        <w:t>ly, E.L. and Wagner, G.R., 2021</w:t>
      </w:r>
      <w:r w:rsidRPr="001B7F9C">
        <w:rPr>
          <w:rFonts w:cs="Times New Roman"/>
          <w:color w:val="222222"/>
          <w:szCs w:val="20"/>
          <w:shd w:val="clear" w:color="auto" w:fill="FFFFFF"/>
        </w:rPr>
        <w:t xml:space="preserve"> </w:t>
      </w:r>
      <w:proofErr w:type="gramStart"/>
      <w:r w:rsidRPr="00121FE5">
        <w:rPr>
          <w:rFonts w:cs="Times New Roman"/>
          <w:i/>
          <w:color w:val="222222"/>
          <w:szCs w:val="20"/>
          <w:shd w:val="clear" w:color="auto" w:fill="FFFFFF"/>
        </w:rPr>
        <w:t>The</w:t>
      </w:r>
      <w:proofErr w:type="gramEnd"/>
      <w:r w:rsidRPr="00121FE5">
        <w:rPr>
          <w:rFonts w:cs="Times New Roman"/>
          <w:i/>
          <w:color w:val="222222"/>
          <w:szCs w:val="20"/>
          <w:shd w:val="clear" w:color="auto" w:fill="FFFFFF"/>
        </w:rPr>
        <w:t xml:space="preserve"> future of research on work, safety, health and wellbeing: A guiding conceptual framework.</w:t>
      </w:r>
      <w:r w:rsidRPr="001B7F9C">
        <w:rPr>
          <w:rFonts w:cs="Times New Roman"/>
          <w:color w:val="222222"/>
          <w:szCs w:val="20"/>
          <w:shd w:val="clear" w:color="auto" w:fill="FFFFFF"/>
        </w:rPr>
        <w:t> </w:t>
      </w:r>
      <w:proofErr w:type="gramStart"/>
      <w:r w:rsidRPr="00121FE5">
        <w:rPr>
          <w:rFonts w:cs="Times New Roman"/>
          <w:iCs/>
          <w:color w:val="222222"/>
          <w:szCs w:val="20"/>
          <w:shd w:val="clear" w:color="auto" w:fill="FFFFFF"/>
        </w:rPr>
        <w:t>Social science &amp; medicine</w:t>
      </w:r>
      <w:r w:rsidRPr="00121FE5">
        <w:rPr>
          <w:rFonts w:cs="Times New Roman"/>
          <w:color w:val="222222"/>
          <w:szCs w:val="20"/>
          <w:shd w:val="clear" w:color="auto" w:fill="FFFFFF"/>
        </w:rPr>
        <w:t>, </w:t>
      </w:r>
      <w:r w:rsidRPr="00121FE5">
        <w:rPr>
          <w:rFonts w:cs="Times New Roman"/>
          <w:iCs/>
          <w:color w:val="222222"/>
          <w:szCs w:val="20"/>
          <w:shd w:val="clear" w:color="auto" w:fill="FFFFFF"/>
        </w:rPr>
        <w:t>269</w:t>
      </w:r>
      <w:r w:rsidRPr="00121FE5">
        <w:rPr>
          <w:rFonts w:cs="Times New Roman"/>
          <w:color w:val="222222"/>
          <w:szCs w:val="20"/>
          <w:shd w:val="clear" w:color="auto" w:fill="FFFFFF"/>
        </w:rPr>
        <w:t>, p.113593.</w:t>
      </w:r>
      <w:proofErr w:type="gramEnd"/>
    </w:p>
    <w:p w:rsidR="001B7F9C" w:rsidRPr="001B7F9C" w:rsidRDefault="001B7F9C" w:rsidP="004E4101">
      <w:pPr>
        <w:rPr>
          <w:rFonts w:cs="Times New Roman"/>
          <w:b/>
          <w:sz w:val="36"/>
        </w:rPr>
      </w:pPr>
      <w:proofErr w:type="spellStart"/>
      <w:r w:rsidRPr="001B7F9C">
        <w:rPr>
          <w:rFonts w:cs="Times New Roman"/>
          <w:color w:val="222222"/>
          <w:szCs w:val="20"/>
          <w:shd w:val="clear" w:color="auto" w:fill="FFFFFF"/>
        </w:rPr>
        <w:t>Tompa</w:t>
      </w:r>
      <w:proofErr w:type="spellEnd"/>
      <w:r w:rsidRPr="001B7F9C">
        <w:rPr>
          <w:rFonts w:cs="Times New Roman"/>
          <w:color w:val="222222"/>
          <w:szCs w:val="20"/>
          <w:shd w:val="clear" w:color="auto" w:fill="FFFFFF"/>
        </w:rPr>
        <w:t xml:space="preserve">, E., </w:t>
      </w:r>
      <w:proofErr w:type="spellStart"/>
      <w:r w:rsidRPr="001B7F9C">
        <w:rPr>
          <w:rFonts w:cs="Times New Roman"/>
          <w:color w:val="222222"/>
          <w:szCs w:val="20"/>
          <w:shd w:val="clear" w:color="auto" w:fill="FFFFFF"/>
        </w:rPr>
        <w:t>Mofidi</w:t>
      </w:r>
      <w:proofErr w:type="spellEnd"/>
      <w:r w:rsidRPr="001B7F9C">
        <w:rPr>
          <w:rFonts w:cs="Times New Roman"/>
          <w:color w:val="222222"/>
          <w:szCs w:val="20"/>
          <w:shd w:val="clear" w:color="auto" w:fill="FFFFFF"/>
        </w:rPr>
        <w:t xml:space="preserve">, A., van den </w:t>
      </w:r>
      <w:proofErr w:type="spellStart"/>
      <w:r w:rsidRPr="001B7F9C">
        <w:rPr>
          <w:rFonts w:cs="Times New Roman"/>
          <w:color w:val="222222"/>
          <w:szCs w:val="20"/>
          <w:shd w:val="clear" w:color="auto" w:fill="FFFFFF"/>
        </w:rPr>
        <w:t>Heuvel</w:t>
      </w:r>
      <w:proofErr w:type="spellEnd"/>
      <w:r w:rsidRPr="001B7F9C">
        <w:rPr>
          <w:rFonts w:cs="Times New Roman"/>
          <w:color w:val="222222"/>
          <w:szCs w:val="20"/>
          <w:shd w:val="clear" w:color="auto" w:fill="FFFFFF"/>
        </w:rPr>
        <w:t xml:space="preserve">, S., van Bree, T., </w:t>
      </w:r>
      <w:proofErr w:type="spellStart"/>
      <w:r w:rsidRPr="001B7F9C">
        <w:rPr>
          <w:rFonts w:cs="Times New Roman"/>
          <w:color w:val="222222"/>
          <w:szCs w:val="20"/>
          <w:shd w:val="clear" w:color="auto" w:fill="FFFFFF"/>
        </w:rPr>
        <w:t>Michaelsen</w:t>
      </w:r>
      <w:proofErr w:type="spellEnd"/>
      <w:r w:rsidRPr="001B7F9C">
        <w:rPr>
          <w:rFonts w:cs="Times New Roman"/>
          <w:color w:val="222222"/>
          <w:szCs w:val="20"/>
          <w:shd w:val="clear" w:color="auto" w:fill="FFFFFF"/>
        </w:rPr>
        <w:t xml:space="preserve">, F., Jung, Y., </w:t>
      </w:r>
      <w:proofErr w:type="spellStart"/>
      <w:r w:rsidRPr="001B7F9C">
        <w:rPr>
          <w:rFonts w:cs="Times New Roman"/>
          <w:color w:val="222222"/>
          <w:szCs w:val="20"/>
          <w:shd w:val="clear" w:color="auto" w:fill="FFFFFF"/>
        </w:rPr>
        <w:t>Porsc</w:t>
      </w:r>
      <w:r w:rsidR="00121FE5">
        <w:rPr>
          <w:rFonts w:cs="Times New Roman"/>
          <w:color w:val="222222"/>
          <w:szCs w:val="20"/>
          <w:shd w:val="clear" w:color="auto" w:fill="FFFFFF"/>
        </w:rPr>
        <w:t>h</w:t>
      </w:r>
      <w:proofErr w:type="spellEnd"/>
      <w:r w:rsidR="00121FE5">
        <w:rPr>
          <w:rFonts w:cs="Times New Roman"/>
          <w:color w:val="222222"/>
          <w:szCs w:val="20"/>
          <w:shd w:val="clear" w:color="auto" w:fill="FFFFFF"/>
        </w:rPr>
        <w:t xml:space="preserve">, L. and van </w:t>
      </w:r>
      <w:proofErr w:type="spellStart"/>
      <w:r w:rsidR="00121FE5">
        <w:rPr>
          <w:rFonts w:cs="Times New Roman"/>
          <w:color w:val="222222"/>
          <w:szCs w:val="20"/>
          <w:shd w:val="clear" w:color="auto" w:fill="FFFFFF"/>
        </w:rPr>
        <w:t>Emmerik</w:t>
      </w:r>
      <w:proofErr w:type="spellEnd"/>
      <w:r w:rsidR="00121FE5">
        <w:rPr>
          <w:rFonts w:cs="Times New Roman"/>
          <w:color w:val="222222"/>
          <w:szCs w:val="20"/>
          <w:shd w:val="clear" w:color="auto" w:fill="FFFFFF"/>
        </w:rPr>
        <w:t>, M., 2021</w:t>
      </w:r>
      <w:r w:rsidRPr="001B7F9C">
        <w:rPr>
          <w:rFonts w:cs="Times New Roman"/>
          <w:color w:val="222222"/>
          <w:szCs w:val="20"/>
          <w:shd w:val="clear" w:color="auto" w:fill="FFFFFF"/>
        </w:rPr>
        <w:t xml:space="preserve"> </w:t>
      </w:r>
      <w:r w:rsidRPr="00121FE5">
        <w:rPr>
          <w:rFonts w:cs="Times New Roman"/>
          <w:i/>
          <w:color w:val="222222"/>
          <w:szCs w:val="20"/>
          <w:shd w:val="clear" w:color="auto" w:fill="FFFFFF"/>
        </w:rPr>
        <w:t>Economic burden of work injuries and diseases: a framework and application in five European Union countries.</w:t>
      </w:r>
      <w:r w:rsidRPr="001B7F9C">
        <w:rPr>
          <w:rFonts w:cs="Times New Roman"/>
          <w:color w:val="222222"/>
          <w:szCs w:val="20"/>
          <w:shd w:val="clear" w:color="auto" w:fill="FFFFFF"/>
        </w:rPr>
        <w:t> </w:t>
      </w:r>
      <w:proofErr w:type="gramStart"/>
      <w:r w:rsidRPr="00121FE5">
        <w:rPr>
          <w:rFonts w:cs="Times New Roman"/>
          <w:iCs/>
          <w:color w:val="222222"/>
          <w:szCs w:val="20"/>
          <w:shd w:val="clear" w:color="auto" w:fill="FFFFFF"/>
        </w:rPr>
        <w:t>BMC Public Health</w:t>
      </w:r>
      <w:r w:rsidRPr="00121FE5">
        <w:rPr>
          <w:rFonts w:cs="Times New Roman"/>
          <w:color w:val="222222"/>
          <w:szCs w:val="20"/>
          <w:shd w:val="clear" w:color="auto" w:fill="FFFFFF"/>
        </w:rPr>
        <w:t>, </w:t>
      </w:r>
      <w:r w:rsidRPr="00121FE5">
        <w:rPr>
          <w:rFonts w:cs="Times New Roman"/>
          <w:iCs/>
          <w:color w:val="222222"/>
          <w:szCs w:val="20"/>
          <w:shd w:val="clear" w:color="auto" w:fill="FFFFFF"/>
        </w:rPr>
        <w:t>21</w:t>
      </w:r>
      <w:r w:rsidRPr="00121FE5">
        <w:rPr>
          <w:rFonts w:cs="Times New Roman"/>
          <w:color w:val="222222"/>
          <w:szCs w:val="20"/>
          <w:shd w:val="clear" w:color="auto" w:fill="FFFFFF"/>
        </w:rPr>
        <w:t>(1), pp.1-10.</w:t>
      </w:r>
      <w:proofErr w:type="gramEnd"/>
    </w:p>
    <w:p w:rsidR="001B7F9C" w:rsidRPr="00121FE5" w:rsidRDefault="001B7F9C" w:rsidP="004E4101">
      <w:pPr>
        <w:rPr>
          <w:rFonts w:cs="Times New Roman"/>
          <w:color w:val="222222"/>
          <w:szCs w:val="20"/>
          <w:shd w:val="clear" w:color="auto" w:fill="FFFFFF"/>
        </w:rPr>
      </w:pPr>
      <w:proofErr w:type="spellStart"/>
      <w:r w:rsidRPr="001B7F9C">
        <w:rPr>
          <w:rFonts w:cs="Times New Roman"/>
          <w:color w:val="222222"/>
          <w:szCs w:val="20"/>
          <w:shd w:val="clear" w:color="auto" w:fill="FFFFFF"/>
        </w:rPr>
        <w:t>Wut</w:t>
      </w:r>
      <w:proofErr w:type="spellEnd"/>
      <w:r w:rsidRPr="001B7F9C">
        <w:rPr>
          <w:rFonts w:cs="Times New Roman"/>
          <w:color w:val="222222"/>
          <w:szCs w:val="20"/>
          <w:shd w:val="clear" w:color="auto" w:fill="FFFFFF"/>
        </w:rPr>
        <w:t xml:space="preserve">, T.M., </w:t>
      </w:r>
      <w:proofErr w:type="spellStart"/>
      <w:r w:rsidRPr="001B7F9C">
        <w:rPr>
          <w:rFonts w:cs="Times New Roman"/>
          <w:color w:val="222222"/>
          <w:szCs w:val="20"/>
          <w:shd w:val="clear" w:color="auto" w:fill="FFFFFF"/>
        </w:rPr>
        <w:t>Xu</w:t>
      </w:r>
      <w:proofErr w:type="spellEnd"/>
      <w:r w:rsidRPr="001B7F9C">
        <w:rPr>
          <w:rFonts w:cs="Times New Roman"/>
          <w:color w:val="222222"/>
          <w:szCs w:val="20"/>
          <w:shd w:val="clear" w:color="auto" w:fill="FFFFFF"/>
        </w:rPr>
        <w:t>,</w:t>
      </w:r>
      <w:r w:rsidR="00121FE5">
        <w:rPr>
          <w:rFonts w:cs="Times New Roman"/>
          <w:color w:val="222222"/>
          <w:szCs w:val="20"/>
          <w:shd w:val="clear" w:color="auto" w:fill="FFFFFF"/>
        </w:rPr>
        <w:t xml:space="preserve"> J.B. and Wong, S.M., 2021</w:t>
      </w:r>
      <w:r w:rsidRPr="001B7F9C">
        <w:rPr>
          <w:rFonts w:cs="Times New Roman"/>
          <w:color w:val="222222"/>
          <w:szCs w:val="20"/>
          <w:shd w:val="clear" w:color="auto" w:fill="FFFFFF"/>
        </w:rPr>
        <w:t xml:space="preserve"> </w:t>
      </w:r>
      <w:r w:rsidRPr="00121FE5">
        <w:rPr>
          <w:rFonts w:cs="Times New Roman"/>
          <w:i/>
          <w:color w:val="222222"/>
          <w:szCs w:val="20"/>
          <w:shd w:val="clear" w:color="auto" w:fill="FFFFFF"/>
        </w:rPr>
        <w:t>Crisis management research (1985–2020) in the hospitality and tourism industry: A review and research agenda.</w:t>
      </w:r>
      <w:r w:rsidRPr="001B7F9C">
        <w:rPr>
          <w:rFonts w:cs="Times New Roman"/>
          <w:color w:val="222222"/>
          <w:szCs w:val="20"/>
          <w:shd w:val="clear" w:color="auto" w:fill="FFFFFF"/>
        </w:rPr>
        <w:t> </w:t>
      </w:r>
      <w:proofErr w:type="gramStart"/>
      <w:r w:rsidRPr="00121FE5">
        <w:rPr>
          <w:rFonts w:cs="Times New Roman"/>
          <w:iCs/>
          <w:color w:val="222222"/>
          <w:szCs w:val="20"/>
          <w:shd w:val="clear" w:color="auto" w:fill="FFFFFF"/>
        </w:rPr>
        <w:t>Tourism Management</w:t>
      </w:r>
      <w:r w:rsidRPr="00121FE5">
        <w:rPr>
          <w:rFonts w:cs="Times New Roman"/>
          <w:color w:val="222222"/>
          <w:szCs w:val="20"/>
          <w:shd w:val="clear" w:color="auto" w:fill="FFFFFF"/>
        </w:rPr>
        <w:t>, </w:t>
      </w:r>
      <w:r w:rsidRPr="00121FE5">
        <w:rPr>
          <w:rFonts w:cs="Times New Roman"/>
          <w:iCs/>
          <w:color w:val="222222"/>
          <w:szCs w:val="20"/>
          <w:shd w:val="clear" w:color="auto" w:fill="FFFFFF"/>
        </w:rPr>
        <w:t>85</w:t>
      </w:r>
      <w:r w:rsidRPr="00121FE5">
        <w:rPr>
          <w:rFonts w:cs="Times New Roman"/>
          <w:color w:val="222222"/>
          <w:szCs w:val="20"/>
          <w:shd w:val="clear" w:color="auto" w:fill="FFFFFF"/>
        </w:rPr>
        <w:t>, p.104307.</w:t>
      </w:r>
      <w:proofErr w:type="gramEnd"/>
    </w:p>
    <w:p w:rsidR="000E039C" w:rsidRPr="00913283" w:rsidRDefault="004E4101" w:rsidP="004E4101">
      <w:r w:rsidRPr="004E4101">
        <w:br w:type="column"/>
      </w:r>
    </w:p>
    <w:sectPr w:rsidR="000E039C" w:rsidRPr="00913283" w:rsidSect="001350B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13283"/>
    <w:rsid w:val="000E039C"/>
    <w:rsid w:val="00121FE5"/>
    <w:rsid w:val="001350B6"/>
    <w:rsid w:val="001B7F9C"/>
    <w:rsid w:val="00381DD3"/>
    <w:rsid w:val="003D6913"/>
    <w:rsid w:val="004E4101"/>
    <w:rsid w:val="004F7545"/>
    <w:rsid w:val="007A78DB"/>
    <w:rsid w:val="007C52D2"/>
    <w:rsid w:val="00913283"/>
    <w:rsid w:val="00B62E1F"/>
    <w:rsid w:val="00F26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283"/>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5</Pages>
  <Words>527</Words>
  <Characters>3005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7</cp:revision>
  <dcterms:created xsi:type="dcterms:W3CDTF">2023-03-02T10:57:00Z</dcterms:created>
  <dcterms:modified xsi:type="dcterms:W3CDTF">2023-03-02T19:16:00Z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90dbba12-218f-49b8-b3a9-d3ba5f60ff11</vt:lpwstr>
  </property>
</Properties>
</file>