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42006" w14:textId="77777777" w:rsidR="00BE6584" w:rsidRPr="00975A98" w:rsidRDefault="7F9DDF77" w:rsidP="69478ABA">
      <w:pPr>
        <w:pBdr>
          <w:top w:val="single" w:sz="4" w:space="4" w:color="CCCCCC"/>
          <w:left w:val="single" w:sz="4" w:space="4" w:color="CCCCCC"/>
          <w:bottom w:val="single" w:sz="4" w:space="4" w:color="CCCCCC"/>
          <w:right w:val="single" w:sz="4" w:space="4" w:color="CCCCCC"/>
        </w:pBdr>
        <w:shd w:val="clear" w:color="auto" w:fill="FFFFFF" w:themeFill="background1"/>
        <w:spacing w:after="0"/>
        <w:jc w:val="center"/>
        <w:rPr>
          <w:color w:val="000000" w:themeColor="text1"/>
          <w:sz w:val="22"/>
          <w:szCs w:val="22"/>
          <w:lang w:val="en-GB"/>
        </w:rPr>
      </w:pPr>
      <w:r w:rsidRPr="00975A98">
        <w:rPr>
          <w:noProof/>
          <w:sz w:val="22"/>
          <w:szCs w:val="22"/>
        </w:rPr>
        <w:drawing>
          <wp:inline distT="0" distB="0" distL="0" distR="0" wp14:anchorId="0D7773F8" wp14:editId="41A4D68E">
            <wp:extent cx="4210050" cy="1990725"/>
            <wp:effectExtent l="0" t="0" r="0" b="0"/>
            <wp:docPr id="20105048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04891" name="Picture 2010504891"/>
                    <pic:cNvPicPr/>
                  </pic:nvPicPr>
                  <pic:blipFill>
                    <a:blip r:embed="rId7">
                      <a:extLst>
                        <a:ext uri="{28A0092B-C50C-407E-A947-70E740481C1C}">
                          <a14:useLocalDpi xmlns:a14="http://schemas.microsoft.com/office/drawing/2010/main"/>
                        </a:ext>
                      </a:extLst>
                    </a:blip>
                    <a:stretch>
                      <a:fillRect/>
                    </a:stretch>
                  </pic:blipFill>
                  <pic:spPr>
                    <a:xfrm>
                      <a:off x="0" y="0"/>
                      <a:ext cx="4210050" cy="1990725"/>
                    </a:xfrm>
                    <a:prstGeom prst="rect">
                      <a:avLst/>
                    </a:prstGeom>
                  </pic:spPr>
                </pic:pic>
              </a:graphicData>
            </a:graphic>
          </wp:inline>
        </w:drawing>
      </w:r>
    </w:p>
    <w:p w14:paraId="231D6950" w14:textId="77777777" w:rsidR="00BE6584" w:rsidRPr="00975A98" w:rsidRDefault="00BE6584" w:rsidP="69478ABA">
      <w:pPr>
        <w:pBdr>
          <w:top w:val="single" w:sz="4" w:space="4" w:color="CCCCCC"/>
          <w:left w:val="single" w:sz="4" w:space="4" w:color="CCCCCC"/>
          <w:bottom w:val="single" w:sz="4" w:space="4" w:color="CCCCCC"/>
          <w:right w:val="single" w:sz="4" w:space="4" w:color="CCCCCC"/>
        </w:pBdr>
        <w:shd w:val="clear" w:color="auto" w:fill="FFFFFF" w:themeFill="background1"/>
        <w:spacing w:after="0"/>
        <w:jc w:val="center"/>
        <w:rPr>
          <w:color w:val="000000" w:themeColor="text1"/>
          <w:sz w:val="22"/>
          <w:szCs w:val="22"/>
          <w:lang w:val="en-GB"/>
        </w:rPr>
      </w:pPr>
    </w:p>
    <w:p w14:paraId="71D9DCD7" w14:textId="77777777" w:rsidR="00BE6584" w:rsidRPr="00975A98" w:rsidRDefault="00BE6584" w:rsidP="69478ABA">
      <w:pPr>
        <w:jc w:val="both"/>
        <w:rPr>
          <w:b/>
          <w:bCs/>
          <w:color w:val="000000" w:themeColor="text1"/>
          <w:sz w:val="22"/>
          <w:szCs w:val="22"/>
        </w:rPr>
      </w:pPr>
    </w:p>
    <w:p w14:paraId="0BFFEE1C" w14:textId="5569F243" w:rsidR="00BE6584" w:rsidRPr="00975A98" w:rsidRDefault="00FA2880" w:rsidP="69478ABA">
      <w:pPr>
        <w:jc w:val="both"/>
        <w:rPr>
          <w:color w:val="000000" w:themeColor="text1"/>
          <w:sz w:val="22"/>
          <w:szCs w:val="22"/>
          <w:lang w:val="en-GB"/>
        </w:rPr>
      </w:pPr>
      <w:proofErr w:type="gramStart"/>
      <w:r>
        <w:rPr>
          <w:b/>
          <w:bCs/>
          <w:color w:val="000000" w:themeColor="text1"/>
          <w:sz w:val="22"/>
          <w:szCs w:val="22"/>
        </w:rPr>
        <w:t>N</w:t>
      </w:r>
      <w:r w:rsidR="7F9DDF77" w:rsidRPr="00975A98">
        <w:rPr>
          <w:b/>
          <w:bCs/>
          <w:color w:val="000000" w:themeColor="text1"/>
          <w:sz w:val="22"/>
          <w:szCs w:val="22"/>
        </w:rPr>
        <w:t>ame :</w:t>
      </w:r>
      <w:proofErr w:type="gramEnd"/>
      <w:r w:rsidR="7F9DDF77" w:rsidRPr="00975A98">
        <w:rPr>
          <w:b/>
          <w:bCs/>
          <w:color w:val="000000" w:themeColor="text1"/>
          <w:sz w:val="22"/>
          <w:szCs w:val="22"/>
        </w:rPr>
        <w:t xml:space="preserve"> </w:t>
      </w:r>
      <w:r w:rsidR="00000000" w:rsidRPr="00975A98">
        <w:rPr>
          <w:sz w:val="22"/>
          <w:szCs w:val="22"/>
        </w:rPr>
        <w:tab/>
      </w:r>
      <w:r w:rsidR="00000000" w:rsidRPr="00975A98">
        <w:rPr>
          <w:sz w:val="22"/>
          <w:szCs w:val="22"/>
        </w:rPr>
        <w:tab/>
      </w:r>
      <w:r w:rsidR="7F9DDF77" w:rsidRPr="00975A98">
        <w:rPr>
          <w:b/>
          <w:bCs/>
          <w:color w:val="000000" w:themeColor="text1"/>
          <w:sz w:val="22"/>
          <w:szCs w:val="22"/>
        </w:rPr>
        <w:t>Jamil Khan</w:t>
      </w:r>
    </w:p>
    <w:p w14:paraId="745E6BC1" w14:textId="77777777" w:rsidR="00BE6584" w:rsidRPr="00975A98" w:rsidRDefault="7F9DDF77" w:rsidP="69478ABA">
      <w:pPr>
        <w:jc w:val="both"/>
        <w:rPr>
          <w:color w:val="000000" w:themeColor="text1"/>
          <w:sz w:val="22"/>
          <w:szCs w:val="22"/>
          <w:lang w:val="en-GB"/>
        </w:rPr>
      </w:pPr>
      <w:r w:rsidRPr="00975A98">
        <w:rPr>
          <w:b/>
          <w:bCs/>
          <w:color w:val="000000" w:themeColor="text1"/>
          <w:sz w:val="22"/>
          <w:szCs w:val="22"/>
        </w:rPr>
        <w:t>Student No</w:t>
      </w:r>
      <w:proofErr w:type="gramStart"/>
      <w:r w:rsidRPr="00975A98">
        <w:rPr>
          <w:b/>
          <w:bCs/>
          <w:color w:val="000000" w:themeColor="text1"/>
          <w:sz w:val="22"/>
          <w:szCs w:val="22"/>
        </w:rPr>
        <w:t>:</w:t>
      </w:r>
      <w:r w:rsidR="00000000" w:rsidRPr="00975A98">
        <w:rPr>
          <w:sz w:val="22"/>
          <w:szCs w:val="22"/>
        </w:rPr>
        <w:tab/>
      </w:r>
      <w:r w:rsidR="00000000" w:rsidRPr="00975A98">
        <w:rPr>
          <w:sz w:val="22"/>
          <w:szCs w:val="22"/>
        </w:rPr>
        <w:tab/>
      </w:r>
      <w:r w:rsidRPr="00975A98">
        <w:rPr>
          <w:b/>
          <w:bCs/>
          <w:color w:val="000000" w:themeColor="text1"/>
          <w:sz w:val="22"/>
          <w:szCs w:val="22"/>
        </w:rPr>
        <w:t>2511522</w:t>
      </w:r>
      <w:proofErr w:type="gramEnd"/>
    </w:p>
    <w:p w14:paraId="6558C52B" w14:textId="4B3BB815" w:rsidR="00BE6584" w:rsidRPr="00975A98" w:rsidRDefault="7F9DDF77" w:rsidP="69478ABA">
      <w:pPr>
        <w:jc w:val="both"/>
        <w:rPr>
          <w:color w:val="000000" w:themeColor="text1"/>
          <w:sz w:val="22"/>
          <w:szCs w:val="22"/>
          <w:lang w:val="en-GB"/>
        </w:rPr>
      </w:pPr>
      <w:r w:rsidRPr="00975A98">
        <w:rPr>
          <w:b/>
          <w:bCs/>
          <w:color w:val="000000" w:themeColor="text1"/>
          <w:sz w:val="22"/>
          <w:szCs w:val="22"/>
        </w:rPr>
        <w:t>Module Code:</w:t>
      </w:r>
      <w:r w:rsidR="00000000" w:rsidRPr="00975A98">
        <w:rPr>
          <w:sz w:val="22"/>
          <w:szCs w:val="22"/>
        </w:rPr>
        <w:tab/>
      </w:r>
      <w:r w:rsidRPr="00975A98">
        <w:rPr>
          <w:b/>
          <w:bCs/>
          <w:color w:val="000000" w:themeColor="text1"/>
          <w:sz w:val="22"/>
          <w:szCs w:val="22"/>
        </w:rPr>
        <w:t>LCHS400</w:t>
      </w:r>
      <w:r w:rsidR="00C04AB3">
        <w:rPr>
          <w:b/>
          <w:bCs/>
          <w:color w:val="000000" w:themeColor="text1"/>
          <w:sz w:val="22"/>
          <w:szCs w:val="22"/>
        </w:rPr>
        <w:t>3</w:t>
      </w:r>
    </w:p>
    <w:p w14:paraId="1990FEC8" w14:textId="4D11DB37" w:rsidR="00BE6584" w:rsidRPr="00975A98" w:rsidRDefault="7F9DDF77" w:rsidP="00C04AB3">
      <w:pPr>
        <w:tabs>
          <w:tab w:val="left" w:pos="720"/>
          <w:tab w:val="left" w:pos="1440"/>
          <w:tab w:val="left" w:pos="2160"/>
          <w:tab w:val="left" w:pos="2880"/>
          <w:tab w:val="left" w:pos="3600"/>
          <w:tab w:val="left" w:pos="4320"/>
          <w:tab w:val="left" w:pos="5040"/>
          <w:tab w:val="left" w:pos="5760"/>
          <w:tab w:val="right" w:pos="9360"/>
        </w:tabs>
        <w:jc w:val="both"/>
        <w:rPr>
          <w:color w:val="000000" w:themeColor="text1"/>
          <w:sz w:val="22"/>
          <w:szCs w:val="22"/>
          <w:lang w:val="en-GB"/>
        </w:rPr>
      </w:pPr>
      <w:r w:rsidRPr="00975A98">
        <w:rPr>
          <w:b/>
          <w:bCs/>
          <w:color w:val="000000" w:themeColor="text1"/>
          <w:sz w:val="22"/>
          <w:szCs w:val="22"/>
        </w:rPr>
        <w:t xml:space="preserve">Module: </w:t>
      </w:r>
      <w:r w:rsidR="00000000" w:rsidRPr="00975A98">
        <w:rPr>
          <w:sz w:val="22"/>
          <w:szCs w:val="22"/>
        </w:rPr>
        <w:tab/>
      </w:r>
      <w:r w:rsidR="00000000" w:rsidRPr="00975A98">
        <w:rPr>
          <w:sz w:val="22"/>
          <w:szCs w:val="22"/>
        </w:rPr>
        <w:tab/>
      </w:r>
      <w:r w:rsidRPr="00975A98">
        <w:rPr>
          <w:b/>
          <w:bCs/>
          <w:color w:val="000000" w:themeColor="text1"/>
          <w:sz w:val="22"/>
          <w:szCs w:val="22"/>
        </w:rPr>
        <w:t>Introdution to health and social care</w:t>
      </w:r>
      <w:r w:rsidR="00C04AB3">
        <w:rPr>
          <w:b/>
          <w:bCs/>
          <w:color w:val="000000" w:themeColor="text1"/>
          <w:sz w:val="22"/>
          <w:szCs w:val="22"/>
        </w:rPr>
        <w:tab/>
      </w:r>
    </w:p>
    <w:p w14:paraId="6A8AF14E" w14:textId="77777777" w:rsidR="00BE6584" w:rsidRPr="00975A98" w:rsidRDefault="7F9DDF77" w:rsidP="69478ABA">
      <w:pPr>
        <w:jc w:val="both"/>
        <w:rPr>
          <w:color w:val="000000" w:themeColor="text1"/>
          <w:sz w:val="22"/>
          <w:szCs w:val="22"/>
          <w:lang w:val="en-GB"/>
        </w:rPr>
      </w:pPr>
      <w:r w:rsidRPr="00975A98">
        <w:rPr>
          <w:b/>
          <w:bCs/>
          <w:color w:val="000000" w:themeColor="text1"/>
          <w:sz w:val="22"/>
          <w:szCs w:val="22"/>
        </w:rPr>
        <w:t xml:space="preserve">Lecturer: </w:t>
      </w:r>
      <w:r w:rsidR="00000000" w:rsidRPr="00975A98">
        <w:rPr>
          <w:sz w:val="22"/>
          <w:szCs w:val="22"/>
        </w:rPr>
        <w:tab/>
      </w:r>
      <w:r w:rsidR="00000000" w:rsidRPr="00975A98">
        <w:rPr>
          <w:sz w:val="22"/>
          <w:szCs w:val="22"/>
        </w:rPr>
        <w:tab/>
      </w:r>
      <w:r w:rsidRPr="00975A98">
        <w:rPr>
          <w:b/>
          <w:bCs/>
          <w:color w:val="000000" w:themeColor="text1"/>
          <w:sz w:val="22"/>
          <w:szCs w:val="22"/>
        </w:rPr>
        <w:t>Dr Helen Parsons</w:t>
      </w:r>
    </w:p>
    <w:p w14:paraId="260736C6" w14:textId="77777777" w:rsidR="00BE6584" w:rsidRPr="00975A98" w:rsidRDefault="00BE6584" w:rsidP="69478ABA">
      <w:pPr>
        <w:jc w:val="both"/>
        <w:rPr>
          <w:color w:val="000000" w:themeColor="text1"/>
          <w:sz w:val="22"/>
          <w:szCs w:val="22"/>
          <w:lang w:val="en-GB"/>
        </w:rPr>
      </w:pPr>
    </w:p>
    <w:p w14:paraId="25A41FD2" w14:textId="0EDF967A" w:rsidR="00975A98" w:rsidRPr="00975A98" w:rsidRDefault="004B293A" w:rsidP="00BD4B59">
      <w:pPr>
        <w:ind w:left="2160" w:firstLine="720"/>
        <w:jc w:val="both"/>
        <w:rPr>
          <w:color w:val="000000" w:themeColor="text1"/>
          <w:sz w:val="22"/>
          <w:szCs w:val="22"/>
          <w:lang w:val="en-GB"/>
        </w:rPr>
      </w:pPr>
      <w:r>
        <w:rPr>
          <w:b/>
          <w:bCs/>
          <w:color w:val="000000" w:themeColor="text1"/>
          <w:sz w:val="22"/>
          <w:szCs w:val="22"/>
          <w:lang w:val="en-GB"/>
        </w:rPr>
        <w:t>CA</w:t>
      </w:r>
      <w:r w:rsidR="00975A98" w:rsidRPr="00975A98">
        <w:rPr>
          <w:b/>
          <w:bCs/>
          <w:color w:val="000000" w:themeColor="text1"/>
          <w:sz w:val="22"/>
          <w:szCs w:val="22"/>
          <w:lang w:val="en-GB"/>
        </w:rPr>
        <w:t>SE STUDY: MRS THOMPSON</w:t>
      </w:r>
    </w:p>
    <w:p w14:paraId="24657775" w14:textId="77777777" w:rsidR="00975A98" w:rsidRPr="00975A98" w:rsidRDefault="00975A98" w:rsidP="00975A98">
      <w:pPr>
        <w:jc w:val="both"/>
        <w:rPr>
          <w:color w:val="000000" w:themeColor="text1"/>
          <w:sz w:val="22"/>
          <w:szCs w:val="22"/>
          <w:lang w:val="en-GB"/>
        </w:rPr>
      </w:pPr>
      <w:r w:rsidRPr="00975A98">
        <w:rPr>
          <w:b/>
          <w:bCs/>
          <w:color w:val="000000" w:themeColor="text1"/>
          <w:sz w:val="22"/>
          <w:szCs w:val="22"/>
          <w:lang w:val="en-GB"/>
        </w:rPr>
        <w:t>INTRODUCTION</w:t>
      </w:r>
    </w:p>
    <w:p w14:paraId="63A497DF" w14:textId="3C144AED" w:rsidR="00975A98" w:rsidRPr="00975A98" w:rsidRDefault="00592FDC" w:rsidP="00975A98">
      <w:pPr>
        <w:jc w:val="both"/>
        <w:rPr>
          <w:color w:val="000000" w:themeColor="text1"/>
          <w:sz w:val="22"/>
          <w:szCs w:val="22"/>
          <w:lang w:val="en-GB"/>
        </w:rPr>
      </w:pPr>
      <w:r w:rsidRPr="00592FDC">
        <w:rPr>
          <w:color w:val="000000" w:themeColor="text1"/>
          <w:sz w:val="22"/>
          <w:szCs w:val="22"/>
        </w:rPr>
        <w:t>To gain an in-depth understanding of the decision-making processes involved in the discharge of older people admitted to hospital from home and discharged to a care home, as described in the case records</w:t>
      </w:r>
      <w:r>
        <w:rPr>
          <w:color w:val="000000" w:themeColor="text1"/>
          <w:sz w:val="22"/>
          <w:szCs w:val="22"/>
        </w:rPr>
        <w:t xml:space="preserve">. </w:t>
      </w:r>
      <w:r w:rsidR="00975A98" w:rsidRPr="00975A98">
        <w:rPr>
          <w:color w:val="000000" w:themeColor="text1"/>
          <w:sz w:val="22"/>
          <w:szCs w:val="22"/>
          <w:lang w:val="en-GB"/>
        </w:rPr>
        <w:t>Effective health and social care practice requires professionals to communicate effectively, maintain accurate administrative systems, and work collaboratively to meet the complex needs of vulnerable individuals. This report examines these three key areas using the case study of Mrs Thompson, an 84-year-old woman who was recently discharged from hospital following pneumonia. Mrs. Thompson lives alone in sheltered housing, receives domiciliary care twice daily, and has mild dementia, which has contributed to medication non-adherence and increased confusion. She was also found outside in cold weather without appropriate clothing, resulting in safeguarding concerns and a review by the local council. These incidents highlight the importance of person-centred care, effective communication, accurate record keeping, and coordinated multidisciplinary working to promote patient safety and wellbeing. The report discusses the role of communication within the framework of the Equality Act 2010, examines administrative responsibilities under the Data Protection Act 2018 and relevant health and social care legislation, and evaluates collaborative approaches to delivering safe, high-quality care.</w:t>
      </w:r>
    </w:p>
    <w:p w14:paraId="67073241" w14:textId="77777777" w:rsidR="00BD4B59" w:rsidRDefault="00BD4B59" w:rsidP="00975A98">
      <w:pPr>
        <w:jc w:val="both"/>
        <w:rPr>
          <w:b/>
          <w:bCs/>
          <w:color w:val="000000" w:themeColor="text1"/>
          <w:sz w:val="22"/>
          <w:szCs w:val="22"/>
          <w:lang w:val="en-GB"/>
        </w:rPr>
      </w:pPr>
    </w:p>
    <w:p w14:paraId="3C633415" w14:textId="6A6CB275" w:rsidR="00975A98" w:rsidRPr="00975A98" w:rsidRDefault="00975A98" w:rsidP="00975A98">
      <w:pPr>
        <w:jc w:val="both"/>
        <w:rPr>
          <w:color w:val="000000" w:themeColor="text1"/>
          <w:sz w:val="22"/>
          <w:szCs w:val="22"/>
          <w:lang w:val="en-GB"/>
        </w:rPr>
      </w:pPr>
      <w:r w:rsidRPr="00975A98">
        <w:rPr>
          <w:b/>
          <w:bCs/>
          <w:color w:val="000000" w:themeColor="text1"/>
          <w:sz w:val="22"/>
          <w:szCs w:val="22"/>
          <w:lang w:val="en-GB"/>
        </w:rPr>
        <w:lastRenderedPageBreak/>
        <w:t>The Importance of Effective Communication within the Context of Mrs. Thompson's Care.</w:t>
      </w:r>
    </w:p>
    <w:p w14:paraId="44D1DCF3" w14:textId="1A1FDC34" w:rsidR="00975A98" w:rsidRPr="00975A98" w:rsidRDefault="00975A98" w:rsidP="00975A98">
      <w:pPr>
        <w:jc w:val="both"/>
        <w:rPr>
          <w:color w:val="000000" w:themeColor="text1"/>
          <w:sz w:val="22"/>
          <w:szCs w:val="22"/>
          <w:lang w:val="en-GB"/>
        </w:rPr>
      </w:pPr>
      <w:r w:rsidRPr="00975A98">
        <w:rPr>
          <w:color w:val="000000" w:themeColor="text1"/>
          <w:sz w:val="22"/>
          <w:szCs w:val="22"/>
          <w:lang w:val="en-GB"/>
        </w:rPr>
        <w:t>Effective communication is fundamental to delivering safe, person-centred, and high-quality health and social care, particularly for older adults living with dementia. In Mrs</w:t>
      </w:r>
      <w:r w:rsidR="00BD4B59">
        <w:rPr>
          <w:color w:val="000000" w:themeColor="text1"/>
          <w:sz w:val="22"/>
          <w:szCs w:val="22"/>
          <w:lang w:val="en-GB"/>
        </w:rPr>
        <w:t xml:space="preserve"> </w:t>
      </w:r>
      <w:r w:rsidRPr="00975A98">
        <w:rPr>
          <w:color w:val="000000" w:themeColor="text1"/>
          <w:sz w:val="22"/>
          <w:szCs w:val="22"/>
          <w:lang w:val="en-GB"/>
        </w:rPr>
        <w:t>Thompson's case, communication is essential because she is an 84-year-old woman who has recently been discharged from hospital following pneumonia, lives alone in sheltered housing, receives domiciliary care twice daily, and has mild dementia that affects her memory. Her missed medication and wandering outside without appropriate clothing demonstrate the need for clear, consistent, and compassionate communication between Mrs Thompson, her family, domiciliary care workers, healthcare professionals, and the local authority.</w:t>
      </w:r>
    </w:p>
    <w:p w14:paraId="42162F84" w14:textId="77777777" w:rsidR="00975A98" w:rsidRPr="00975A98" w:rsidRDefault="00975A98" w:rsidP="00975A98">
      <w:pPr>
        <w:jc w:val="both"/>
        <w:rPr>
          <w:color w:val="000000" w:themeColor="text1"/>
          <w:sz w:val="22"/>
          <w:szCs w:val="22"/>
          <w:lang w:val="en-GB"/>
        </w:rPr>
      </w:pPr>
      <w:r w:rsidRPr="00975A98">
        <w:rPr>
          <w:color w:val="000000" w:themeColor="text1"/>
          <w:sz w:val="22"/>
          <w:szCs w:val="22"/>
          <w:lang w:val="en-GB"/>
        </w:rPr>
        <w:t>When communicating with Mrs Thompson, professionals should use a person-centred approach</w:t>
      </w:r>
      <w:r w:rsidRPr="00975A98">
        <w:rPr>
          <w:b/>
          <w:bCs/>
          <w:color w:val="000000" w:themeColor="text1"/>
          <w:sz w:val="22"/>
          <w:szCs w:val="22"/>
          <w:lang w:val="en-GB"/>
        </w:rPr>
        <w:t> </w:t>
      </w:r>
      <w:r w:rsidRPr="00975A98">
        <w:rPr>
          <w:color w:val="000000" w:themeColor="text1"/>
          <w:sz w:val="22"/>
          <w:szCs w:val="22"/>
          <w:lang w:val="en-GB"/>
        </w:rPr>
        <w:t>that respects her dignity, independence, and individual needs. Care workers should speak slowly, use simple and clear language, maintain eye contact, minimise distractions, and allow sufficient time for her to process information and respond. Active listening is equally important, as it enables professionals to understand her concerns, identify changes in her condition, and encourage her participation in decisions regarding her care. Visual aids, written reminders, medication charts, and memory prompts can further support communication and help reduce the risk of medication errors.</w:t>
      </w:r>
    </w:p>
    <w:p w14:paraId="24F52B4E" w14:textId="7158337D" w:rsidR="00975A98" w:rsidRPr="00975A98" w:rsidRDefault="00975A98" w:rsidP="00975A98">
      <w:pPr>
        <w:jc w:val="both"/>
        <w:rPr>
          <w:color w:val="000000" w:themeColor="text1"/>
          <w:sz w:val="22"/>
          <w:szCs w:val="22"/>
          <w:lang w:val="en-GB"/>
        </w:rPr>
      </w:pPr>
      <w:r w:rsidRPr="00975A98">
        <w:rPr>
          <w:color w:val="000000" w:themeColor="text1"/>
          <w:sz w:val="22"/>
          <w:szCs w:val="22"/>
          <w:lang w:val="en-GB"/>
        </w:rPr>
        <w:t xml:space="preserve">The Equality Act 2010 underpins effective communication by protecting individuals from discrimination based on protected characteristics, including age and disability. Mrs Thompson's dementia and advanced age must not prevent her from receiving equal access to healthcare services or being actively involved in decisions about her care. Health and social care professionals have a legal responsibility to make reasonable adjustments to ensure communication is accessible. These adjustments may include providing information in clear language, allowing extra time during conversations, using memory </w:t>
      </w:r>
      <w:proofErr w:type="gramStart"/>
      <w:r w:rsidRPr="00975A98">
        <w:rPr>
          <w:color w:val="000000" w:themeColor="text1"/>
          <w:sz w:val="22"/>
          <w:szCs w:val="22"/>
          <w:lang w:val="en-GB"/>
        </w:rPr>
        <w:t>aids</w:t>
      </w:r>
      <w:r w:rsidR="001053D7">
        <w:rPr>
          <w:color w:val="000000" w:themeColor="text1"/>
          <w:sz w:val="22"/>
          <w:szCs w:val="22"/>
          <w:lang w:val="en-GB"/>
        </w:rPr>
        <w:t>.</w:t>
      </w:r>
      <w:r w:rsidRPr="00975A98">
        <w:rPr>
          <w:color w:val="000000" w:themeColor="text1"/>
          <w:sz w:val="22"/>
          <w:szCs w:val="22"/>
          <w:lang w:val="en-GB"/>
        </w:rPr>
        <w:t>.</w:t>
      </w:r>
      <w:proofErr w:type="gramEnd"/>
    </w:p>
    <w:p w14:paraId="6C8B1A90" w14:textId="77777777" w:rsidR="00975A98" w:rsidRPr="00975A98" w:rsidRDefault="00975A98" w:rsidP="00975A98">
      <w:pPr>
        <w:jc w:val="both"/>
        <w:rPr>
          <w:color w:val="000000" w:themeColor="text1"/>
          <w:sz w:val="22"/>
          <w:szCs w:val="22"/>
          <w:lang w:val="en-GB"/>
        </w:rPr>
      </w:pPr>
      <w:r w:rsidRPr="00975A98">
        <w:rPr>
          <w:color w:val="000000" w:themeColor="text1"/>
          <w:sz w:val="22"/>
          <w:szCs w:val="22"/>
          <w:lang w:val="en-GB"/>
        </w:rPr>
        <w:t>One communication model applicable to this case is the SOLER Model, developed by Gerard Egan. SOLER stands for Sit squarely</w:t>
      </w:r>
      <w:r w:rsidRPr="00975A98">
        <w:rPr>
          <w:b/>
          <w:bCs/>
          <w:color w:val="000000" w:themeColor="text1"/>
          <w:sz w:val="22"/>
          <w:szCs w:val="22"/>
          <w:lang w:val="en-GB"/>
        </w:rPr>
        <w:t>, </w:t>
      </w:r>
      <w:r w:rsidRPr="00975A98">
        <w:rPr>
          <w:color w:val="000000" w:themeColor="text1"/>
          <w:sz w:val="22"/>
          <w:szCs w:val="22"/>
          <w:lang w:val="en-GB"/>
        </w:rPr>
        <w:t>Open posture</w:t>
      </w:r>
      <w:r w:rsidRPr="00975A98">
        <w:rPr>
          <w:b/>
          <w:bCs/>
          <w:color w:val="000000" w:themeColor="text1"/>
          <w:sz w:val="22"/>
          <w:szCs w:val="22"/>
          <w:lang w:val="en-GB"/>
        </w:rPr>
        <w:t>, </w:t>
      </w:r>
      <w:proofErr w:type="gramStart"/>
      <w:r w:rsidRPr="00975A98">
        <w:rPr>
          <w:color w:val="000000" w:themeColor="text1"/>
          <w:sz w:val="22"/>
          <w:szCs w:val="22"/>
          <w:lang w:val="en-GB"/>
        </w:rPr>
        <w:t>Lean</w:t>
      </w:r>
      <w:proofErr w:type="gramEnd"/>
      <w:r w:rsidRPr="00975A98">
        <w:rPr>
          <w:color w:val="000000" w:themeColor="text1"/>
          <w:sz w:val="22"/>
          <w:szCs w:val="22"/>
          <w:lang w:val="en-GB"/>
        </w:rPr>
        <w:t xml:space="preserve"> towards the person</w:t>
      </w:r>
      <w:r w:rsidRPr="00975A98">
        <w:rPr>
          <w:b/>
          <w:bCs/>
          <w:color w:val="000000" w:themeColor="text1"/>
          <w:sz w:val="22"/>
          <w:szCs w:val="22"/>
          <w:lang w:val="en-GB"/>
        </w:rPr>
        <w:t>, </w:t>
      </w:r>
      <w:r w:rsidRPr="00975A98">
        <w:rPr>
          <w:color w:val="000000" w:themeColor="text1"/>
          <w:sz w:val="22"/>
          <w:szCs w:val="22"/>
          <w:lang w:val="en-GB"/>
        </w:rPr>
        <w:t>Eye contact, and </w:t>
      </w:r>
      <w:proofErr w:type="gramStart"/>
      <w:r w:rsidRPr="00975A98">
        <w:rPr>
          <w:color w:val="000000" w:themeColor="text1"/>
          <w:sz w:val="22"/>
          <w:szCs w:val="22"/>
          <w:lang w:val="en-GB"/>
        </w:rPr>
        <w:t>Relax</w:t>
      </w:r>
      <w:proofErr w:type="gramEnd"/>
      <w:r w:rsidRPr="00975A98">
        <w:rPr>
          <w:color w:val="000000" w:themeColor="text1"/>
          <w:sz w:val="22"/>
          <w:szCs w:val="22"/>
          <w:lang w:val="en-GB"/>
        </w:rPr>
        <w:t>. This model promotes active listening and therapeutic communication by encouraging professionals to demonstrate attentiveness, empathy, and respect through both verbal and non-verbal communication. During medication discussions or safeguarding assessments, care workers who apply the SOLER model create a supportive environment in which Mrs Thompson feels comfortable expressing her concerns. This approach strengthens trust, improves understanding, reduces anxiety, and enables professionals to identify potential risks early. Consequently, effective communication contributes significantly to safe medication management, collaborative care planning, safeguarding, and improved health outcomes for Mrs Thompson.</w:t>
      </w:r>
    </w:p>
    <w:p w14:paraId="2F86EE3D" w14:textId="77777777" w:rsidR="00975A98" w:rsidRPr="00975A98" w:rsidRDefault="00975A98" w:rsidP="00975A98">
      <w:pPr>
        <w:jc w:val="both"/>
        <w:rPr>
          <w:color w:val="000000" w:themeColor="text1"/>
          <w:sz w:val="22"/>
          <w:szCs w:val="22"/>
          <w:lang w:val="en-GB"/>
        </w:rPr>
      </w:pPr>
      <w:r w:rsidRPr="00975A98">
        <w:rPr>
          <w:color w:val="000000" w:themeColor="text1"/>
          <w:sz w:val="22"/>
          <w:szCs w:val="22"/>
          <w:lang w:val="en-GB"/>
        </w:rPr>
        <w:t>The Importance of Good Administrative Skills within Professional Practice in the Context of Mrs Thompson's Care.</w:t>
      </w:r>
    </w:p>
    <w:p w14:paraId="5D1216E3" w14:textId="77777777" w:rsidR="00975A98" w:rsidRPr="00975A98" w:rsidRDefault="00975A98" w:rsidP="00975A98">
      <w:pPr>
        <w:jc w:val="both"/>
        <w:rPr>
          <w:color w:val="000000" w:themeColor="text1"/>
          <w:sz w:val="22"/>
          <w:szCs w:val="22"/>
          <w:lang w:val="en-GB"/>
        </w:rPr>
      </w:pPr>
      <w:r w:rsidRPr="00975A98">
        <w:rPr>
          <w:color w:val="000000" w:themeColor="text1"/>
          <w:sz w:val="22"/>
          <w:szCs w:val="22"/>
          <w:lang w:val="en-GB"/>
        </w:rPr>
        <w:t xml:space="preserve">Several legislative and policy frameworks support effective administration in Mrs Thompson's care. The Care Act 2014places a duty on local authorities to safeguard adults who have care and support needs and are at risk of abuse or neglect. The Health and Social Care Act 2008 (Regulated Activities) Regulations 2014 requires providers to maintain accurate, complete, and </w:t>
      </w:r>
      <w:r w:rsidRPr="00975A98">
        <w:rPr>
          <w:color w:val="000000" w:themeColor="text1"/>
          <w:sz w:val="22"/>
          <w:szCs w:val="22"/>
          <w:lang w:val="en-GB"/>
        </w:rPr>
        <w:lastRenderedPageBreak/>
        <w:t>secure records while ensuring safe care and treatment. Additionally, the NHS Records Management Code of Practice 2021 provides guidance on creating, maintaining, storing, and disposing of health records appropriately.</w:t>
      </w:r>
    </w:p>
    <w:p w14:paraId="1A04FC00" w14:textId="77777777" w:rsidR="00975A98" w:rsidRDefault="00975A98" w:rsidP="00975A98">
      <w:pPr>
        <w:jc w:val="both"/>
        <w:rPr>
          <w:color w:val="000000" w:themeColor="text1"/>
          <w:sz w:val="22"/>
          <w:szCs w:val="22"/>
          <w:lang w:val="en-GB"/>
        </w:rPr>
      </w:pPr>
      <w:r w:rsidRPr="00975A98">
        <w:rPr>
          <w:color w:val="000000" w:themeColor="text1"/>
          <w:sz w:val="22"/>
          <w:szCs w:val="22"/>
          <w:lang w:val="en-GB"/>
        </w:rPr>
        <w:t>In conclusion, good administrative skills are essential to maintaining safe, high-quality care for Mrs Thompson. Accurate record keeping, effective documentation, secure information management, and compliance with the Data Protection Act 2018 and relevant health and social care legislation ensure that professionals work efficiently while protecting Mrs Thompson's privacy, promoting continuity of care, supporting safeguarding procedures, and improving patient outcomes.</w:t>
      </w:r>
    </w:p>
    <w:p w14:paraId="4C44574D" w14:textId="77777777" w:rsidR="00975A98" w:rsidRPr="00975A98" w:rsidRDefault="00975A98" w:rsidP="00975A98">
      <w:pPr>
        <w:jc w:val="both"/>
        <w:rPr>
          <w:color w:val="000000" w:themeColor="text1"/>
          <w:sz w:val="22"/>
          <w:szCs w:val="22"/>
          <w:lang w:val="en-GB"/>
        </w:rPr>
      </w:pPr>
      <w:r w:rsidRPr="00975A98">
        <w:rPr>
          <w:b/>
          <w:bCs/>
          <w:color w:val="000000" w:themeColor="text1"/>
          <w:sz w:val="22"/>
          <w:szCs w:val="22"/>
          <w:lang w:val="en-GB"/>
        </w:rPr>
        <w:t>The Importance of Working Collaboratively with Other Professionals in Mrs Thompson's Care</w:t>
      </w:r>
    </w:p>
    <w:p w14:paraId="74D613DD" w14:textId="77777777" w:rsidR="00975A98" w:rsidRPr="00975A98" w:rsidRDefault="00975A98" w:rsidP="00975A98">
      <w:pPr>
        <w:jc w:val="both"/>
        <w:rPr>
          <w:color w:val="000000" w:themeColor="text1"/>
          <w:sz w:val="22"/>
          <w:szCs w:val="22"/>
          <w:lang w:val="en-GB"/>
        </w:rPr>
      </w:pPr>
      <w:r w:rsidRPr="00975A98">
        <w:rPr>
          <w:color w:val="000000" w:themeColor="text1"/>
          <w:sz w:val="22"/>
          <w:szCs w:val="22"/>
          <w:lang w:val="en-GB"/>
        </w:rPr>
        <w:t>Collaborative working is essential in providing safe, effective, and person-centred care for individuals with complex health and social care needs. Mrs Thompson's recent hospital discharge following pneumonia, mild dementia, medication non-compliance, and safeguarding concerns require coordinated support from a multidisciplinary team (MDT). Professionals including her General Practitioner (GP), community nurse, pharmacist, domiciliary care workers, social worker, and local authority safeguarding team each have specific responsibilities that contribute to her overall wellbeing.</w:t>
      </w:r>
    </w:p>
    <w:p w14:paraId="51959983" w14:textId="54E37E6F" w:rsidR="00BF2005" w:rsidRPr="00975A98" w:rsidRDefault="00BF2005" w:rsidP="00975A98">
      <w:pPr>
        <w:jc w:val="both"/>
        <w:rPr>
          <w:color w:val="000000" w:themeColor="text1"/>
          <w:sz w:val="22"/>
          <w:szCs w:val="22"/>
          <w:lang w:val="en-GB"/>
        </w:rPr>
      </w:pPr>
      <w:r w:rsidRPr="00BF2005">
        <w:rPr>
          <w:color w:val="000000" w:themeColor="text1"/>
          <w:sz w:val="22"/>
          <w:szCs w:val="22"/>
        </w:rPr>
        <w:t xml:space="preserve">Currently, most NHS patient surveys include an item that measures respect and dignity, and it was this that was identified as an important </w:t>
      </w:r>
      <w:proofErr w:type="gramStart"/>
      <w:r w:rsidRPr="00BF2005">
        <w:rPr>
          <w:color w:val="000000" w:themeColor="text1"/>
          <w:sz w:val="22"/>
          <w:szCs w:val="22"/>
        </w:rPr>
        <w:t>single-item</w:t>
      </w:r>
      <w:proofErr w:type="gramEnd"/>
      <w:r w:rsidRPr="00BF2005">
        <w:rPr>
          <w:color w:val="000000" w:themeColor="text1"/>
          <w:sz w:val="22"/>
          <w:szCs w:val="22"/>
        </w:rPr>
        <w:t xml:space="preserve"> </w:t>
      </w:r>
      <w:proofErr w:type="spellStart"/>
      <w:r w:rsidRPr="00BF2005">
        <w:rPr>
          <w:color w:val="000000" w:themeColor="text1"/>
          <w:sz w:val="22"/>
          <w:szCs w:val="22"/>
        </w:rPr>
        <w:t>do main</w:t>
      </w:r>
      <w:proofErr w:type="spellEnd"/>
      <w:r w:rsidRPr="00BF2005">
        <w:rPr>
          <w:color w:val="000000" w:themeColor="text1"/>
          <w:sz w:val="22"/>
          <w:szCs w:val="22"/>
        </w:rPr>
        <w:t xml:space="preserve"> in the Picker Institute’s analysis (</w:t>
      </w:r>
      <w:proofErr w:type="spellStart"/>
      <w:r w:rsidRPr="00BF2005">
        <w:rPr>
          <w:color w:val="000000" w:themeColor="text1"/>
          <w:sz w:val="22"/>
          <w:szCs w:val="22"/>
        </w:rPr>
        <w:t>Sizmur</w:t>
      </w:r>
      <w:proofErr w:type="spellEnd"/>
      <w:r w:rsidRPr="00BF2005">
        <w:rPr>
          <w:color w:val="000000" w:themeColor="text1"/>
          <w:sz w:val="22"/>
          <w:szCs w:val="22"/>
        </w:rPr>
        <w:t xml:space="preserve"> and Redding, 2009). It would seem to be a good potential indicator of the extent to which individuals feel that differences and values are respected in a range of healthcare contexts. In each case, the null hypothesis was that the population reported no differences </w:t>
      </w:r>
      <w:proofErr w:type="gramStart"/>
      <w:r w:rsidRPr="00BF2005">
        <w:rPr>
          <w:color w:val="000000" w:themeColor="text1"/>
          <w:sz w:val="22"/>
          <w:szCs w:val="22"/>
        </w:rPr>
        <w:t>with regard to</w:t>
      </w:r>
      <w:proofErr w:type="gramEnd"/>
      <w:r w:rsidRPr="00BF2005">
        <w:rPr>
          <w:color w:val="000000" w:themeColor="text1"/>
          <w:sz w:val="22"/>
          <w:szCs w:val="22"/>
        </w:rPr>
        <w:t xml:space="preserve"> respect and dignity</w:t>
      </w:r>
    </w:p>
    <w:p w14:paraId="31A49E83" w14:textId="77777777" w:rsidR="00975A98" w:rsidRPr="00975A98" w:rsidRDefault="00975A98" w:rsidP="00975A98">
      <w:pPr>
        <w:jc w:val="both"/>
        <w:rPr>
          <w:color w:val="000000" w:themeColor="text1"/>
          <w:sz w:val="22"/>
          <w:szCs w:val="22"/>
          <w:lang w:val="en-GB"/>
        </w:rPr>
      </w:pPr>
      <w:r w:rsidRPr="00975A98">
        <w:rPr>
          <w:color w:val="000000" w:themeColor="text1"/>
          <w:sz w:val="22"/>
          <w:szCs w:val="22"/>
          <w:lang w:val="en-GB"/>
        </w:rPr>
        <w:t>However, multi-agency working can present challenges, including communication breakdowns, unclear professional responsibilities, incompatible record systems, confidentiality concerns, and delays in sharing information. These issues may lead to inconsistent care or delayed interventions.</w:t>
      </w:r>
    </w:p>
    <w:p w14:paraId="1361D718" w14:textId="77777777" w:rsidR="00975A98" w:rsidRPr="00975A98" w:rsidRDefault="00975A98" w:rsidP="00975A98">
      <w:pPr>
        <w:jc w:val="both"/>
        <w:rPr>
          <w:color w:val="000000" w:themeColor="text1"/>
          <w:sz w:val="22"/>
          <w:szCs w:val="22"/>
          <w:lang w:val="en-GB"/>
        </w:rPr>
      </w:pPr>
      <w:r w:rsidRPr="00975A98">
        <w:rPr>
          <w:color w:val="000000" w:themeColor="text1"/>
          <w:sz w:val="22"/>
          <w:szCs w:val="22"/>
          <w:lang w:val="en-GB"/>
        </w:rPr>
        <w:t>To overcome these challenges, organizations should establish clear communication pathways, define professional roles, provide regular multidisciplinary meetings, follow agreed information-sharing protocols under the Data Protection Act 2018</w:t>
      </w:r>
      <w:r w:rsidRPr="00975A98">
        <w:rPr>
          <w:b/>
          <w:bCs/>
          <w:color w:val="000000" w:themeColor="text1"/>
          <w:sz w:val="22"/>
          <w:szCs w:val="22"/>
          <w:lang w:val="en-GB"/>
        </w:rPr>
        <w:t> </w:t>
      </w:r>
      <w:r w:rsidRPr="00975A98">
        <w:rPr>
          <w:color w:val="000000" w:themeColor="text1"/>
          <w:sz w:val="22"/>
          <w:szCs w:val="22"/>
          <w:lang w:val="en-GB"/>
        </w:rPr>
        <w:t>and</w:t>
      </w:r>
      <w:r w:rsidRPr="00975A98">
        <w:rPr>
          <w:b/>
          <w:bCs/>
          <w:color w:val="000000" w:themeColor="text1"/>
          <w:sz w:val="22"/>
          <w:szCs w:val="22"/>
          <w:lang w:val="en-GB"/>
        </w:rPr>
        <w:t> </w:t>
      </w:r>
      <w:r w:rsidRPr="00975A98">
        <w:rPr>
          <w:color w:val="000000" w:themeColor="text1"/>
          <w:sz w:val="22"/>
          <w:szCs w:val="22"/>
          <w:lang w:val="en-GB"/>
        </w:rPr>
        <w:t>UK GDPR</w:t>
      </w:r>
      <w:r w:rsidRPr="00975A98">
        <w:rPr>
          <w:b/>
          <w:bCs/>
          <w:color w:val="000000" w:themeColor="text1"/>
          <w:sz w:val="22"/>
          <w:szCs w:val="22"/>
          <w:lang w:val="en-GB"/>
        </w:rPr>
        <w:t>,</w:t>
      </w:r>
      <w:r w:rsidRPr="00975A98">
        <w:rPr>
          <w:color w:val="000000" w:themeColor="text1"/>
          <w:sz w:val="22"/>
          <w:szCs w:val="22"/>
          <w:lang w:val="en-GB"/>
        </w:rPr>
        <w:t> and promote ongoing inter- -professional training. Developing a shared care plan centred on </w:t>
      </w:r>
      <w:proofErr w:type="spellStart"/>
      <w:r w:rsidRPr="00975A98">
        <w:rPr>
          <w:color w:val="000000" w:themeColor="text1"/>
          <w:sz w:val="22"/>
          <w:szCs w:val="22"/>
          <w:lang w:val="en-GB"/>
        </w:rPr>
        <w:t>MrsThompson's</w:t>
      </w:r>
      <w:proofErr w:type="spellEnd"/>
      <w:r w:rsidRPr="00975A98">
        <w:rPr>
          <w:color w:val="000000" w:themeColor="text1"/>
          <w:sz w:val="22"/>
          <w:szCs w:val="22"/>
          <w:lang w:val="en-GB"/>
        </w:rPr>
        <w:t xml:space="preserve"> individual needs encourages accountability and coordinated decision-making.</w:t>
      </w:r>
    </w:p>
    <w:p w14:paraId="47350E18" w14:textId="4E66CC8D" w:rsidR="00BF2005" w:rsidRPr="00C04AB3" w:rsidRDefault="00BF2005" w:rsidP="00975A98">
      <w:pPr>
        <w:jc w:val="both"/>
        <w:rPr>
          <w:b/>
          <w:bCs/>
          <w:color w:val="000000" w:themeColor="text1"/>
          <w:sz w:val="22"/>
          <w:szCs w:val="22"/>
        </w:rPr>
      </w:pPr>
      <w:r w:rsidRPr="00C04AB3">
        <w:rPr>
          <w:b/>
          <w:bCs/>
          <w:color w:val="000000" w:themeColor="text1"/>
          <w:sz w:val="22"/>
          <w:szCs w:val="22"/>
        </w:rPr>
        <w:t>Administration skills</w:t>
      </w:r>
    </w:p>
    <w:p w14:paraId="27D65FAD" w14:textId="47179A0D" w:rsidR="00BF2005" w:rsidRDefault="00BF2005" w:rsidP="00975A98">
      <w:pPr>
        <w:jc w:val="both"/>
        <w:rPr>
          <w:color w:val="000000" w:themeColor="text1"/>
          <w:sz w:val="22"/>
          <w:szCs w:val="22"/>
        </w:rPr>
      </w:pPr>
      <w:r w:rsidRPr="00BF2005">
        <w:rPr>
          <w:color w:val="000000" w:themeColor="text1"/>
          <w:sz w:val="22"/>
          <w:szCs w:val="22"/>
        </w:rPr>
        <w:t xml:space="preserve">It is the purpose of this article to suggest what may be a more useful approach to the selection and development of administrators. This approach is based not on what good executives are (their innate traits and characteristics), but rather on what they do (the kinds of skills which they exhibit in carrying out their jobs effectively). As used here, a skill implies an ability which can be developed, not necessarily inborn, and which is manifested in performance, not merely in potential. </w:t>
      </w:r>
      <w:proofErr w:type="gramStart"/>
      <w:r w:rsidRPr="00BF2005">
        <w:rPr>
          <w:color w:val="000000" w:themeColor="text1"/>
          <w:sz w:val="22"/>
          <w:szCs w:val="22"/>
        </w:rPr>
        <w:t>So</w:t>
      </w:r>
      <w:proofErr w:type="gramEnd"/>
      <w:r w:rsidRPr="00BF2005">
        <w:rPr>
          <w:color w:val="000000" w:themeColor="text1"/>
          <w:sz w:val="22"/>
          <w:szCs w:val="22"/>
        </w:rPr>
        <w:t xml:space="preserve"> the principal criterion of skillfulness must be effective action under varying conditions.</w:t>
      </w:r>
    </w:p>
    <w:p w14:paraId="264ABC3E" w14:textId="77777777" w:rsidR="00FA2880" w:rsidRDefault="00C04AB3" w:rsidP="00975A98">
      <w:pPr>
        <w:jc w:val="both"/>
        <w:rPr>
          <w:b/>
          <w:bCs/>
          <w:color w:val="000000" w:themeColor="text1"/>
          <w:sz w:val="22"/>
          <w:szCs w:val="22"/>
        </w:rPr>
      </w:pPr>
      <w:r w:rsidRPr="00C04AB3">
        <w:rPr>
          <w:b/>
          <w:bCs/>
          <w:color w:val="000000" w:themeColor="text1"/>
          <w:sz w:val="22"/>
          <w:szCs w:val="22"/>
        </w:rPr>
        <w:lastRenderedPageBreak/>
        <w:t>Strategies and common challenges with multi agencies working</w:t>
      </w:r>
    </w:p>
    <w:p w14:paraId="18C6D48E" w14:textId="6E935C59" w:rsidR="00C04AB3" w:rsidRDefault="00FA2880" w:rsidP="00975A98">
      <w:pPr>
        <w:jc w:val="both"/>
        <w:rPr>
          <w:color w:val="000000" w:themeColor="text1"/>
          <w:sz w:val="22"/>
          <w:szCs w:val="22"/>
        </w:rPr>
      </w:pPr>
      <w:r w:rsidRPr="00FA2880">
        <w:rPr>
          <w:color w:val="000000" w:themeColor="text1"/>
          <w:sz w:val="22"/>
          <w:szCs w:val="22"/>
        </w:rPr>
        <w:t>The paper aims to appraise professional practice in safeguarding vulnerable adults. It will examine the mechanisms in place and discuss how future policy will affect multi</w:t>
      </w:r>
      <w:r w:rsidRPr="00FA2880">
        <w:rPr>
          <w:rFonts w:ascii="Cambria Math" w:hAnsi="Cambria Math" w:cs="Cambria Math"/>
          <w:color w:val="000000" w:themeColor="text1"/>
          <w:sz w:val="22"/>
          <w:szCs w:val="22"/>
        </w:rPr>
        <w:t>‐</w:t>
      </w:r>
      <w:r w:rsidRPr="00FA2880">
        <w:rPr>
          <w:color w:val="000000" w:themeColor="text1"/>
          <w:sz w:val="22"/>
          <w:szCs w:val="22"/>
        </w:rPr>
        <w:t>agency working in this field.</w:t>
      </w:r>
    </w:p>
    <w:p w14:paraId="3A45907F" w14:textId="5EEBFF88" w:rsidR="00FA2880" w:rsidRPr="00FA2880" w:rsidRDefault="00FA2880" w:rsidP="00975A98">
      <w:pPr>
        <w:jc w:val="both"/>
        <w:rPr>
          <w:color w:val="000000" w:themeColor="text1"/>
          <w:sz w:val="22"/>
          <w:szCs w:val="22"/>
        </w:rPr>
      </w:pPr>
      <w:r w:rsidRPr="00FA2880">
        <w:rPr>
          <w:color w:val="000000" w:themeColor="text1"/>
          <w:sz w:val="22"/>
          <w:szCs w:val="22"/>
        </w:rPr>
        <w:t xml:space="preserve">Safeguarding systems need to be timely, rigorous and transparent to increase levels of public confidence and to ensure that the people who are at most risk of being abused are safe when accessing public services. The concept of safeguarding adults is increasingly being integrated into government policy and there are many successful examples of safeguarding partnership working in England and Wales. However, there are also substantial barriers that hinder </w:t>
      </w:r>
      <w:proofErr w:type="spellStart"/>
      <w:r w:rsidRPr="00FA2880">
        <w:rPr>
          <w:color w:val="000000" w:themeColor="text1"/>
          <w:sz w:val="22"/>
          <w:szCs w:val="22"/>
        </w:rPr>
        <w:t>organisations</w:t>
      </w:r>
      <w:proofErr w:type="spellEnd"/>
      <w:r w:rsidRPr="00FA2880">
        <w:rPr>
          <w:color w:val="000000" w:themeColor="text1"/>
          <w:sz w:val="22"/>
          <w:szCs w:val="22"/>
        </w:rPr>
        <w:t xml:space="preserve"> from working together effectively, such as different cultures, practices and ideologies.</w:t>
      </w:r>
    </w:p>
    <w:p w14:paraId="3639AD55" w14:textId="77777777" w:rsidR="00975A98" w:rsidRPr="00975A98" w:rsidRDefault="00975A98" w:rsidP="00975A98">
      <w:pPr>
        <w:jc w:val="both"/>
        <w:rPr>
          <w:color w:val="000000" w:themeColor="text1"/>
          <w:sz w:val="22"/>
          <w:szCs w:val="22"/>
          <w:lang w:val="en-GB"/>
        </w:rPr>
      </w:pPr>
      <w:r w:rsidRPr="00975A98">
        <w:rPr>
          <w:b/>
          <w:bCs/>
          <w:color w:val="000000" w:themeColor="text1"/>
          <w:sz w:val="22"/>
          <w:szCs w:val="22"/>
          <w:lang w:val="en-GB"/>
        </w:rPr>
        <w:t>CONCLUSION</w:t>
      </w:r>
    </w:p>
    <w:p w14:paraId="5DBB56C4" w14:textId="77777777" w:rsidR="00975A98" w:rsidRPr="00975A98" w:rsidRDefault="00975A98" w:rsidP="00975A98">
      <w:pPr>
        <w:jc w:val="both"/>
        <w:rPr>
          <w:color w:val="000000" w:themeColor="text1"/>
          <w:sz w:val="22"/>
          <w:szCs w:val="22"/>
          <w:lang w:val="en-GB"/>
        </w:rPr>
      </w:pPr>
      <w:r w:rsidRPr="00975A98">
        <w:rPr>
          <w:color w:val="000000" w:themeColor="text1"/>
          <w:sz w:val="22"/>
          <w:szCs w:val="22"/>
          <w:lang w:val="en-GB"/>
        </w:rPr>
        <w:t>In conclusion, </w:t>
      </w:r>
      <w:bookmarkStart w:id="0" w:name="x__GoBack"/>
      <w:bookmarkEnd w:id="0"/>
      <w:r w:rsidRPr="00975A98">
        <w:rPr>
          <w:color w:val="000000" w:themeColor="text1"/>
          <w:sz w:val="22"/>
          <w:szCs w:val="22"/>
          <w:lang w:val="en-GB"/>
        </w:rPr>
        <w:t>Mrs Thompson's case demonstrates the importance of integrating effective communication, sound administrative practice, and collaborative multidisciplinary working to deliver safe, person-centred care. Clear and respectful communication enables professionals to understand her needs, involve her in decision-making, and work effectively with her family while complying with the principles of the Equality Act 2010</w:t>
      </w:r>
      <w:r w:rsidRPr="00975A98">
        <w:rPr>
          <w:b/>
          <w:bCs/>
          <w:color w:val="000000" w:themeColor="text1"/>
          <w:sz w:val="22"/>
          <w:szCs w:val="22"/>
          <w:lang w:val="en-GB"/>
        </w:rPr>
        <w:t>.</w:t>
      </w:r>
      <w:r w:rsidRPr="00975A98">
        <w:rPr>
          <w:color w:val="000000" w:themeColor="text1"/>
          <w:sz w:val="22"/>
          <w:szCs w:val="22"/>
          <w:lang w:val="en-GB"/>
        </w:rPr>
        <w:t> Accurate record keeping and secure management of personal information, in accordance with the Data Protection Act 2018</w:t>
      </w:r>
      <w:r w:rsidRPr="00975A98">
        <w:rPr>
          <w:b/>
          <w:bCs/>
          <w:color w:val="000000" w:themeColor="text1"/>
          <w:sz w:val="22"/>
          <w:szCs w:val="22"/>
          <w:lang w:val="en-GB"/>
        </w:rPr>
        <w:t> </w:t>
      </w:r>
      <w:r w:rsidRPr="00975A98">
        <w:rPr>
          <w:color w:val="000000" w:themeColor="text1"/>
          <w:sz w:val="22"/>
          <w:szCs w:val="22"/>
          <w:lang w:val="en-GB"/>
        </w:rPr>
        <w:t>and UK GDPR, support continuity of care, legal compliance, and safeguarding. Furthermore, collaboration between the GP, community nurse, pharmacist, domiciliary care workers, social worker, and local authority ensures coordinated assessments, medication management, and timely interventions to reduce risks associated with dementia and self-neglect. By applying these professional practices alongside relevant legislation and policy frameworks, health and social care professionals can protect </w:t>
      </w:r>
      <w:proofErr w:type="spellStart"/>
      <w:r w:rsidRPr="00975A98">
        <w:rPr>
          <w:color w:val="000000" w:themeColor="text1"/>
          <w:sz w:val="22"/>
          <w:szCs w:val="22"/>
          <w:lang w:val="en-GB"/>
        </w:rPr>
        <w:t>MrsThompson's</w:t>
      </w:r>
      <w:proofErr w:type="spellEnd"/>
      <w:r w:rsidRPr="00975A98">
        <w:rPr>
          <w:color w:val="000000" w:themeColor="text1"/>
          <w:sz w:val="22"/>
          <w:szCs w:val="22"/>
          <w:lang w:val="en-GB"/>
        </w:rPr>
        <w:t xml:space="preserve"> dignity, promote her independence, improve health outcomes, and ensure the delivery of high-quality, compassionate, and person-centred care.</w:t>
      </w:r>
    </w:p>
    <w:p w14:paraId="68176DB0" w14:textId="77777777" w:rsidR="00B7067B" w:rsidRDefault="00B7067B" w:rsidP="00975A98">
      <w:pPr>
        <w:jc w:val="both"/>
        <w:rPr>
          <w:b/>
          <w:bCs/>
          <w:color w:val="000000" w:themeColor="text1"/>
          <w:sz w:val="22"/>
          <w:szCs w:val="22"/>
          <w:lang w:val="en-GB"/>
        </w:rPr>
      </w:pPr>
    </w:p>
    <w:p w14:paraId="2453673E" w14:textId="77777777" w:rsidR="00B7067B" w:rsidRDefault="00B7067B" w:rsidP="00975A98">
      <w:pPr>
        <w:jc w:val="both"/>
        <w:rPr>
          <w:b/>
          <w:bCs/>
          <w:color w:val="000000" w:themeColor="text1"/>
          <w:sz w:val="22"/>
          <w:szCs w:val="22"/>
          <w:lang w:val="en-GB"/>
        </w:rPr>
      </w:pPr>
    </w:p>
    <w:p w14:paraId="29951C08" w14:textId="77777777" w:rsidR="00B7067B" w:rsidRDefault="00B7067B" w:rsidP="00975A98">
      <w:pPr>
        <w:jc w:val="both"/>
        <w:rPr>
          <w:b/>
          <w:bCs/>
          <w:color w:val="000000" w:themeColor="text1"/>
          <w:sz w:val="22"/>
          <w:szCs w:val="22"/>
          <w:lang w:val="en-GB"/>
        </w:rPr>
      </w:pPr>
    </w:p>
    <w:p w14:paraId="23FBD25F" w14:textId="77777777" w:rsidR="00B7067B" w:rsidRDefault="00B7067B" w:rsidP="00975A98">
      <w:pPr>
        <w:jc w:val="both"/>
        <w:rPr>
          <w:b/>
          <w:bCs/>
          <w:color w:val="000000" w:themeColor="text1"/>
          <w:sz w:val="22"/>
          <w:szCs w:val="22"/>
          <w:lang w:val="en-GB"/>
        </w:rPr>
      </w:pPr>
    </w:p>
    <w:p w14:paraId="505F00BB" w14:textId="77777777" w:rsidR="00B7067B" w:rsidRDefault="00B7067B" w:rsidP="00975A98">
      <w:pPr>
        <w:jc w:val="both"/>
        <w:rPr>
          <w:b/>
          <w:bCs/>
          <w:color w:val="000000" w:themeColor="text1"/>
          <w:sz w:val="22"/>
          <w:szCs w:val="22"/>
          <w:lang w:val="en-GB"/>
        </w:rPr>
      </w:pPr>
    </w:p>
    <w:p w14:paraId="4918F091" w14:textId="77777777" w:rsidR="00B7067B" w:rsidRDefault="00B7067B" w:rsidP="00975A98">
      <w:pPr>
        <w:jc w:val="both"/>
        <w:rPr>
          <w:b/>
          <w:bCs/>
          <w:color w:val="000000" w:themeColor="text1"/>
          <w:sz w:val="22"/>
          <w:szCs w:val="22"/>
          <w:lang w:val="en-GB"/>
        </w:rPr>
      </w:pPr>
    </w:p>
    <w:p w14:paraId="7484239C" w14:textId="77777777" w:rsidR="00B7067B" w:rsidRDefault="00B7067B" w:rsidP="00975A98">
      <w:pPr>
        <w:jc w:val="both"/>
        <w:rPr>
          <w:b/>
          <w:bCs/>
          <w:color w:val="000000" w:themeColor="text1"/>
          <w:sz w:val="22"/>
          <w:szCs w:val="22"/>
          <w:lang w:val="en-GB"/>
        </w:rPr>
      </w:pPr>
    </w:p>
    <w:p w14:paraId="7FEBEFC8" w14:textId="77777777" w:rsidR="00B7067B" w:rsidRDefault="00B7067B" w:rsidP="00975A98">
      <w:pPr>
        <w:jc w:val="both"/>
        <w:rPr>
          <w:b/>
          <w:bCs/>
          <w:color w:val="000000" w:themeColor="text1"/>
          <w:sz w:val="22"/>
          <w:szCs w:val="22"/>
          <w:lang w:val="en-GB"/>
        </w:rPr>
      </w:pPr>
    </w:p>
    <w:p w14:paraId="47F5CF27" w14:textId="77777777" w:rsidR="00B7067B" w:rsidRDefault="00B7067B" w:rsidP="00975A98">
      <w:pPr>
        <w:jc w:val="both"/>
        <w:rPr>
          <w:b/>
          <w:bCs/>
          <w:color w:val="000000" w:themeColor="text1"/>
          <w:sz w:val="22"/>
          <w:szCs w:val="22"/>
          <w:lang w:val="en-GB"/>
        </w:rPr>
      </w:pPr>
    </w:p>
    <w:p w14:paraId="238EDE75" w14:textId="77777777" w:rsidR="00B7067B" w:rsidRDefault="00B7067B" w:rsidP="00975A98">
      <w:pPr>
        <w:jc w:val="both"/>
        <w:rPr>
          <w:b/>
          <w:bCs/>
          <w:color w:val="000000" w:themeColor="text1"/>
          <w:sz w:val="22"/>
          <w:szCs w:val="22"/>
          <w:lang w:val="en-GB"/>
        </w:rPr>
      </w:pPr>
    </w:p>
    <w:p w14:paraId="7E464F33" w14:textId="77777777" w:rsidR="00B7067B" w:rsidRDefault="00B7067B" w:rsidP="00975A98">
      <w:pPr>
        <w:jc w:val="both"/>
        <w:rPr>
          <w:b/>
          <w:bCs/>
          <w:color w:val="000000" w:themeColor="text1"/>
          <w:sz w:val="22"/>
          <w:szCs w:val="22"/>
          <w:lang w:val="en-GB"/>
        </w:rPr>
      </w:pPr>
    </w:p>
    <w:p w14:paraId="2222325A" w14:textId="3AF9051F" w:rsidR="00BE6584" w:rsidRPr="00B7067B" w:rsidRDefault="004B293A" w:rsidP="00B7067B">
      <w:pPr>
        <w:ind w:left="3600"/>
        <w:jc w:val="both"/>
        <w:rPr>
          <w:b/>
          <w:bCs/>
          <w:color w:val="000000" w:themeColor="text1"/>
          <w:sz w:val="22"/>
          <w:szCs w:val="22"/>
          <w:lang w:val="en-GB"/>
        </w:rPr>
      </w:pPr>
      <w:r w:rsidRPr="00B7067B">
        <w:rPr>
          <w:b/>
          <w:bCs/>
          <w:color w:val="000000" w:themeColor="text1"/>
          <w:sz w:val="22"/>
          <w:szCs w:val="22"/>
          <w:lang w:val="en-GB"/>
        </w:rPr>
        <w:t xml:space="preserve">References </w:t>
      </w:r>
    </w:p>
    <w:p w14:paraId="3314B8C7" w14:textId="77777777" w:rsidR="00592FDC" w:rsidRPr="00592FDC" w:rsidRDefault="00592FDC" w:rsidP="00592FDC">
      <w:pPr>
        <w:pStyle w:val="ListParagraph"/>
        <w:numPr>
          <w:ilvl w:val="0"/>
          <w:numId w:val="4"/>
        </w:numPr>
        <w:jc w:val="both"/>
        <w:rPr>
          <w:color w:val="000000" w:themeColor="text1"/>
          <w:sz w:val="22"/>
          <w:szCs w:val="22"/>
          <w:lang w:val="en-GB"/>
        </w:rPr>
      </w:pPr>
      <w:r w:rsidRPr="00592FDC">
        <w:rPr>
          <w:color w:val="000000" w:themeColor="text1"/>
          <w:sz w:val="22"/>
          <w:szCs w:val="22"/>
          <w:lang w:val="en-GB"/>
        </w:rPr>
        <w:t>Alaszewski, A., Harrison, L., &amp; Manthorpe, J. (1998). </w:t>
      </w:r>
      <w:r w:rsidRPr="00592FDC">
        <w:rPr>
          <w:i/>
          <w:iCs/>
          <w:color w:val="000000" w:themeColor="text1"/>
          <w:sz w:val="22"/>
          <w:szCs w:val="22"/>
          <w:lang w:val="en-GB"/>
        </w:rPr>
        <w:t>Risk, health and welfare</w:t>
      </w:r>
      <w:r w:rsidRPr="00592FDC">
        <w:rPr>
          <w:color w:val="000000" w:themeColor="text1"/>
          <w:sz w:val="22"/>
          <w:szCs w:val="22"/>
          <w:lang w:val="en-GB"/>
        </w:rPr>
        <w:t>. Buckinghamshire, UK: Open University Press.</w:t>
      </w:r>
    </w:p>
    <w:p w14:paraId="096F0FD8" w14:textId="6BFD85C6" w:rsidR="004B293A" w:rsidRDefault="00592FDC" w:rsidP="00592FDC">
      <w:pPr>
        <w:ind w:firstLine="720"/>
        <w:jc w:val="both"/>
        <w:rPr>
          <w:color w:val="000000" w:themeColor="text1"/>
          <w:sz w:val="22"/>
          <w:szCs w:val="22"/>
          <w:lang w:val="en-GB"/>
        </w:rPr>
      </w:pPr>
      <w:hyperlink r:id="rId8" w:tgtFrame="_blank" w:history="1">
        <w:r w:rsidRPr="00592FDC">
          <w:rPr>
            <w:rStyle w:val="Hyperlink"/>
            <w:b/>
            <w:bCs/>
            <w:sz w:val="22"/>
            <w:szCs w:val="22"/>
            <w:lang w:val="en-GB"/>
          </w:rPr>
          <w:t>Google Scholar</w:t>
        </w:r>
      </w:hyperlink>
    </w:p>
    <w:p w14:paraId="65902BC5" w14:textId="77777777" w:rsidR="00592FDC" w:rsidRPr="00592FDC" w:rsidRDefault="00592FDC" w:rsidP="00592FDC">
      <w:pPr>
        <w:numPr>
          <w:ilvl w:val="0"/>
          <w:numId w:val="5"/>
        </w:numPr>
        <w:jc w:val="both"/>
        <w:rPr>
          <w:color w:val="000000" w:themeColor="text1"/>
          <w:sz w:val="22"/>
          <w:szCs w:val="22"/>
          <w:lang w:val="en-GB"/>
        </w:rPr>
      </w:pPr>
      <w:r w:rsidRPr="00592FDC">
        <w:rPr>
          <w:color w:val="000000" w:themeColor="text1"/>
          <w:sz w:val="22"/>
          <w:szCs w:val="22"/>
          <w:lang w:val="en-GB"/>
        </w:rPr>
        <w:t>S. Ravera</w:t>
      </w:r>
      <w:r w:rsidRPr="00592FDC">
        <w:rPr>
          <w:i/>
          <w:iCs/>
          <w:color w:val="000000" w:themeColor="text1"/>
          <w:sz w:val="22"/>
          <w:szCs w:val="22"/>
          <w:lang w:val="en-GB"/>
        </w:rPr>
        <w:t> et al.</w:t>
      </w:r>
    </w:p>
    <w:p w14:paraId="66EC1B8D" w14:textId="77777777" w:rsidR="00592FDC" w:rsidRPr="00592FDC" w:rsidRDefault="00592FDC" w:rsidP="00592FDC">
      <w:pPr>
        <w:ind w:left="720"/>
        <w:jc w:val="both"/>
        <w:rPr>
          <w:color w:val="000000" w:themeColor="text1"/>
          <w:sz w:val="22"/>
          <w:szCs w:val="22"/>
          <w:lang w:val="en-GB"/>
        </w:rPr>
      </w:pPr>
      <w:hyperlink r:id="rId9" w:history="1">
        <w:r w:rsidRPr="00592FDC">
          <w:rPr>
            <w:rStyle w:val="Hyperlink"/>
            <w:sz w:val="22"/>
            <w:szCs w:val="22"/>
            <w:lang w:val="en-GB"/>
          </w:rPr>
          <w:t>Prevalence, cumulative incidence, monotherapy and combination therapy, and treatment duration of frequently prescribed psychoactive medications in The Netherlands: Retrospective database analysis for the years 2000 to 2005</w:t>
        </w:r>
      </w:hyperlink>
    </w:p>
    <w:p w14:paraId="4888FBFF" w14:textId="7DE652B4" w:rsidR="00592FDC" w:rsidRDefault="00592FDC" w:rsidP="00592FDC">
      <w:pPr>
        <w:ind w:firstLine="720"/>
        <w:jc w:val="both"/>
        <w:rPr>
          <w:color w:val="000000" w:themeColor="text1"/>
          <w:sz w:val="22"/>
          <w:szCs w:val="22"/>
          <w:lang w:val="en-GB"/>
        </w:rPr>
      </w:pPr>
      <w:r w:rsidRPr="00592FDC">
        <w:rPr>
          <w:color w:val="000000" w:themeColor="text1"/>
          <w:sz w:val="22"/>
          <w:szCs w:val="22"/>
          <w:lang w:val="en-GB"/>
        </w:rPr>
        <w:t xml:space="preserve">Clin </w:t>
      </w:r>
      <w:proofErr w:type="gramStart"/>
      <w:r w:rsidRPr="00592FDC">
        <w:rPr>
          <w:color w:val="000000" w:themeColor="text1"/>
          <w:sz w:val="22"/>
          <w:szCs w:val="22"/>
          <w:lang w:val="en-GB"/>
        </w:rPr>
        <w:t>Ther(</w:t>
      </w:r>
      <w:proofErr w:type="gramEnd"/>
      <w:r w:rsidRPr="00592FDC">
        <w:rPr>
          <w:color w:val="000000" w:themeColor="text1"/>
          <w:sz w:val="22"/>
          <w:szCs w:val="22"/>
          <w:lang w:val="en-GB"/>
        </w:rPr>
        <w:t>2010)</w:t>
      </w:r>
    </w:p>
    <w:p w14:paraId="42BB25D8" w14:textId="228BCE3C" w:rsidR="00BF2005" w:rsidRDefault="00BF2005" w:rsidP="00BF2005">
      <w:pPr>
        <w:pStyle w:val="ListParagraph"/>
        <w:numPr>
          <w:ilvl w:val="0"/>
          <w:numId w:val="4"/>
        </w:numPr>
        <w:jc w:val="both"/>
        <w:rPr>
          <w:color w:val="000000" w:themeColor="text1"/>
          <w:sz w:val="22"/>
          <w:szCs w:val="22"/>
          <w:lang w:val="en-GB"/>
        </w:rPr>
      </w:pPr>
      <w:r w:rsidRPr="00BF2005">
        <w:rPr>
          <w:color w:val="000000" w:themeColor="text1"/>
          <w:sz w:val="22"/>
          <w:szCs w:val="22"/>
        </w:rPr>
        <w:t>Abbott, P and Sapsford, R (2005) Living on the margins: older people, place and social exclusion. Policy Studies 26, 29–46.10.1080/01442870500041660</w:t>
      </w:r>
      <w:hyperlink r:id="rId10" w:tgtFrame="_blank" w:history="1">
        <w:r w:rsidRPr="00BF2005">
          <w:rPr>
            <w:rStyle w:val="Hyperlink"/>
            <w:sz w:val="22"/>
            <w:szCs w:val="22"/>
          </w:rPr>
          <w:t>CrossRef</w:t>
        </w:r>
      </w:hyperlink>
      <w:hyperlink r:id="rId11" w:tgtFrame="_blank" w:history="1">
        <w:r w:rsidRPr="00BF2005">
          <w:rPr>
            <w:rStyle w:val="Hyperlink"/>
            <w:sz w:val="22"/>
            <w:szCs w:val="22"/>
          </w:rPr>
          <w:t>Google Scholar</w:t>
        </w:r>
      </w:hyperlink>
    </w:p>
    <w:p w14:paraId="2D16B89D" w14:textId="324B5788" w:rsidR="00BF2005" w:rsidRPr="00C04AB3" w:rsidRDefault="00BF2005" w:rsidP="00BF2005">
      <w:pPr>
        <w:pStyle w:val="ListParagraph"/>
        <w:numPr>
          <w:ilvl w:val="0"/>
          <w:numId w:val="4"/>
        </w:numPr>
        <w:jc w:val="both"/>
        <w:rPr>
          <w:color w:val="000000" w:themeColor="text1"/>
          <w:sz w:val="22"/>
          <w:szCs w:val="22"/>
          <w:lang w:val="en-GB"/>
        </w:rPr>
      </w:pPr>
      <w:proofErr w:type="spellStart"/>
      <w:r w:rsidRPr="00BF2005">
        <w:rPr>
          <w:color w:val="000000" w:themeColor="text1"/>
          <w:sz w:val="22"/>
          <w:szCs w:val="22"/>
        </w:rPr>
        <w:t>Andridge</w:t>
      </w:r>
      <w:proofErr w:type="spellEnd"/>
      <w:r w:rsidRPr="00BF2005">
        <w:rPr>
          <w:color w:val="000000" w:themeColor="text1"/>
          <w:sz w:val="22"/>
          <w:szCs w:val="22"/>
        </w:rPr>
        <w:t xml:space="preserve"> RR and Little RJA (2010) A review of hot deck imputation for survey non-response. International Stat </w:t>
      </w:r>
      <w:proofErr w:type="spellStart"/>
      <w:r w:rsidRPr="00BF2005">
        <w:rPr>
          <w:color w:val="000000" w:themeColor="text1"/>
          <w:sz w:val="22"/>
          <w:szCs w:val="22"/>
        </w:rPr>
        <w:t>istical</w:t>
      </w:r>
      <w:proofErr w:type="spellEnd"/>
      <w:r w:rsidRPr="00BF2005">
        <w:rPr>
          <w:color w:val="000000" w:themeColor="text1"/>
          <w:sz w:val="22"/>
          <w:szCs w:val="22"/>
        </w:rPr>
        <w:t xml:space="preserve"> Review 78:40–64. Aspinall PJ (</w:t>
      </w:r>
      <w:proofErr w:type="gramStart"/>
      <w:r w:rsidRPr="00BF2005">
        <w:rPr>
          <w:color w:val="000000" w:themeColor="text1"/>
          <w:sz w:val="22"/>
          <w:szCs w:val="22"/>
        </w:rPr>
        <w:t>2009)Estimating</w:t>
      </w:r>
      <w:proofErr w:type="gramEnd"/>
      <w:r w:rsidRPr="00BF2005">
        <w:rPr>
          <w:color w:val="000000" w:themeColor="text1"/>
          <w:sz w:val="22"/>
          <w:szCs w:val="22"/>
        </w:rPr>
        <w:t xml:space="preserve"> the Size and </w:t>
      </w:r>
      <w:proofErr w:type="spellStart"/>
      <w:r w:rsidRPr="00BF2005">
        <w:rPr>
          <w:color w:val="000000" w:themeColor="text1"/>
          <w:sz w:val="22"/>
          <w:szCs w:val="22"/>
        </w:rPr>
        <w:t>Compositionofthe</w:t>
      </w:r>
      <w:proofErr w:type="spellEnd"/>
      <w:r w:rsidRPr="00BF2005">
        <w:rPr>
          <w:color w:val="000000" w:themeColor="text1"/>
          <w:sz w:val="22"/>
          <w:szCs w:val="22"/>
        </w:rPr>
        <w:t xml:space="preserve"> Lesbian, Gay, and Bisexual Population in Britain. EHCR Report 37. Manchester: Equality and Human Rights Commission. Baillie L and </w:t>
      </w:r>
      <w:proofErr w:type="spellStart"/>
      <w:r w:rsidRPr="00BF2005">
        <w:rPr>
          <w:color w:val="000000" w:themeColor="text1"/>
          <w:sz w:val="22"/>
          <w:szCs w:val="22"/>
        </w:rPr>
        <w:t>Matiti</w:t>
      </w:r>
      <w:proofErr w:type="spellEnd"/>
      <w:r w:rsidRPr="00BF2005">
        <w:rPr>
          <w:color w:val="000000" w:themeColor="text1"/>
          <w:sz w:val="22"/>
          <w:szCs w:val="22"/>
        </w:rPr>
        <w:t xml:space="preserve"> </w:t>
      </w:r>
      <w:proofErr w:type="gramStart"/>
      <w:r w:rsidRPr="00BF2005">
        <w:rPr>
          <w:color w:val="000000" w:themeColor="text1"/>
          <w:sz w:val="22"/>
          <w:szCs w:val="22"/>
        </w:rPr>
        <w:t>M(2013)</w:t>
      </w:r>
      <w:proofErr w:type="spellStart"/>
      <w:r w:rsidRPr="00BF2005">
        <w:rPr>
          <w:color w:val="000000" w:themeColor="text1"/>
          <w:sz w:val="22"/>
          <w:szCs w:val="22"/>
        </w:rPr>
        <w:t>Dignity</w:t>
      </w:r>
      <w:proofErr w:type="gramEnd"/>
      <w:r w:rsidRPr="00BF2005">
        <w:rPr>
          <w:color w:val="000000" w:themeColor="text1"/>
          <w:sz w:val="22"/>
          <w:szCs w:val="22"/>
        </w:rPr>
        <w:t>,equalityanddiversity</w:t>
      </w:r>
      <w:proofErr w:type="spellEnd"/>
      <w:r w:rsidRPr="00BF2005">
        <w:rPr>
          <w:color w:val="000000" w:themeColor="text1"/>
          <w:sz w:val="22"/>
          <w:szCs w:val="22"/>
        </w:rPr>
        <w:t xml:space="preserve">: an exploration of how discriminatory </w:t>
      </w:r>
      <w:proofErr w:type="spellStart"/>
      <w:r w:rsidRPr="00BF2005">
        <w:rPr>
          <w:color w:val="000000" w:themeColor="text1"/>
          <w:sz w:val="22"/>
          <w:szCs w:val="22"/>
        </w:rPr>
        <w:t>behaviour</w:t>
      </w:r>
      <w:proofErr w:type="spellEnd"/>
      <w:r w:rsidRPr="00BF2005">
        <w:rPr>
          <w:color w:val="000000" w:themeColor="text1"/>
          <w:sz w:val="22"/>
          <w:szCs w:val="22"/>
        </w:rPr>
        <w:t xml:space="preserve"> of healthcare workers affects patient dignity. Diversity and Equality in Health and Care 10:5–12</w:t>
      </w:r>
    </w:p>
    <w:p w14:paraId="6B7FEAC4" w14:textId="3ABBE106" w:rsidR="00C04AB3" w:rsidRPr="00C04AB3" w:rsidRDefault="00C04AB3" w:rsidP="00BF2005">
      <w:pPr>
        <w:pStyle w:val="ListParagraph"/>
        <w:numPr>
          <w:ilvl w:val="0"/>
          <w:numId w:val="4"/>
        </w:numPr>
        <w:jc w:val="both"/>
        <w:rPr>
          <w:color w:val="000000" w:themeColor="text1"/>
          <w:sz w:val="22"/>
          <w:szCs w:val="22"/>
          <w:lang w:val="en-GB"/>
        </w:rPr>
      </w:pPr>
      <w:r w:rsidRPr="00C04AB3">
        <w:rPr>
          <w:color w:val="000000" w:themeColor="text1"/>
          <w:sz w:val="22"/>
          <w:szCs w:val="22"/>
        </w:rPr>
        <w:t>RL Katz - Harvard business review, 1955 - academia.edu</w:t>
      </w:r>
    </w:p>
    <w:p w14:paraId="7D114D46" w14:textId="38DCDEDF" w:rsidR="00592FDC" w:rsidRPr="00FA2880" w:rsidRDefault="00FA2880" w:rsidP="00C04AB3">
      <w:pPr>
        <w:pStyle w:val="ListParagraph"/>
        <w:numPr>
          <w:ilvl w:val="0"/>
          <w:numId w:val="4"/>
        </w:numPr>
        <w:jc w:val="both"/>
        <w:rPr>
          <w:color w:val="000000" w:themeColor="text1"/>
          <w:sz w:val="22"/>
          <w:szCs w:val="22"/>
          <w:lang w:val="en-GB"/>
        </w:rPr>
      </w:pPr>
      <w:hyperlink r:id="rId12" w:history="1">
        <w:r w:rsidRPr="001134E6">
          <w:rPr>
            <w:rStyle w:val="Hyperlink"/>
            <w:sz w:val="22"/>
            <w:szCs w:val="22"/>
          </w:rPr>
          <w:t>www.schoolar.co.uk</w:t>
        </w:r>
      </w:hyperlink>
    </w:p>
    <w:p w14:paraId="2E62EF95" w14:textId="77777777" w:rsidR="00FA2880" w:rsidRPr="00FA2880" w:rsidRDefault="00FA2880" w:rsidP="00FA2880">
      <w:pPr>
        <w:pStyle w:val="ListParagraph"/>
        <w:numPr>
          <w:ilvl w:val="0"/>
          <w:numId w:val="4"/>
        </w:numPr>
        <w:shd w:val="clear" w:color="auto" w:fill="F7F7F7"/>
        <w:textAlignment w:val="baseline"/>
        <w:rPr>
          <w:rFonts w:ascii="Arial" w:hAnsi="Arial" w:cs="Arial"/>
          <w:color w:val="1A1A1A"/>
          <w:sz w:val="18"/>
          <w:szCs w:val="18"/>
        </w:rPr>
      </w:pPr>
      <w:r w:rsidRPr="00FA2880">
        <w:rPr>
          <w:rFonts w:ascii="Arial" w:hAnsi="Arial" w:cs="Arial"/>
          <w:color w:val="1A1A1A"/>
          <w:sz w:val="18"/>
          <w:szCs w:val="18"/>
        </w:rPr>
        <w:t>The Journal of Adult Protection (2011) 13 (2): 100–113.</w:t>
      </w:r>
    </w:p>
    <w:p w14:paraId="248E011F" w14:textId="77777777" w:rsidR="00FA2880" w:rsidRPr="00FA2880" w:rsidRDefault="00FA2880" w:rsidP="00FA2880">
      <w:pPr>
        <w:pStyle w:val="ListParagraph"/>
        <w:numPr>
          <w:ilvl w:val="0"/>
          <w:numId w:val="4"/>
        </w:numPr>
        <w:shd w:val="clear" w:color="auto" w:fill="F7F7F7"/>
        <w:textAlignment w:val="baseline"/>
        <w:rPr>
          <w:rFonts w:ascii="Arial" w:hAnsi="Arial" w:cs="Arial"/>
          <w:color w:val="1A1A1A"/>
          <w:sz w:val="21"/>
          <w:szCs w:val="21"/>
        </w:rPr>
      </w:pPr>
      <w:hyperlink r:id="rId13" w:tgtFrame="_blank" w:history="1">
        <w:r w:rsidRPr="00FA2880">
          <w:rPr>
            <w:rStyle w:val="Hyperlink"/>
            <w:rFonts w:ascii="Arial" w:hAnsi="Arial" w:cs="Arial"/>
            <w:color w:val="1C696A"/>
            <w:sz w:val="21"/>
            <w:szCs w:val="21"/>
            <w:u w:val="none"/>
            <w:bdr w:val="none" w:sz="0" w:space="0" w:color="auto" w:frame="1"/>
          </w:rPr>
          <w:t>https://doi.org/10.1108/14668201111139754</w:t>
        </w:r>
      </w:hyperlink>
    </w:p>
    <w:p w14:paraId="6DA50355" w14:textId="77777777" w:rsidR="00FA2880" w:rsidRPr="00C04AB3" w:rsidRDefault="00FA2880" w:rsidP="00FA2880">
      <w:pPr>
        <w:pStyle w:val="ListParagraph"/>
        <w:jc w:val="both"/>
        <w:rPr>
          <w:color w:val="000000" w:themeColor="text1"/>
          <w:sz w:val="22"/>
          <w:szCs w:val="22"/>
          <w:lang w:val="en-GB"/>
        </w:rPr>
      </w:pPr>
    </w:p>
    <w:sectPr w:rsidR="00FA2880" w:rsidRPr="00C04AB3">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5884C" w14:textId="77777777" w:rsidR="0072071D" w:rsidRDefault="0072071D">
      <w:pPr>
        <w:spacing w:after="0" w:line="240" w:lineRule="auto"/>
      </w:pPr>
      <w:r>
        <w:separator/>
      </w:r>
    </w:p>
  </w:endnote>
  <w:endnote w:type="continuationSeparator" w:id="0">
    <w:p w14:paraId="26A5B3D9" w14:textId="77777777" w:rsidR="0072071D" w:rsidRDefault="00720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9478ABA" w14:paraId="609A5B43" w14:textId="77777777" w:rsidTr="4E543859">
      <w:trPr>
        <w:trHeight w:val="300"/>
      </w:trPr>
      <w:tc>
        <w:tcPr>
          <w:tcW w:w="3120" w:type="dxa"/>
        </w:tcPr>
        <w:p w14:paraId="5F0D2728" w14:textId="77777777" w:rsidR="69478ABA" w:rsidRDefault="69478ABA" w:rsidP="69478ABA">
          <w:pPr>
            <w:pStyle w:val="Header"/>
            <w:ind w:left="-115"/>
          </w:pPr>
        </w:p>
      </w:tc>
      <w:tc>
        <w:tcPr>
          <w:tcW w:w="3120" w:type="dxa"/>
        </w:tcPr>
        <w:p w14:paraId="16A408FE" w14:textId="77777777" w:rsidR="69478ABA" w:rsidRDefault="69478ABA" w:rsidP="69478ABA">
          <w:pPr>
            <w:pStyle w:val="Header"/>
            <w:jc w:val="center"/>
          </w:pPr>
        </w:p>
      </w:tc>
      <w:tc>
        <w:tcPr>
          <w:tcW w:w="3120" w:type="dxa"/>
        </w:tcPr>
        <w:p w14:paraId="2DF9BB7C" w14:textId="77777777" w:rsidR="69478ABA" w:rsidRDefault="69478ABA" w:rsidP="69478ABA">
          <w:pPr>
            <w:pStyle w:val="Header"/>
            <w:ind w:right="-115"/>
            <w:jc w:val="right"/>
          </w:pPr>
        </w:p>
      </w:tc>
    </w:tr>
  </w:tbl>
  <w:p w14:paraId="1CAC03AA" w14:textId="77777777" w:rsidR="69478ABA" w:rsidRDefault="69478ABA" w:rsidP="69478ABA">
    <w:pPr>
      <w:pStyle w:val="Footer"/>
    </w:pPr>
  </w:p>
  <w:p w14:paraId="0E1560EF" w14:textId="77777777" w:rsidR="4E543859" w:rsidRDefault="4E543859" w:rsidP="4E5438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7AA20" w14:textId="77777777" w:rsidR="0072071D" w:rsidRDefault="0072071D">
      <w:pPr>
        <w:spacing w:after="0" w:line="240" w:lineRule="auto"/>
      </w:pPr>
      <w:r>
        <w:separator/>
      </w:r>
    </w:p>
  </w:footnote>
  <w:footnote w:type="continuationSeparator" w:id="0">
    <w:p w14:paraId="32105C82" w14:textId="77777777" w:rsidR="0072071D" w:rsidRDefault="007207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9478ABA" w14:paraId="425A214D" w14:textId="77777777" w:rsidTr="69478ABA">
      <w:trPr>
        <w:trHeight w:val="300"/>
      </w:trPr>
      <w:tc>
        <w:tcPr>
          <w:tcW w:w="3120" w:type="dxa"/>
        </w:tcPr>
        <w:p w14:paraId="028B667F" w14:textId="77777777" w:rsidR="69478ABA" w:rsidRDefault="69478ABA" w:rsidP="69478ABA">
          <w:pPr>
            <w:pStyle w:val="Header"/>
            <w:ind w:left="-115"/>
          </w:pPr>
        </w:p>
      </w:tc>
      <w:tc>
        <w:tcPr>
          <w:tcW w:w="3120" w:type="dxa"/>
        </w:tcPr>
        <w:p w14:paraId="38E7C6C4" w14:textId="77777777" w:rsidR="69478ABA" w:rsidRDefault="69478ABA" w:rsidP="69478ABA">
          <w:pPr>
            <w:pStyle w:val="Header"/>
            <w:jc w:val="center"/>
          </w:pPr>
        </w:p>
      </w:tc>
      <w:tc>
        <w:tcPr>
          <w:tcW w:w="3120" w:type="dxa"/>
        </w:tcPr>
        <w:p w14:paraId="2EC122A0" w14:textId="77777777" w:rsidR="69478ABA" w:rsidRDefault="69478ABA" w:rsidP="69478ABA">
          <w:pPr>
            <w:pStyle w:val="Header"/>
            <w:ind w:right="-115"/>
            <w:jc w:val="right"/>
          </w:pPr>
        </w:p>
      </w:tc>
    </w:tr>
  </w:tbl>
  <w:p w14:paraId="16BC6443" w14:textId="77777777" w:rsidR="69478ABA" w:rsidRDefault="69478ABA" w:rsidP="69478A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A531D"/>
    <w:multiLevelType w:val="hybridMultilevel"/>
    <w:tmpl w:val="3E583CAE"/>
    <w:lvl w:ilvl="0" w:tplc="6D8621D4">
      <w:start w:val="1"/>
      <w:numFmt w:val="bullet"/>
      <w:lvlText w:val=""/>
      <w:lvlJc w:val="left"/>
      <w:pPr>
        <w:ind w:left="720" w:hanging="360"/>
      </w:pPr>
      <w:rPr>
        <w:rFonts w:ascii="Symbol" w:hAnsi="Symbol" w:hint="default"/>
      </w:rPr>
    </w:lvl>
    <w:lvl w:ilvl="1" w:tplc="285EF4AA">
      <w:start w:val="1"/>
      <w:numFmt w:val="bullet"/>
      <w:lvlText w:val="o"/>
      <w:lvlJc w:val="left"/>
      <w:pPr>
        <w:ind w:left="1440" w:hanging="360"/>
      </w:pPr>
      <w:rPr>
        <w:rFonts w:ascii="Courier New" w:hAnsi="Courier New" w:hint="default"/>
      </w:rPr>
    </w:lvl>
    <w:lvl w:ilvl="2" w:tplc="C7D01438">
      <w:start w:val="1"/>
      <w:numFmt w:val="bullet"/>
      <w:lvlText w:val=""/>
      <w:lvlJc w:val="left"/>
      <w:pPr>
        <w:ind w:left="2160" w:hanging="360"/>
      </w:pPr>
      <w:rPr>
        <w:rFonts w:ascii="Wingdings" w:hAnsi="Wingdings" w:hint="default"/>
      </w:rPr>
    </w:lvl>
    <w:lvl w:ilvl="3" w:tplc="ECBEC8F6">
      <w:start w:val="1"/>
      <w:numFmt w:val="bullet"/>
      <w:lvlText w:val=""/>
      <w:lvlJc w:val="left"/>
      <w:pPr>
        <w:ind w:left="2880" w:hanging="360"/>
      </w:pPr>
      <w:rPr>
        <w:rFonts w:ascii="Symbol" w:hAnsi="Symbol" w:hint="default"/>
      </w:rPr>
    </w:lvl>
    <w:lvl w:ilvl="4" w:tplc="32CC2BAC">
      <w:start w:val="1"/>
      <w:numFmt w:val="bullet"/>
      <w:lvlText w:val="o"/>
      <w:lvlJc w:val="left"/>
      <w:pPr>
        <w:ind w:left="3600" w:hanging="360"/>
      </w:pPr>
      <w:rPr>
        <w:rFonts w:ascii="Courier New" w:hAnsi="Courier New" w:hint="default"/>
      </w:rPr>
    </w:lvl>
    <w:lvl w:ilvl="5" w:tplc="D2A48AE0">
      <w:start w:val="1"/>
      <w:numFmt w:val="bullet"/>
      <w:lvlText w:val=""/>
      <w:lvlJc w:val="left"/>
      <w:pPr>
        <w:ind w:left="4320" w:hanging="360"/>
      </w:pPr>
      <w:rPr>
        <w:rFonts w:ascii="Wingdings" w:hAnsi="Wingdings" w:hint="default"/>
      </w:rPr>
    </w:lvl>
    <w:lvl w:ilvl="6" w:tplc="2A1CBF3C">
      <w:start w:val="1"/>
      <w:numFmt w:val="bullet"/>
      <w:lvlText w:val=""/>
      <w:lvlJc w:val="left"/>
      <w:pPr>
        <w:ind w:left="5040" w:hanging="360"/>
      </w:pPr>
      <w:rPr>
        <w:rFonts w:ascii="Symbol" w:hAnsi="Symbol" w:hint="default"/>
      </w:rPr>
    </w:lvl>
    <w:lvl w:ilvl="7" w:tplc="1BC6BCCA">
      <w:start w:val="1"/>
      <w:numFmt w:val="bullet"/>
      <w:lvlText w:val="o"/>
      <w:lvlJc w:val="left"/>
      <w:pPr>
        <w:ind w:left="5760" w:hanging="360"/>
      </w:pPr>
      <w:rPr>
        <w:rFonts w:ascii="Courier New" w:hAnsi="Courier New" w:hint="default"/>
      </w:rPr>
    </w:lvl>
    <w:lvl w:ilvl="8" w:tplc="1D6862D8">
      <w:start w:val="1"/>
      <w:numFmt w:val="bullet"/>
      <w:lvlText w:val=""/>
      <w:lvlJc w:val="left"/>
      <w:pPr>
        <w:ind w:left="6480" w:hanging="360"/>
      </w:pPr>
      <w:rPr>
        <w:rFonts w:ascii="Wingdings" w:hAnsi="Wingdings" w:hint="default"/>
      </w:rPr>
    </w:lvl>
  </w:abstractNum>
  <w:abstractNum w:abstractNumId="1" w15:restartNumberingAfterBreak="0">
    <w:nsid w:val="203422A2"/>
    <w:multiLevelType w:val="hybridMultilevel"/>
    <w:tmpl w:val="C824C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CCF505"/>
    <w:multiLevelType w:val="hybridMultilevel"/>
    <w:tmpl w:val="2258F95E"/>
    <w:lvl w:ilvl="0" w:tplc="1A302920">
      <w:start w:val="1"/>
      <w:numFmt w:val="bullet"/>
      <w:lvlText w:val=""/>
      <w:lvlJc w:val="left"/>
      <w:pPr>
        <w:ind w:left="720" w:hanging="360"/>
      </w:pPr>
      <w:rPr>
        <w:rFonts w:ascii="Symbol" w:hAnsi="Symbol" w:hint="default"/>
      </w:rPr>
    </w:lvl>
    <w:lvl w:ilvl="1" w:tplc="3A82EABE">
      <w:start w:val="1"/>
      <w:numFmt w:val="bullet"/>
      <w:lvlText w:val="o"/>
      <w:lvlJc w:val="left"/>
      <w:pPr>
        <w:ind w:left="1440" w:hanging="360"/>
      </w:pPr>
      <w:rPr>
        <w:rFonts w:ascii="Courier New" w:hAnsi="Courier New" w:hint="default"/>
      </w:rPr>
    </w:lvl>
    <w:lvl w:ilvl="2" w:tplc="131EE9A2">
      <w:start w:val="1"/>
      <w:numFmt w:val="bullet"/>
      <w:lvlText w:val=""/>
      <w:lvlJc w:val="left"/>
      <w:pPr>
        <w:ind w:left="2160" w:hanging="360"/>
      </w:pPr>
      <w:rPr>
        <w:rFonts w:ascii="Wingdings" w:hAnsi="Wingdings" w:hint="default"/>
      </w:rPr>
    </w:lvl>
    <w:lvl w:ilvl="3" w:tplc="9B544EC8">
      <w:start w:val="1"/>
      <w:numFmt w:val="bullet"/>
      <w:lvlText w:val=""/>
      <w:lvlJc w:val="left"/>
      <w:pPr>
        <w:ind w:left="2880" w:hanging="360"/>
      </w:pPr>
      <w:rPr>
        <w:rFonts w:ascii="Symbol" w:hAnsi="Symbol" w:hint="default"/>
      </w:rPr>
    </w:lvl>
    <w:lvl w:ilvl="4" w:tplc="D352B124">
      <w:start w:val="1"/>
      <w:numFmt w:val="bullet"/>
      <w:lvlText w:val="o"/>
      <w:lvlJc w:val="left"/>
      <w:pPr>
        <w:ind w:left="3600" w:hanging="360"/>
      </w:pPr>
      <w:rPr>
        <w:rFonts w:ascii="Courier New" w:hAnsi="Courier New" w:hint="default"/>
      </w:rPr>
    </w:lvl>
    <w:lvl w:ilvl="5" w:tplc="36584874">
      <w:start w:val="1"/>
      <w:numFmt w:val="bullet"/>
      <w:lvlText w:val=""/>
      <w:lvlJc w:val="left"/>
      <w:pPr>
        <w:ind w:left="4320" w:hanging="360"/>
      </w:pPr>
      <w:rPr>
        <w:rFonts w:ascii="Wingdings" w:hAnsi="Wingdings" w:hint="default"/>
      </w:rPr>
    </w:lvl>
    <w:lvl w:ilvl="6" w:tplc="DC58B924">
      <w:start w:val="1"/>
      <w:numFmt w:val="bullet"/>
      <w:lvlText w:val=""/>
      <w:lvlJc w:val="left"/>
      <w:pPr>
        <w:ind w:left="5040" w:hanging="360"/>
      </w:pPr>
      <w:rPr>
        <w:rFonts w:ascii="Symbol" w:hAnsi="Symbol" w:hint="default"/>
      </w:rPr>
    </w:lvl>
    <w:lvl w:ilvl="7" w:tplc="4454B5DC">
      <w:start w:val="1"/>
      <w:numFmt w:val="bullet"/>
      <w:lvlText w:val="o"/>
      <w:lvlJc w:val="left"/>
      <w:pPr>
        <w:ind w:left="5760" w:hanging="360"/>
      </w:pPr>
      <w:rPr>
        <w:rFonts w:ascii="Courier New" w:hAnsi="Courier New" w:hint="default"/>
      </w:rPr>
    </w:lvl>
    <w:lvl w:ilvl="8" w:tplc="5232AC34">
      <w:start w:val="1"/>
      <w:numFmt w:val="bullet"/>
      <w:lvlText w:val=""/>
      <w:lvlJc w:val="left"/>
      <w:pPr>
        <w:ind w:left="6480" w:hanging="360"/>
      </w:pPr>
      <w:rPr>
        <w:rFonts w:ascii="Wingdings" w:hAnsi="Wingdings" w:hint="default"/>
      </w:rPr>
    </w:lvl>
  </w:abstractNum>
  <w:abstractNum w:abstractNumId="3" w15:restartNumberingAfterBreak="0">
    <w:nsid w:val="5F28ECB7"/>
    <w:multiLevelType w:val="hybridMultilevel"/>
    <w:tmpl w:val="F1BEC6CC"/>
    <w:lvl w:ilvl="0" w:tplc="34D4202A">
      <w:start w:val="1"/>
      <w:numFmt w:val="bullet"/>
      <w:lvlText w:val=""/>
      <w:lvlJc w:val="left"/>
      <w:pPr>
        <w:ind w:left="720" w:hanging="360"/>
      </w:pPr>
      <w:rPr>
        <w:rFonts w:ascii="Symbol" w:hAnsi="Symbol" w:hint="default"/>
      </w:rPr>
    </w:lvl>
    <w:lvl w:ilvl="1" w:tplc="69BCD204">
      <w:start w:val="1"/>
      <w:numFmt w:val="bullet"/>
      <w:lvlText w:val="o"/>
      <w:lvlJc w:val="left"/>
      <w:pPr>
        <w:ind w:left="1440" w:hanging="360"/>
      </w:pPr>
      <w:rPr>
        <w:rFonts w:ascii="Courier New" w:hAnsi="Courier New" w:hint="default"/>
      </w:rPr>
    </w:lvl>
    <w:lvl w:ilvl="2" w:tplc="6B2620BE">
      <w:start w:val="1"/>
      <w:numFmt w:val="bullet"/>
      <w:lvlText w:val=""/>
      <w:lvlJc w:val="left"/>
      <w:pPr>
        <w:ind w:left="2160" w:hanging="360"/>
      </w:pPr>
      <w:rPr>
        <w:rFonts w:ascii="Wingdings" w:hAnsi="Wingdings" w:hint="default"/>
      </w:rPr>
    </w:lvl>
    <w:lvl w:ilvl="3" w:tplc="8C400102">
      <w:start w:val="1"/>
      <w:numFmt w:val="bullet"/>
      <w:lvlText w:val=""/>
      <w:lvlJc w:val="left"/>
      <w:pPr>
        <w:ind w:left="2880" w:hanging="360"/>
      </w:pPr>
      <w:rPr>
        <w:rFonts w:ascii="Symbol" w:hAnsi="Symbol" w:hint="default"/>
      </w:rPr>
    </w:lvl>
    <w:lvl w:ilvl="4" w:tplc="15CEE46E">
      <w:start w:val="1"/>
      <w:numFmt w:val="bullet"/>
      <w:lvlText w:val="o"/>
      <w:lvlJc w:val="left"/>
      <w:pPr>
        <w:ind w:left="3600" w:hanging="360"/>
      </w:pPr>
      <w:rPr>
        <w:rFonts w:ascii="Courier New" w:hAnsi="Courier New" w:hint="default"/>
      </w:rPr>
    </w:lvl>
    <w:lvl w:ilvl="5" w:tplc="05D08034">
      <w:start w:val="1"/>
      <w:numFmt w:val="bullet"/>
      <w:lvlText w:val=""/>
      <w:lvlJc w:val="left"/>
      <w:pPr>
        <w:ind w:left="4320" w:hanging="360"/>
      </w:pPr>
      <w:rPr>
        <w:rFonts w:ascii="Wingdings" w:hAnsi="Wingdings" w:hint="default"/>
      </w:rPr>
    </w:lvl>
    <w:lvl w:ilvl="6" w:tplc="F0B02D5A">
      <w:start w:val="1"/>
      <w:numFmt w:val="bullet"/>
      <w:lvlText w:val=""/>
      <w:lvlJc w:val="left"/>
      <w:pPr>
        <w:ind w:left="5040" w:hanging="360"/>
      </w:pPr>
      <w:rPr>
        <w:rFonts w:ascii="Symbol" w:hAnsi="Symbol" w:hint="default"/>
      </w:rPr>
    </w:lvl>
    <w:lvl w:ilvl="7" w:tplc="1B0877F6">
      <w:start w:val="1"/>
      <w:numFmt w:val="bullet"/>
      <w:lvlText w:val="o"/>
      <w:lvlJc w:val="left"/>
      <w:pPr>
        <w:ind w:left="5760" w:hanging="360"/>
      </w:pPr>
      <w:rPr>
        <w:rFonts w:ascii="Courier New" w:hAnsi="Courier New" w:hint="default"/>
      </w:rPr>
    </w:lvl>
    <w:lvl w:ilvl="8" w:tplc="738A171C">
      <w:start w:val="1"/>
      <w:numFmt w:val="bullet"/>
      <w:lvlText w:val=""/>
      <w:lvlJc w:val="left"/>
      <w:pPr>
        <w:ind w:left="6480" w:hanging="360"/>
      </w:pPr>
      <w:rPr>
        <w:rFonts w:ascii="Wingdings" w:hAnsi="Wingdings" w:hint="default"/>
      </w:rPr>
    </w:lvl>
  </w:abstractNum>
  <w:abstractNum w:abstractNumId="4" w15:restartNumberingAfterBreak="0">
    <w:nsid w:val="71842D77"/>
    <w:multiLevelType w:val="multilevel"/>
    <w:tmpl w:val="DF766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6006348">
    <w:abstractNumId w:val="3"/>
  </w:num>
  <w:num w:numId="2" w16cid:durableId="623578301">
    <w:abstractNumId w:val="2"/>
  </w:num>
  <w:num w:numId="3" w16cid:durableId="77875247">
    <w:abstractNumId w:val="0"/>
  </w:num>
  <w:num w:numId="4" w16cid:durableId="551158807">
    <w:abstractNumId w:val="1"/>
  </w:num>
  <w:num w:numId="5" w16cid:durableId="13759997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80A503"/>
    <w:rsid w:val="001053D7"/>
    <w:rsid w:val="00224615"/>
    <w:rsid w:val="004B293A"/>
    <w:rsid w:val="00592FDC"/>
    <w:rsid w:val="0066A4B3"/>
    <w:rsid w:val="0072071D"/>
    <w:rsid w:val="007676E3"/>
    <w:rsid w:val="0093E1D4"/>
    <w:rsid w:val="00975A98"/>
    <w:rsid w:val="0097D337"/>
    <w:rsid w:val="00B7067B"/>
    <w:rsid w:val="00BD4B59"/>
    <w:rsid w:val="00BE1C38"/>
    <w:rsid w:val="00BE6584"/>
    <w:rsid w:val="00BF2005"/>
    <w:rsid w:val="00C04AB3"/>
    <w:rsid w:val="00FA2880"/>
    <w:rsid w:val="0126E0D1"/>
    <w:rsid w:val="0165BD95"/>
    <w:rsid w:val="01CC2C13"/>
    <w:rsid w:val="02092062"/>
    <w:rsid w:val="02D7C737"/>
    <w:rsid w:val="04AFCFCC"/>
    <w:rsid w:val="05367C20"/>
    <w:rsid w:val="05389088"/>
    <w:rsid w:val="06A4F29A"/>
    <w:rsid w:val="06A958C6"/>
    <w:rsid w:val="06FBFCC7"/>
    <w:rsid w:val="081C1E9F"/>
    <w:rsid w:val="085B4EF5"/>
    <w:rsid w:val="099FEC53"/>
    <w:rsid w:val="0A8CCAEC"/>
    <w:rsid w:val="0B0E369E"/>
    <w:rsid w:val="0D501908"/>
    <w:rsid w:val="0E94462F"/>
    <w:rsid w:val="10098DFD"/>
    <w:rsid w:val="10180D29"/>
    <w:rsid w:val="108B1FE1"/>
    <w:rsid w:val="1136F1D5"/>
    <w:rsid w:val="128B197D"/>
    <w:rsid w:val="14068D61"/>
    <w:rsid w:val="14879401"/>
    <w:rsid w:val="15A217AA"/>
    <w:rsid w:val="15B0C583"/>
    <w:rsid w:val="1628F156"/>
    <w:rsid w:val="16F1CBFD"/>
    <w:rsid w:val="17B816B7"/>
    <w:rsid w:val="18A66697"/>
    <w:rsid w:val="192BD782"/>
    <w:rsid w:val="19AD299C"/>
    <w:rsid w:val="19DF612F"/>
    <w:rsid w:val="1A2DCF9C"/>
    <w:rsid w:val="1C2A4A99"/>
    <w:rsid w:val="1C7F85D3"/>
    <w:rsid w:val="1CF352E5"/>
    <w:rsid w:val="1D0689AC"/>
    <w:rsid w:val="1D545ADF"/>
    <w:rsid w:val="1D6492D9"/>
    <w:rsid w:val="1E5500CA"/>
    <w:rsid w:val="1F750A0F"/>
    <w:rsid w:val="208C95CE"/>
    <w:rsid w:val="22AC4E4E"/>
    <w:rsid w:val="22C8CE94"/>
    <w:rsid w:val="23E1CDD7"/>
    <w:rsid w:val="247DD285"/>
    <w:rsid w:val="24BE5E0A"/>
    <w:rsid w:val="24EE40D6"/>
    <w:rsid w:val="2513C10C"/>
    <w:rsid w:val="27C2863F"/>
    <w:rsid w:val="280CD7AF"/>
    <w:rsid w:val="28424B02"/>
    <w:rsid w:val="28B8BA92"/>
    <w:rsid w:val="2BF4B602"/>
    <w:rsid w:val="2C450FE0"/>
    <w:rsid w:val="2C774326"/>
    <w:rsid w:val="2D00AC14"/>
    <w:rsid w:val="2ECCEE9D"/>
    <w:rsid w:val="2F508DFB"/>
    <w:rsid w:val="2FD71920"/>
    <w:rsid w:val="2FFA068B"/>
    <w:rsid w:val="3071CFA2"/>
    <w:rsid w:val="334A7F21"/>
    <w:rsid w:val="334B0DBE"/>
    <w:rsid w:val="3360C06A"/>
    <w:rsid w:val="34381BA6"/>
    <w:rsid w:val="34E9D192"/>
    <w:rsid w:val="352E72E0"/>
    <w:rsid w:val="36CEA0E7"/>
    <w:rsid w:val="3759D566"/>
    <w:rsid w:val="3762D2C9"/>
    <w:rsid w:val="3780F96F"/>
    <w:rsid w:val="37AC46C8"/>
    <w:rsid w:val="3BEA0893"/>
    <w:rsid w:val="3C65BC88"/>
    <w:rsid w:val="3D31A8D3"/>
    <w:rsid w:val="3DA10DE3"/>
    <w:rsid w:val="3DBA6AF6"/>
    <w:rsid w:val="3E9E46A2"/>
    <w:rsid w:val="3EF6247E"/>
    <w:rsid w:val="3EF77C19"/>
    <w:rsid w:val="400F6FE5"/>
    <w:rsid w:val="40448087"/>
    <w:rsid w:val="4062FA10"/>
    <w:rsid w:val="40743417"/>
    <w:rsid w:val="418914A2"/>
    <w:rsid w:val="422B02EC"/>
    <w:rsid w:val="42AA2673"/>
    <w:rsid w:val="44AFA306"/>
    <w:rsid w:val="451A8E77"/>
    <w:rsid w:val="45EFF022"/>
    <w:rsid w:val="4848B26F"/>
    <w:rsid w:val="4865F5CA"/>
    <w:rsid w:val="487F60E0"/>
    <w:rsid w:val="494F92E7"/>
    <w:rsid w:val="49BB34F8"/>
    <w:rsid w:val="49ED32A4"/>
    <w:rsid w:val="4A9458D8"/>
    <w:rsid w:val="4AF655BE"/>
    <w:rsid w:val="4CAF17A9"/>
    <w:rsid w:val="4DBBA519"/>
    <w:rsid w:val="4DF90546"/>
    <w:rsid w:val="4E281D1B"/>
    <w:rsid w:val="4E543859"/>
    <w:rsid w:val="4E719179"/>
    <w:rsid w:val="50764482"/>
    <w:rsid w:val="50A6FC5A"/>
    <w:rsid w:val="519553C6"/>
    <w:rsid w:val="519E3B93"/>
    <w:rsid w:val="51AACE90"/>
    <w:rsid w:val="5249B6BA"/>
    <w:rsid w:val="526F8E1C"/>
    <w:rsid w:val="527FA360"/>
    <w:rsid w:val="53E092CA"/>
    <w:rsid w:val="5483E600"/>
    <w:rsid w:val="5489E850"/>
    <w:rsid w:val="54CA982D"/>
    <w:rsid w:val="550176DE"/>
    <w:rsid w:val="5585CA85"/>
    <w:rsid w:val="558F36DE"/>
    <w:rsid w:val="55D27DC6"/>
    <w:rsid w:val="560958C2"/>
    <w:rsid w:val="5B914D0D"/>
    <w:rsid w:val="5CA663CF"/>
    <w:rsid w:val="5E4B0914"/>
    <w:rsid w:val="5E53C9E1"/>
    <w:rsid w:val="5EBBACF2"/>
    <w:rsid w:val="5EE47451"/>
    <w:rsid w:val="5F73510B"/>
    <w:rsid w:val="5FC8E2AD"/>
    <w:rsid w:val="6032169B"/>
    <w:rsid w:val="60B2B686"/>
    <w:rsid w:val="6236D7F7"/>
    <w:rsid w:val="6252A571"/>
    <w:rsid w:val="6286C1F6"/>
    <w:rsid w:val="630076E1"/>
    <w:rsid w:val="63349DB6"/>
    <w:rsid w:val="63A46486"/>
    <w:rsid w:val="642325CE"/>
    <w:rsid w:val="64699588"/>
    <w:rsid w:val="6474CA1E"/>
    <w:rsid w:val="64CA2A1E"/>
    <w:rsid w:val="64FADD5A"/>
    <w:rsid w:val="65D79EEB"/>
    <w:rsid w:val="65F535F3"/>
    <w:rsid w:val="665EAB71"/>
    <w:rsid w:val="6738C94B"/>
    <w:rsid w:val="68154186"/>
    <w:rsid w:val="681F200B"/>
    <w:rsid w:val="68690FEE"/>
    <w:rsid w:val="691F618B"/>
    <w:rsid w:val="69478ABA"/>
    <w:rsid w:val="6A71A3CF"/>
    <w:rsid w:val="6C5CCE6D"/>
    <w:rsid w:val="6CBFCA48"/>
    <w:rsid w:val="6F40664C"/>
    <w:rsid w:val="70E1CBE5"/>
    <w:rsid w:val="711AA5DC"/>
    <w:rsid w:val="7158A555"/>
    <w:rsid w:val="71D4E0CB"/>
    <w:rsid w:val="72DDA981"/>
    <w:rsid w:val="7353C44C"/>
    <w:rsid w:val="7372EF59"/>
    <w:rsid w:val="7498108D"/>
    <w:rsid w:val="75DE0DE1"/>
    <w:rsid w:val="76E1F62F"/>
    <w:rsid w:val="77A0459F"/>
    <w:rsid w:val="785C7C94"/>
    <w:rsid w:val="797057DD"/>
    <w:rsid w:val="79DA2BD7"/>
    <w:rsid w:val="7A003810"/>
    <w:rsid w:val="7A80A503"/>
    <w:rsid w:val="7D6BB8C5"/>
    <w:rsid w:val="7E017977"/>
    <w:rsid w:val="7EB40017"/>
    <w:rsid w:val="7F9DDF77"/>
    <w:rsid w:val="7FFB2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F300E"/>
  <w15:chartTrackingRefBased/>
  <w15:docId w15:val="{298DF1BB-A210-41D5-B76A-06C4F80D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9478ABA"/>
    <w:rPr>
      <w:color w:val="467886"/>
      <w:u w:val="single"/>
    </w:rPr>
  </w:style>
  <w:style w:type="paragraph" w:styleId="ListParagraph">
    <w:name w:val="List Paragraph"/>
    <w:basedOn w:val="Normal"/>
    <w:uiPriority w:val="34"/>
    <w:qFormat/>
    <w:rsid w:val="69478ABA"/>
    <w:pPr>
      <w:ind w:left="720"/>
      <w:contextualSpacing/>
    </w:pPr>
  </w:style>
  <w:style w:type="paragraph" w:styleId="Header">
    <w:name w:val="header"/>
    <w:basedOn w:val="Normal"/>
    <w:uiPriority w:val="99"/>
    <w:unhideWhenUsed/>
    <w:rsid w:val="69478ABA"/>
    <w:pPr>
      <w:tabs>
        <w:tab w:val="center" w:pos="4680"/>
        <w:tab w:val="right" w:pos="9360"/>
      </w:tabs>
      <w:spacing w:after="0" w:line="240" w:lineRule="auto"/>
    </w:pPr>
  </w:style>
  <w:style w:type="paragraph" w:styleId="Footer">
    <w:name w:val="footer"/>
    <w:basedOn w:val="Normal"/>
    <w:uiPriority w:val="99"/>
    <w:unhideWhenUsed/>
    <w:rsid w:val="69478AB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592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action/getFTRLinkout?url=http%3A%2F%2Fscholar.google.com%2Fscholar_lookup%3Fhl%3Den%26publication_year%3D1998%26author%3DA.%2BAlaszewski%26author%3DL.%2BHarrison%26author%3DJ.%2BManthorpe%26title%3DRisk%252C%2Bhealth%2Band%2Bwelfare&amp;doi=10.1111%2Fopn.12192&amp;linkType=gs&amp;linkLocation=Reference&amp;linkSource=FULL_TEXT" TargetMode="External"/><Relationship Id="rId13" Type="http://schemas.openxmlformats.org/officeDocument/2006/relationships/hyperlink" Target="https://doi.org/10.1108/1466820111113975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choolar.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google.com/scholar_lookup?title=Living+on+the+margins%3A+older+people%2C+place+and+social+exclusion&amp;author=Abbott+P&amp;author=Sapsford+R&amp;publication+year=2005&amp;journal=Policy+Studies&amp;volume=26&amp;doi=10.1080%2F01442870500041660&amp;pages=29-4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x.doi.org/10.1080/01442870500041660" TargetMode="External"/><Relationship Id="rId4" Type="http://schemas.openxmlformats.org/officeDocument/2006/relationships/webSettings" Target="webSettings.xml"/><Relationship Id="rId9" Type="http://schemas.openxmlformats.org/officeDocument/2006/relationships/hyperlink" Target="https://www.sciencedirect.com/science/article/pii/S0149291810003887"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5</Pages>
  <Words>1860</Words>
  <Characters>10605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 khan</dc:creator>
  <cp:keywords/>
  <dc:description/>
  <cp:lastModifiedBy>jamil khan</cp:lastModifiedBy>
  <cp:revision>6</cp:revision>
  <dcterms:created xsi:type="dcterms:W3CDTF">2026-06-19T16:26:00Z</dcterms:created>
  <dcterms:modified xsi:type="dcterms:W3CDTF">2026-07-23T21:51:00Z</dcterms:modified>
</cp:coreProperties>
</file>