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104D42" w:rsidRDefault="00BD7323">
      <w:pPr>
        <w:rPr>
          <w:u w:val="single"/>
        </w:rPr>
      </w:pPr>
      <w:r w:rsidRPr="0014720B">
        <w:rPr>
          <w:u w:val="single"/>
        </w:rPr>
        <w:t xml:space="preserve">Literature Review of </w:t>
      </w:r>
      <w:r w:rsidR="008D7C2D">
        <w:rPr>
          <w:u w:val="single"/>
        </w:rPr>
        <w:t>Fisher, Nick. 2006.</w:t>
      </w:r>
      <w:r w:rsidRPr="0014720B">
        <w:rPr>
          <w:u w:val="single"/>
        </w:rPr>
        <w:t xml:space="preserve"> ‘Citizens, Foreigners and Slaves in Greek Society’, in </w:t>
      </w:r>
      <w:r w:rsidR="008D7C2D" w:rsidRPr="0014720B">
        <w:rPr>
          <w:u w:val="single"/>
        </w:rPr>
        <w:t xml:space="preserve">Konrad H. </w:t>
      </w:r>
      <w:proofErr w:type="spellStart"/>
      <w:r w:rsidR="008D7C2D" w:rsidRPr="0014720B">
        <w:rPr>
          <w:u w:val="single"/>
        </w:rPr>
        <w:t>Kinzl</w:t>
      </w:r>
      <w:proofErr w:type="spellEnd"/>
      <w:r w:rsidR="008D7C2D" w:rsidRPr="0014720B">
        <w:rPr>
          <w:u w:val="single"/>
        </w:rPr>
        <w:t xml:space="preserve"> (ed.)</w:t>
      </w:r>
      <w:r w:rsidR="008D7C2D">
        <w:rPr>
          <w:u w:val="single"/>
        </w:rPr>
        <w:t>,</w:t>
      </w:r>
      <w:r w:rsidR="008D7C2D" w:rsidRPr="0014720B">
        <w:rPr>
          <w:u w:val="single"/>
        </w:rPr>
        <w:t xml:space="preserve"> </w:t>
      </w:r>
      <w:r w:rsidRPr="0014720B">
        <w:rPr>
          <w:i/>
          <w:u w:val="single"/>
        </w:rPr>
        <w:t>Blackwell Companion to the Classical Greek World</w:t>
      </w:r>
      <w:r w:rsidRPr="0014720B">
        <w:rPr>
          <w:u w:val="single"/>
        </w:rPr>
        <w:t>, Oxford: Wiley-Blackwell</w:t>
      </w:r>
      <w:r w:rsidR="008D7C2D">
        <w:rPr>
          <w:u w:val="single"/>
        </w:rPr>
        <w:t>, 327-</w:t>
      </w:r>
      <w:r w:rsidR="00C80847">
        <w:rPr>
          <w:u w:val="single"/>
        </w:rPr>
        <w:t>350</w:t>
      </w:r>
    </w:p>
    <w:p w:rsidR="00C80847" w:rsidRDefault="008D7C2D">
      <w:r>
        <w:t>Fisher’s article</w:t>
      </w:r>
      <w:r w:rsidR="00C56BE9">
        <w:t xml:space="preserve"> attempts to focus</w:t>
      </w:r>
      <w:r>
        <w:t xml:space="preserve"> on </w:t>
      </w:r>
      <w:r w:rsidR="00C56BE9">
        <w:t xml:space="preserve">the </w:t>
      </w:r>
      <w:r>
        <w:t>other</w:t>
      </w:r>
      <w:r w:rsidR="00C56BE9">
        <w:t xml:space="preserve"> social</w:t>
      </w:r>
      <w:r>
        <w:t xml:space="preserve"> groups</w:t>
      </w:r>
      <w:r w:rsidR="00C56BE9">
        <w:t xml:space="preserve"> living</w:t>
      </w:r>
      <w:r>
        <w:t xml:space="preserve"> in Classical Greek society, the official registered immigrants and the slaves, and how they in</w:t>
      </w:r>
      <w:r w:rsidR="00443014">
        <w:t>teracted with the male citizens. The main argument is that these groups were at a disadvantage</w:t>
      </w:r>
      <w:r w:rsidR="00C56BE9">
        <w:t xml:space="preserve">, </w:t>
      </w:r>
      <w:r w:rsidR="00443014">
        <w:t>how the ability of free residents (</w:t>
      </w:r>
      <w:r w:rsidR="00BF3F91">
        <w:t xml:space="preserve">but </w:t>
      </w:r>
      <w:r w:rsidR="00443014">
        <w:t>still not citizens) to be involved in interactions that were social and/or economic complicated rules and how the interaction between these groups caused strains amongst the population.</w:t>
      </w:r>
    </w:p>
    <w:p w:rsidR="00813A4D" w:rsidRDefault="006F4ADE">
      <w:r>
        <w:t>Attention is particularly placed on the Classical Greek states of Athens and Sparta. This is something Fisher does admit to in the introduction</w:t>
      </w:r>
      <w:r w:rsidR="00AB0545">
        <w:rPr>
          <w:rStyle w:val="FootnoteReference"/>
        </w:rPr>
        <w:footnoteReference w:id="1"/>
      </w:r>
      <w:r>
        <w:t>, the reason for the emphasises on these two states is explained as being due to the fact that it is these two areas where the majority of the evidence for the article’s argument is found</w:t>
      </w:r>
      <w:r w:rsidR="00AB0545">
        <w:rPr>
          <w:rStyle w:val="FootnoteReference"/>
        </w:rPr>
        <w:footnoteReference w:id="2"/>
      </w:r>
      <w:r>
        <w:t>. However this means that the argument can only be made for these two areas and cannot be proven to be fact for the whole of Classical Greece as the set way of how these groups were treated and how they interacted</w:t>
      </w:r>
      <w:r w:rsidR="00551B6A">
        <w:t>, even Fisher shows this uncertainty saying  ‘probably everywhere’</w:t>
      </w:r>
      <w:r w:rsidR="00551B6A">
        <w:rPr>
          <w:rStyle w:val="FootnoteReference"/>
        </w:rPr>
        <w:footnoteReference w:id="3"/>
      </w:r>
      <w:r>
        <w:t xml:space="preserve">. </w:t>
      </w:r>
    </w:p>
    <w:p w:rsidR="00813A4D" w:rsidRDefault="00AB0545">
      <w:r>
        <w:t xml:space="preserve">Fisher mentions other states in passing, for example, when talking about slave societies states </w:t>
      </w:r>
      <w:r w:rsidR="006855FA">
        <w:t xml:space="preserve">places </w:t>
      </w:r>
      <w:r>
        <w:t>that were home to a large number of slaves are listed and assumed to t</w:t>
      </w:r>
      <w:r w:rsidR="000D767B">
        <w:t xml:space="preserve">herefore also be </w:t>
      </w:r>
      <w:r w:rsidR="00CF6208">
        <w:t>slave societies</w:t>
      </w:r>
      <w:r>
        <w:t>, like he claims Athens is</w:t>
      </w:r>
      <w:r>
        <w:rPr>
          <w:rStyle w:val="FootnoteReference"/>
        </w:rPr>
        <w:footnoteReference w:id="4"/>
      </w:r>
      <w:r>
        <w:t>. This listing of other places happens again when talking about Helots</w:t>
      </w:r>
      <w:r w:rsidR="00813A4D">
        <w:rPr>
          <w:rStyle w:val="FootnoteReference"/>
        </w:rPr>
        <w:footnoteReference w:id="5"/>
      </w:r>
      <w:r>
        <w:t xml:space="preserve"> and when talking about where the immigrants originated from</w:t>
      </w:r>
      <w:r w:rsidR="00813A4D">
        <w:rPr>
          <w:rStyle w:val="FootnoteReference"/>
        </w:rPr>
        <w:footnoteReference w:id="6"/>
      </w:r>
      <w:r w:rsidR="00813A4D">
        <w:t xml:space="preserve">. </w:t>
      </w:r>
      <w:r>
        <w:t>Fisher</w:t>
      </w:r>
      <w:r w:rsidR="00813A4D">
        <w:t xml:space="preserve"> it could be said is making up for the lack of evidence for other states by simply listing other areas to show that there was an effort to find evidence of other places. Interestingly, while it was stated the evidence is mainly found for Sparta and Athens, where Fisher provides research</w:t>
      </w:r>
      <w:r w:rsidR="00706973" w:rsidRPr="00706973">
        <w:t xml:space="preserve"> </w:t>
      </w:r>
      <w:r w:rsidR="00706973">
        <w:t>for further</w:t>
      </w:r>
      <w:r w:rsidR="00706973">
        <w:t xml:space="preserve"> reading</w:t>
      </w:r>
      <w:r w:rsidR="00723452">
        <w:rPr>
          <w:rStyle w:val="FootnoteReference"/>
        </w:rPr>
        <w:footnoteReference w:id="7"/>
      </w:r>
      <w:r w:rsidR="00813A4D">
        <w:t xml:space="preserve"> there is the recommendation for Whitehead’s article which talks about other Greek states</w:t>
      </w:r>
      <w:r w:rsidR="00813A4D">
        <w:rPr>
          <w:rStyle w:val="FootnoteReference"/>
        </w:rPr>
        <w:footnoteReference w:id="8"/>
      </w:r>
      <w:r w:rsidR="00813A4D">
        <w:t>.</w:t>
      </w:r>
    </w:p>
    <w:p w:rsidR="00D20C15" w:rsidRDefault="00813A4D">
      <w:r>
        <w:t>Even though the article is said to focus on Sparta and Athens there is a clear favour towards Athens. Sparta is, understandably, talked about heavily when the focus is on Helots</w:t>
      </w:r>
      <w:r w:rsidR="0066453E">
        <w:t xml:space="preserve"> but then the attention is arguably solely focused on Athens. Thus the previous criticism that Fisher’s ideas cannot be guaranteed to work with the reality of other Classical Greek states is furthered to be that the conclusions made about slavery and metics is Athenian centred</w:t>
      </w:r>
      <w:r w:rsidR="002F49F1">
        <w:t xml:space="preserve"> and</w:t>
      </w:r>
      <w:r w:rsidR="0066453E">
        <w:t xml:space="preserve"> therefore may not even be accurate to the other state focused on</w:t>
      </w:r>
      <w:r w:rsidR="00347159">
        <w:t>,</w:t>
      </w:r>
      <w:r w:rsidR="0066453E">
        <w:t xml:space="preserve"> that </w:t>
      </w:r>
      <w:r w:rsidR="00347159">
        <w:t xml:space="preserve">state </w:t>
      </w:r>
      <w:r w:rsidR="0066453E">
        <w:t>being Sparta.</w:t>
      </w:r>
      <w:r w:rsidR="00723452">
        <w:t xml:space="preserve"> </w:t>
      </w:r>
      <w:r w:rsidR="00A40911">
        <w:t>When it comes to</w:t>
      </w:r>
      <w:r w:rsidR="00FD13E8">
        <w:t xml:space="preserve"> metics Fisher does explain about</w:t>
      </w:r>
      <w:r w:rsidR="00A40911">
        <w:t xml:space="preserve"> Sparta’s policy on foreigners and the lack of evidence about how long or how frequent the policy of expelling foreigners was active</w:t>
      </w:r>
      <w:r w:rsidR="00A40911">
        <w:rPr>
          <w:rStyle w:val="FootnoteReference"/>
        </w:rPr>
        <w:footnoteReference w:id="9"/>
      </w:r>
      <w:r w:rsidR="00A40911">
        <w:t xml:space="preserve">, however the criticism that this article is primarily about Athens is still arguably fair.    </w:t>
      </w:r>
      <w:r w:rsidR="0066453E">
        <w:t xml:space="preserve">  </w:t>
      </w:r>
    </w:p>
    <w:p w:rsidR="00AF3C4B" w:rsidRPr="00D319DE" w:rsidRDefault="00D20C15">
      <w:r>
        <w:t>Despite appearing in the introduction to want to steer away from male citizens, Fisher makes it clear th</w:t>
      </w:r>
      <w:r w:rsidR="002F49F1">
        <w:t>at th</w:t>
      </w:r>
      <w:r>
        <w:t xml:space="preserve">e citizens’ wives and children will not be discussed but that even female members of the groups that will be mentioned will </w:t>
      </w:r>
      <w:r w:rsidR="002F49F1">
        <w:t xml:space="preserve">seemingly </w:t>
      </w:r>
      <w:r>
        <w:t>not be discussed</w:t>
      </w:r>
      <w:r w:rsidR="002F49F1">
        <w:t xml:space="preserve"> either</w:t>
      </w:r>
      <w:r>
        <w:t>. The reason for this seems to be because, as explained</w:t>
      </w:r>
      <w:r w:rsidR="00BB58AE">
        <w:t xml:space="preserve"> by Fisher</w:t>
      </w:r>
      <w:r>
        <w:t>, another article in the book will delve into these matters</w:t>
      </w:r>
      <w:r>
        <w:rPr>
          <w:rStyle w:val="FootnoteReference"/>
        </w:rPr>
        <w:footnoteReference w:id="10"/>
      </w:r>
      <w:r w:rsidR="00D319DE">
        <w:t xml:space="preserve">. However Pomeroy’s article, which is the article Fisher is referring to, though it potentially could have </w:t>
      </w:r>
      <w:r w:rsidR="00D319DE">
        <w:lastRenderedPageBreak/>
        <w:t>provided cross over as it t</w:t>
      </w:r>
      <w:r w:rsidR="003237D4">
        <w:t>o</w:t>
      </w:r>
      <w:r w:rsidR="00D319DE">
        <w:t>o focuses on Sparta and Athens, mainly consists of woman that were neither slaves nor metics</w:t>
      </w:r>
      <w:r w:rsidR="00D319DE">
        <w:rPr>
          <w:rStyle w:val="FootnoteReference"/>
        </w:rPr>
        <w:footnoteReference w:id="11"/>
      </w:r>
      <w:r w:rsidR="00D319DE">
        <w:t>.</w:t>
      </w:r>
      <w:r w:rsidR="003237D4">
        <w:t xml:space="preserve"> Also Pomeroy discusses myth and</w:t>
      </w:r>
      <w:bookmarkStart w:id="0" w:name="_GoBack"/>
      <w:bookmarkEnd w:id="0"/>
      <w:r w:rsidR="003237D4">
        <w:t xml:space="preserve"> </w:t>
      </w:r>
      <w:r w:rsidR="00D319DE">
        <w:t>women’s status and role in the household, with only brief discussion about how they interacted with other social groups other than citizen males</w:t>
      </w:r>
      <w:r w:rsidR="00D319DE">
        <w:rPr>
          <w:rStyle w:val="FootnoteReference"/>
        </w:rPr>
        <w:footnoteReference w:id="12"/>
      </w:r>
      <w:r w:rsidR="004E178A">
        <w:t xml:space="preserve">. Therefore it can </w:t>
      </w:r>
      <w:r w:rsidR="0056603B">
        <w:t xml:space="preserve">be debated that Fisher could have </w:t>
      </w:r>
      <w:r w:rsidR="004E178A">
        <w:t>included women into his discussion, although admittedly he does mention women it is mostly in terms of sex and children</w:t>
      </w:r>
      <w:r w:rsidR="004E178A">
        <w:rPr>
          <w:rStyle w:val="FootnoteReference"/>
        </w:rPr>
        <w:footnoteReference w:id="13"/>
      </w:r>
      <w:r w:rsidR="0056603B">
        <w:t xml:space="preserve"> </w:t>
      </w:r>
      <w:r w:rsidR="00242F48">
        <w:t>and it is reasonable to contest that there is more to bring to the discussion when it comes to women than that.</w:t>
      </w:r>
      <w:r w:rsidR="00D319DE">
        <w:t xml:space="preserve">   </w:t>
      </w:r>
    </w:p>
    <w:p w:rsidR="00D20C15" w:rsidRDefault="00B15FC5">
      <w:pPr>
        <w:rPr>
          <w:u w:val="single"/>
        </w:rPr>
      </w:pPr>
      <w:r>
        <w:t xml:space="preserve">To conclude Fisher dose state the argument clearly and does discuss everything set out in the introduction relatively successfully. Yet, without the inclusion of </w:t>
      </w:r>
      <w:r>
        <w:t>women</w:t>
      </w:r>
      <w:r>
        <w:t xml:space="preserve"> and especially other states in the argument it is hard to be fully convinced by Fisher’s stance. </w:t>
      </w:r>
    </w:p>
    <w:p w:rsidR="00D20C15" w:rsidRDefault="00D20C15">
      <w:pPr>
        <w:rPr>
          <w:u w:val="single"/>
        </w:rPr>
      </w:pPr>
    </w:p>
    <w:p w:rsidR="00D20C15" w:rsidRDefault="00D20C15">
      <w:pPr>
        <w:rPr>
          <w:u w:val="single"/>
        </w:rPr>
      </w:pPr>
    </w:p>
    <w:p w:rsidR="00D20C15" w:rsidRDefault="00D20C15">
      <w:pPr>
        <w:rPr>
          <w:u w:val="single"/>
        </w:rPr>
      </w:pPr>
    </w:p>
    <w:p w:rsidR="00D20C15" w:rsidRDefault="00D20C15">
      <w:pPr>
        <w:rPr>
          <w:u w:val="single"/>
        </w:rPr>
      </w:pPr>
    </w:p>
    <w:p w:rsidR="00D20C15" w:rsidRDefault="00D20C15">
      <w:pPr>
        <w:rPr>
          <w:u w:val="single"/>
        </w:rPr>
      </w:pPr>
    </w:p>
    <w:p w:rsidR="00D20C15" w:rsidRDefault="00D20C15">
      <w:pPr>
        <w:rPr>
          <w:u w:val="single"/>
        </w:rPr>
      </w:pPr>
    </w:p>
    <w:p w:rsidR="00D20C15" w:rsidRDefault="00D20C15">
      <w:pPr>
        <w:rPr>
          <w:u w:val="single"/>
        </w:rPr>
      </w:pPr>
    </w:p>
    <w:p w:rsidR="00D20C15" w:rsidRDefault="00D20C15">
      <w:pPr>
        <w:rPr>
          <w:u w:val="single"/>
        </w:rPr>
      </w:pPr>
    </w:p>
    <w:p w:rsidR="00D20C15" w:rsidRDefault="00D20C15">
      <w:pPr>
        <w:rPr>
          <w:u w:val="single"/>
        </w:rPr>
      </w:pPr>
    </w:p>
    <w:p w:rsidR="00D20C15" w:rsidRDefault="00D20C15">
      <w:pPr>
        <w:rPr>
          <w:u w:val="single"/>
        </w:rPr>
      </w:pPr>
    </w:p>
    <w:p w:rsidR="00D20C15" w:rsidRDefault="00D20C15">
      <w:pPr>
        <w:rPr>
          <w:u w:val="single"/>
        </w:rPr>
      </w:pPr>
    </w:p>
    <w:p w:rsidR="00D20C15" w:rsidRDefault="00D20C15">
      <w:pPr>
        <w:rPr>
          <w:u w:val="single"/>
        </w:rPr>
      </w:pPr>
    </w:p>
    <w:p w:rsidR="00D20C15" w:rsidRDefault="00D20C15">
      <w:pPr>
        <w:rPr>
          <w:u w:val="single"/>
        </w:rPr>
      </w:pPr>
    </w:p>
    <w:p w:rsidR="00D20C15" w:rsidRDefault="00D20C15">
      <w:pPr>
        <w:rPr>
          <w:u w:val="single"/>
        </w:rPr>
      </w:pPr>
    </w:p>
    <w:p w:rsidR="00D20C15" w:rsidRDefault="00D20C15">
      <w:pPr>
        <w:rPr>
          <w:u w:val="single"/>
        </w:rPr>
      </w:pPr>
    </w:p>
    <w:p w:rsidR="00D20C15" w:rsidRDefault="00D20C15">
      <w:pPr>
        <w:rPr>
          <w:u w:val="single"/>
        </w:rPr>
      </w:pPr>
    </w:p>
    <w:p w:rsidR="00D20C15" w:rsidRDefault="00D20C15">
      <w:pPr>
        <w:rPr>
          <w:u w:val="single"/>
        </w:rPr>
      </w:pPr>
    </w:p>
    <w:p w:rsidR="00D20C15" w:rsidRDefault="00D20C15">
      <w:pPr>
        <w:rPr>
          <w:u w:val="single"/>
        </w:rPr>
      </w:pPr>
    </w:p>
    <w:p w:rsidR="00D20C15" w:rsidRDefault="00D20C15">
      <w:pPr>
        <w:rPr>
          <w:u w:val="single"/>
        </w:rPr>
      </w:pPr>
    </w:p>
    <w:p w:rsidR="00D20C15" w:rsidRDefault="00D20C15">
      <w:pPr>
        <w:rPr>
          <w:u w:val="single"/>
        </w:rPr>
      </w:pPr>
    </w:p>
    <w:p w:rsidR="00D20C15" w:rsidRDefault="00D20C15">
      <w:pPr>
        <w:rPr>
          <w:u w:val="single"/>
        </w:rPr>
      </w:pPr>
    </w:p>
    <w:p w:rsidR="00383754" w:rsidRDefault="00383754">
      <w:pPr>
        <w:rPr>
          <w:u w:val="single"/>
        </w:rPr>
      </w:pPr>
      <w:r w:rsidRPr="00383754">
        <w:rPr>
          <w:u w:val="single"/>
        </w:rPr>
        <w:lastRenderedPageBreak/>
        <w:t>Bibliography:-</w:t>
      </w:r>
    </w:p>
    <w:p w:rsidR="0014720B" w:rsidRPr="00723452" w:rsidRDefault="00F035CC">
      <w:r w:rsidRPr="00F035CC">
        <w:t xml:space="preserve">Fisher, Nick. 2006. ‘Citizens, Foreigners and Slaves in Greek Society’, in Konrad H. </w:t>
      </w:r>
      <w:proofErr w:type="spellStart"/>
      <w:r w:rsidRPr="00F035CC">
        <w:t>Kinzl</w:t>
      </w:r>
      <w:proofErr w:type="spellEnd"/>
      <w:r w:rsidRPr="00F035CC">
        <w:t xml:space="preserve"> (ed.), </w:t>
      </w:r>
      <w:r w:rsidRPr="004E178A">
        <w:rPr>
          <w:i/>
        </w:rPr>
        <w:t>Blackwell Companion to the Classical Greek World</w:t>
      </w:r>
      <w:r w:rsidRPr="00F035CC">
        <w:t>, Oxford: Wiley-Blackwell, 327-350</w:t>
      </w:r>
      <w:r w:rsidR="004E178A">
        <w:br/>
        <w:t xml:space="preserve">Pomeroy, S. B. 2006. ‘Women and Ethnicity in Classical Greek: Changing the Paradigms’, </w:t>
      </w:r>
      <w:r w:rsidR="004E178A" w:rsidRPr="004E178A">
        <w:t xml:space="preserve">in Konrad H. </w:t>
      </w:r>
      <w:proofErr w:type="spellStart"/>
      <w:r w:rsidR="004E178A" w:rsidRPr="004E178A">
        <w:t>Kinzl</w:t>
      </w:r>
      <w:proofErr w:type="spellEnd"/>
      <w:r w:rsidR="004E178A" w:rsidRPr="004E178A">
        <w:t xml:space="preserve"> (ed.), </w:t>
      </w:r>
      <w:r w:rsidR="004E178A" w:rsidRPr="004E178A">
        <w:rPr>
          <w:i/>
        </w:rPr>
        <w:t>Blackwell Companion to the Classical Greek World</w:t>
      </w:r>
      <w:r w:rsidR="004E178A" w:rsidRPr="004E178A">
        <w:t>, Oxford: Wiley-Blackwell, 327-350</w:t>
      </w:r>
      <w:r>
        <w:br/>
      </w:r>
      <w:r w:rsidR="00723452">
        <w:t xml:space="preserve">Whitehead, D. 1984. ‘Immigrant communities in the classical polis: some principles for a synoptic treatment’, in: </w:t>
      </w:r>
      <w:proofErr w:type="spellStart"/>
      <w:r w:rsidR="00723452">
        <w:rPr>
          <w:i/>
        </w:rPr>
        <w:t>L’Antiquite</w:t>
      </w:r>
      <w:proofErr w:type="spellEnd"/>
      <w:r w:rsidR="00723452">
        <w:rPr>
          <w:i/>
        </w:rPr>
        <w:t xml:space="preserve"> </w:t>
      </w:r>
      <w:proofErr w:type="spellStart"/>
      <w:r w:rsidR="00723452">
        <w:rPr>
          <w:i/>
        </w:rPr>
        <w:t>Classique</w:t>
      </w:r>
      <w:proofErr w:type="spellEnd"/>
      <w:r w:rsidR="00723452">
        <w:rPr>
          <w:i/>
        </w:rPr>
        <w:t xml:space="preserve"> 53</w:t>
      </w:r>
      <w:r w:rsidR="00723452">
        <w:t>, 47-59</w:t>
      </w:r>
    </w:p>
    <w:sectPr w:rsidR="0014720B" w:rsidRPr="00723452">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rsidR="0099461E" w:rsidRDefault="0099461E" w:rsidP="00AB0545">
      <w:pPr>
        <w:spacing w:after="0" w:line="240" w:lineRule="auto"/>
      </w:pPr>
      <w:r>
        <w:separator/>
      </w:r>
    </w:p>
  </w:endnote>
  <w:endnote w:type="continuationSeparator" w:id="0">
    <w:p w:rsidR="0099461E" w:rsidRDefault="0099461E" w:rsidP="00AB054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2AFF" w:usb1="C0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rsidR="0099461E" w:rsidRDefault="0099461E" w:rsidP="00AB0545">
      <w:pPr>
        <w:spacing w:after="0" w:line="240" w:lineRule="auto"/>
      </w:pPr>
      <w:r>
        <w:separator/>
      </w:r>
    </w:p>
  </w:footnote>
  <w:footnote w:type="continuationSeparator" w:id="0">
    <w:p w:rsidR="0099461E" w:rsidRDefault="0099461E" w:rsidP="00AB0545">
      <w:pPr>
        <w:spacing w:after="0" w:line="240" w:lineRule="auto"/>
      </w:pPr>
      <w:r>
        <w:continuationSeparator/>
      </w:r>
    </w:p>
  </w:footnote>
  <w:footnote w:id="1">
    <w:p w:rsidR="00AB0545" w:rsidRDefault="00AB0545">
      <w:pPr>
        <w:pStyle w:val="FootnoteText"/>
      </w:pPr>
      <w:r>
        <w:rPr>
          <w:rStyle w:val="FootnoteReference"/>
        </w:rPr>
        <w:footnoteRef/>
      </w:r>
      <w:r>
        <w:t xml:space="preserve"> </w:t>
      </w:r>
      <w:r w:rsidR="0086553F">
        <w:t>Fisher 2006</w:t>
      </w:r>
      <w:r w:rsidR="00BF3F91">
        <w:t>: 327</w:t>
      </w:r>
    </w:p>
  </w:footnote>
  <w:footnote w:id="2">
    <w:p w:rsidR="00AB0545" w:rsidRDefault="00AB0545">
      <w:pPr>
        <w:pStyle w:val="FootnoteText"/>
      </w:pPr>
      <w:r>
        <w:rPr>
          <w:rStyle w:val="FootnoteReference"/>
        </w:rPr>
        <w:footnoteRef/>
      </w:r>
      <w:r>
        <w:t xml:space="preserve"> </w:t>
      </w:r>
      <w:r w:rsidR="0086553F">
        <w:t>Fisher 2006</w:t>
      </w:r>
      <w:r w:rsidR="00BF3F91">
        <w:t>: 327</w:t>
      </w:r>
    </w:p>
  </w:footnote>
  <w:footnote w:id="3">
    <w:p w:rsidR="00551B6A" w:rsidRDefault="00551B6A">
      <w:pPr>
        <w:pStyle w:val="FootnoteText"/>
      </w:pPr>
      <w:r>
        <w:rPr>
          <w:rStyle w:val="FootnoteReference"/>
        </w:rPr>
        <w:footnoteRef/>
      </w:r>
      <w:r>
        <w:t xml:space="preserve"> Fisher 2006: 335</w:t>
      </w:r>
    </w:p>
  </w:footnote>
  <w:footnote w:id="4">
    <w:p w:rsidR="00AB0545" w:rsidRDefault="00AB0545">
      <w:pPr>
        <w:pStyle w:val="FootnoteText"/>
      </w:pPr>
      <w:r>
        <w:rPr>
          <w:rStyle w:val="FootnoteReference"/>
        </w:rPr>
        <w:footnoteRef/>
      </w:r>
      <w:r>
        <w:t xml:space="preserve"> </w:t>
      </w:r>
      <w:r w:rsidR="0086553F">
        <w:t>Fisher 2006</w:t>
      </w:r>
      <w:r w:rsidR="00886CA2">
        <w:t>: 328</w:t>
      </w:r>
    </w:p>
  </w:footnote>
  <w:footnote w:id="5">
    <w:p w:rsidR="00813A4D" w:rsidRDefault="00813A4D">
      <w:pPr>
        <w:pStyle w:val="FootnoteText"/>
      </w:pPr>
      <w:r>
        <w:rPr>
          <w:rStyle w:val="FootnoteReference"/>
        </w:rPr>
        <w:footnoteRef/>
      </w:r>
      <w:r>
        <w:t xml:space="preserve"> </w:t>
      </w:r>
      <w:r w:rsidR="0086553F">
        <w:t>Fisher 2006</w:t>
      </w:r>
      <w:r w:rsidR="00886CA2">
        <w:t>: 328-29</w:t>
      </w:r>
    </w:p>
  </w:footnote>
  <w:footnote w:id="6">
    <w:p w:rsidR="00813A4D" w:rsidRDefault="00813A4D">
      <w:pPr>
        <w:pStyle w:val="FootnoteText"/>
      </w:pPr>
      <w:r>
        <w:rPr>
          <w:rStyle w:val="FootnoteReference"/>
        </w:rPr>
        <w:footnoteRef/>
      </w:r>
      <w:r>
        <w:t xml:space="preserve"> </w:t>
      </w:r>
      <w:r w:rsidR="00BF3F91">
        <w:t xml:space="preserve">Fisher 2006: </w:t>
      </w:r>
      <w:r w:rsidR="00886CA2">
        <w:t>338-39</w:t>
      </w:r>
    </w:p>
  </w:footnote>
  <w:footnote w:id="7">
    <w:p w:rsidR="00723452" w:rsidRDefault="00723452">
      <w:pPr>
        <w:pStyle w:val="FootnoteText"/>
      </w:pPr>
      <w:r>
        <w:rPr>
          <w:rStyle w:val="FootnoteReference"/>
        </w:rPr>
        <w:footnoteRef/>
      </w:r>
      <w:r>
        <w:t xml:space="preserve"> </w:t>
      </w:r>
      <w:r w:rsidR="00BF3F91">
        <w:t>Fisher 2006: 345</w:t>
      </w:r>
    </w:p>
  </w:footnote>
  <w:footnote w:id="8">
    <w:p w:rsidR="00723452" w:rsidRDefault="00813A4D">
      <w:pPr>
        <w:pStyle w:val="FootnoteText"/>
      </w:pPr>
      <w:r>
        <w:rPr>
          <w:rStyle w:val="FootnoteReference"/>
        </w:rPr>
        <w:footnoteRef/>
      </w:r>
      <w:r>
        <w:t xml:space="preserve"> </w:t>
      </w:r>
      <w:r w:rsidR="0086553F">
        <w:t>Whitehead 1984: 47-59</w:t>
      </w:r>
    </w:p>
  </w:footnote>
  <w:footnote w:id="9">
    <w:p w:rsidR="00A40911" w:rsidRDefault="00A40911">
      <w:pPr>
        <w:pStyle w:val="FootnoteText"/>
      </w:pPr>
      <w:r>
        <w:rPr>
          <w:rStyle w:val="FootnoteReference"/>
        </w:rPr>
        <w:footnoteRef/>
      </w:r>
      <w:r>
        <w:t xml:space="preserve"> Fisher 2006: 339</w:t>
      </w:r>
    </w:p>
  </w:footnote>
  <w:footnote w:id="10">
    <w:p w:rsidR="00D20C15" w:rsidRDefault="00D20C15">
      <w:pPr>
        <w:pStyle w:val="FootnoteText"/>
      </w:pPr>
      <w:r>
        <w:rPr>
          <w:rStyle w:val="FootnoteReference"/>
        </w:rPr>
        <w:footnoteRef/>
      </w:r>
      <w:r>
        <w:t xml:space="preserve"> Fisher 2006: 327</w:t>
      </w:r>
    </w:p>
  </w:footnote>
  <w:footnote w:id="11">
    <w:p w:rsidR="00D319DE" w:rsidRDefault="00D319DE">
      <w:pPr>
        <w:pStyle w:val="FootnoteText"/>
      </w:pPr>
      <w:r>
        <w:rPr>
          <w:rStyle w:val="FootnoteReference"/>
        </w:rPr>
        <w:footnoteRef/>
      </w:r>
      <w:r>
        <w:t xml:space="preserve"> Pomeroy 2006: 250</w:t>
      </w:r>
    </w:p>
  </w:footnote>
  <w:footnote w:id="12">
    <w:p w:rsidR="00D319DE" w:rsidRDefault="00D319DE">
      <w:pPr>
        <w:pStyle w:val="FootnoteText"/>
      </w:pPr>
      <w:r>
        <w:rPr>
          <w:rStyle w:val="FootnoteReference"/>
        </w:rPr>
        <w:footnoteRef/>
      </w:r>
      <w:r>
        <w:t xml:space="preserve"> </w:t>
      </w:r>
      <w:r w:rsidR="0056603B">
        <w:t>Pomeroy 2006: 355</w:t>
      </w:r>
    </w:p>
  </w:footnote>
  <w:footnote w:id="13">
    <w:p w:rsidR="004E178A" w:rsidRDefault="004E178A">
      <w:pPr>
        <w:pStyle w:val="FootnoteText"/>
      </w:pPr>
      <w:r>
        <w:rPr>
          <w:rStyle w:val="FootnoteReference"/>
        </w:rPr>
        <w:footnoteRef/>
      </w:r>
      <w:r>
        <w:t xml:space="preserve"> </w:t>
      </w:r>
      <w:r w:rsidR="00132319">
        <w:t>Fisher 2006: 344</w:t>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057745E8"/>
    <w:multiLevelType w:val="hybridMultilevel"/>
    <w:tmpl w:val="892CE054"/>
    <w:lvl w:ilvl="0" w:tplc="C9E048E2">
      <w:numFmt w:val="bullet"/>
      <w:lvlText w:val="-"/>
      <w:lvlJc w:val="left"/>
      <w:pPr>
        <w:ind w:left="1080" w:hanging="360"/>
      </w:pPr>
      <w:rPr>
        <w:rFonts w:ascii="Calibri" w:eastAsiaTheme="minorHAnsi" w:hAnsi="Calibri" w:cs="Calibri"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 w15:restartNumberingAfterBreak="0">
    <w:nsid w:val="38776C59"/>
    <w:multiLevelType w:val="hybridMultilevel"/>
    <w:tmpl w:val="CEB2359C"/>
    <w:lvl w:ilvl="0" w:tplc="C212D0AC">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BD7323"/>
    <w:rsid w:val="000D767B"/>
    <w:rsid w:val="00104D42"/>
    <w:rsid w:val="00132319"/>
    <w:rsid w:val="0014720B"/>
    <w:rsid w:val="00152F77"/>
    <w:rsid w:val="001C1F15"/>
    <w:rsid w:val="00242F48"/>
    <w:rsid w:val="002F49F1"/>
    <w:rsid w:val="003237D4"/>
    <w:rsid w:val="00347159"/>
    <w:rsid w:val="00383754"/>
    <w:rsid w:val="00443014"/>
    <w:rsid w:val="004C5382"/>
    <w:rsid w:val="004E178A"/>
    <w:rsid w:val="00551B6A"/>
    <w:rsid w:val="0056603B"/>
    <w:rsid w:val="0066453E"/>
    <w:rsid w:val="006855FA"/>
    <w:rsid w:val="006F4ADE"/>
    <w:rsid w:val="00706973"/>
    <w:rsid w:val="00723452"/>
    <w:rsid w:val="0077451F"/>
    <w:rsid w:val="007A4306"/>
    <w:rsid w:val="00813A4D"/>
    <w:rsid w:val="00844D7E"/>
    <w:rsid w:val="0086553F"/>
    <w:rsid w:val="00886CA2"/>
    <w:rsid w:val="008D7C2D"/>
    <w:rsid w:val="0099461E"/>
    <w:rsid w:val="00A40911"/>
    <w:rsid w:val="00AB0545"/>
    <w:rsid w:val="00AF3C4B"/>
    <w:rsid w:val="00B15FC5"/>
    <w:rsid w:val="00B5017A"/>
    <w:rsid w:val="00BB58AE"/>
    <w:rsid w:val="00BD7323"/>
    <w:rsid w:val="00BF3F91"/>
    <w:rsid w:val="00C56BE9"/>
    <w:rsid w:val="00C80847"/>
    <w:rsid w:val="00CF6208"/>
    <w:rsid w:val="00D20C15"/>
    <w:rsid w:val="00D319DE"/>
    <w:rsid w:val="00D50D37"/>
    <w:rsid w:val="00F035CC"/>
    <w:rsid w:val="00FD13E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5:docId w15:val="{61DDA0AF-2FC4-4B39-A335-AA90DD7A39A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C80847"/>
    <w:pPr>
      <w:ind w:left="720"/>
      <w:contextualSpacing/>
    </w:pPr>
  </w:style>
  <w:style w:type="paragraph" w:styleId="FootnoteText">
    <w:name w:val="footnote text"/>
    <w:basedOn w:val="Normal"/>
    <w:link w:val="FootnoteTextChar"/>
    <w:uiPriority w:val="99"/>
    <w:semiHidden/>
    <w:unhideWhenUsed/>
    <w:rsid w:val="00AB0545"/>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AB0545"/>
    <w:rPr>
      <w:sz w:val="20"/>
      <w:szCs w:val="20"/>
    </w:rPr>
  </w:style>
  <w:style w:type="character" w:styleId="FootnoteReference">
    <w:name w:val="footnote reference"/>
    <w:basedOn w:val="DefaultParagraphFont"/>
    <w:uiPriority w:val="99"/>
    <w:semiHidden/>
    <w:unhideWhenUsed/>
    <w:rsid w:val="00AB0545"/>
    <w:rPr>
      <w:vertAlign w:val="superscript"/>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4" Type="http://schemas.openxmlformats.org/officeDocument/2006/relationships/settings" Target="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23089F5-B1E7-4EB8-B0C1-E9E5E9F8912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141</TotalTime>
  <Pages>3</Pages>
  <Words>718</Words>
  <Characters>4097</Characters>
  <Application>Microsoft Office Word</Application>
  <DocSecurity>0</DocSecurity>
  <Lines>34</Lines>
  <Paragraphs>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4806</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Stacy Archer</dc:creator>
  <cp:keywords/>
  <dc:description/>
  <cp:lastModifiedBy>Stacy Archer</cp:lastModifiedBy>
  <cp:revision>47</cp:revision>
  <dcterms:created xsi:type="dcterms:W3CDTF">2017-11-17T09:24:00Z</dcterms:created>
  <dcterms:modified xsi:type="dcterms:W3CDTF">2017-11-17T11:50:00Z</dcterms:modified>
</cp:coreProperties>
</file>