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50550" w14:textId="490037D5" w:rsidR="00E408F4" w:rsidRPr="006D6B42" w:rsidRDefault="00E408F4">
      <w:pPr>
        <w:rPr>
          <w:rFonts w:ascii="Arial" w:hAnsi="Arial" w:cs="Arial"/>
        </w:rPr>
      </w:pPr>
      <w:r w:rsidRPr="006D6B42">
        <w:rPr>
          <w:rFonts w:ascii="Arial" w:hAnsi="Arial" w:cs="Arial"/>
        </w:rPr>
        <w:t>Name: Nazia Malik</w:t>
      </w:r>
    </w:p>
    <w:p w14:paraId="558E39CD" w14:textId="39AAAD31" w:rsidR="00E408F4" w:rsidRPr="006D6B42" w:rsidRDefault="00E408F4">
      <w:pPr>
        <w:rPr>
          <w:rFonts w:ascii="Arial" w:hAnsi="Arial" w:cs="Arial"/>
        </w:rPr>
      </w:pPr>
      <w:r w:rsidRPr="006D6B42">
        <w:rPr>
          <w:rFonts w:ascii="Arial" w:hAnsi="Arial" w:cs="Arial"/>
        </w:rPr>
        <w:t>Student No:</w:t>
      </w:r>
      <w:r w:rsidR="000460AB">
        <w:rPr>
          <w:rFonts w:ascii="Arial" w:hAnsi="Arial" w:cs="Arial"/>
        </w:rPr>
        <w:t xml:space="preserve"> </w:t>
      </w:r>
      <w:r w:rsidR="00880D37">
        <w:rPr>
          <w:rFonts w:ascii="Arial" w:hAnsi="Arial" w:cs="Arial"/>
        </w:rPr>
        <w:t>2424839</w:t>
      </w:r>
    </w:p>
    <w:p w14:paraId="2186E80D" w14:textId="41AA3471" w:rsidR="00E408F4" w:rsidRPr="006D6B42" w:rsidRDefault="00E408F4">
      <w:pPr>
        <w:rPr>
          <w:rFonts w:ascii="Arial" w:hAnsi="Arial" w:cs="Arial"/>
        </w:rPr>
      </w:pPr>
      <w:r w:rsidRPr="006D6B42">
        <w:rPr>
          <w:rFonts w:ascii="Arial" w:hAnsi="Arial" w:cs="Arial"/>
        </w:rPr>
        <w:t>Module Code and Title:</w:t>
      </w:r>
      <w:r w:rsidR="00AF2842">
        <w:rPr>
          <w:rFonts w:ascii="Arial" w:hAnsi="Arial" w:cs="Arial"/>
        </w:rPr>
        <w:t xml:space="preserve"> </w:t>
      </w:r>
      <w:r w:rsidR="000460AB">
        <w:rPr>
          <w:rFonts w:ascii="Arial" w:hAnsi="Arial" w:cs="Arial"/>
        </w:rPr>
        <w:t>P</w:t>
      </w:r>
      <w:r w:rsidR="00004887">
        <w:rPr>
          <w:rFonts w:ascii="Arial" w:hAnsi="Arial" w:cs="Arial"/>
        </w:rPr>
        <w:t>sychology</w:t>
      </w:r>
      <w:r w:rsidR="009248F5">
        <w:rPr>
          <w:rFonts w:ascii="Arial" w:hAnsi="Arial" w:cs="Arial"/>
        </w:rPr>
        <w:t xml:space="preserve"> in Health and S</w:t>
      </w:r>
      <w:r w:rsidR="00557977">
        <w:rPr>
          <w:rFonts w:ascii="Arial" w:hAnsi="Arial" w:cs="Arial"/>
        </w:rPr>
        <w:t>ocial Care</w:t>
      </w:r>
      <w:r w:rsidR="009F11F1">
        <w:rPr>
          <w:rFonts w:ascii="Arial" w:hAnsi="Arial" w:cs="Arial"/>
        </w:rPr>
        <w:t xml:space="preserve"> LCHS4010</w:t>
      </w:r>
    </w:p>
    <w:p w14:paraId="47278967" w14:textId="551BD832" w:rsidR="00E408F4" w:rsidRPr="006D6B42" w:rsidRDefault="00E408F4">
      <w:pPr>
        <w:rPr>
          <w:rFonts w:ascii="Arial" w:hAnsi="Arial" w:cs="Arial"/>
        </w:rPr>
      </w:pPr>
      <w:r w:rsidRPr="006D6B42">
        <w:rPr>
          <w:rFonts w:ascii="Arial" w:hAnsi="Arial" w:cs="Arial"/>
        </w:rPr>
        <w:t xml:space="preserve">Lecturers </w:t>
      </w:r>
      <w:r w:rsidR="000713C0" w:rsidRPr="006D6B42">
        <w:rPr>
          <w:rFonts w:ascii="Arial" w:hAnsi="Arial" w:cs="Arial"/>
        </w:rPr>
        <w:t>Name:</w:t>
      </w:r>
      <w:r w:rsidR="000713C0">
        <w:rPr>
          <w:rFonts w:ascii="Arial" w:hAnsi="Arial" w:cs="Arial"/>
        </w:rPr>
        <w:t xml:space="preserve"> Helen</w:t>
      </w:r>
      <w:r w:rsidR="001D2E5D">
        <w:rPr>
          <w:rFonts w:ascii="Arial" w:hAnsi="Arial" w:cs="Arial"/>
        </w:rPr>
        <w:t xml:space="preserve"> </w:t>
      </w:r>
      <w:r w:rsidR="003E2629">
        <w:rPr>
          <w:rFonts w:ascii="Arial" w:hAnsi="Arial" w:cs="Arial"/>
        </w:rPr>
        <w:t>Parsons</w:t>
      </w:r>
    </w:p>
    <w:p w14:paraId="08C38698" w14:textId="02EF7619" w:rsidR="00E408F4" w:rsidRPr="006D6B42" w:rsidRDefault="00E408F4">
      <w:pPr>
        <w:rPr>
          <w:rFonts w:ascii="Arial" w:hAnsi="Arial" w:cs="Arial"/>
        </w:rPr>
      </w:pPr>
      <w:r w:rsidRPr="006D6B42">
        <w:rPr>
          <w:rFonts w:ascii="Arial" w:hAnsi="Arial" w:cs="Arial"/>
        </w:rPr>
        <w:t xml:space="preserve">Assignment </w:t>
      </w:r>
      <w:r w:rsidR="000713C0" w:rsidRPr="006D6B42">
        <w:rPr>
          <w:rFonts w:ascii="Arial" w:hAnsi="Arial" w:cs="Arial"/>
        </w:rPr>
        <w:t>Title:</w:t>
      </w:r>
      <w:r w:rsidR="000713C0">
        <w:rPr>
          <w:rFonts w:ascii="Arial" w:hAnsi="Arial" w:cs="Arial"/>
        </w:rPr>
        <w:t xml:space="preserve"> Bibliography</w:t>
      </w:r>
      <w:r w:rsidR="00112AB6">
        <w:rPr>
          <w:rFonts w:ascii="Arial" w:hAnsi="Arial" w:cs="Arial"/>
        </w:rPr>
        <w:t xml:space="preserve"> </w:t>
      </w:r>
      <w:r w:rsidR="0093036C">
        <w:rPr>
          <w:rFonts w:ascii="Arial" w:hAnsi="Arial" w:cs="Arial"/>
        </w:rPr>
        <w:t>&amp;</w:t>
      </w:r>
      <w:r w:rsidR="00210604">
        <w:rPr>
          <w:rFonts w:ascii="Arial" w:hAnsi="Arial" w:cs="Arial"/>
        </w:rPr>
        <w:t xml:space="preserve"> report </w:t>
      </w:r>
    </w:p>
    <w:p w14:paraId="593CF92B" w14:textId="77777777" w:rsidR="00E408F4" w:rsidRPr="006D6B42" w:rsidRDefault="00E408F4">
      <w:pPr>
        <w:rPr>
          <w:rFonts w:ascii="Arial" w:hAnsi="Arial" w:cs="Arial"/>
        </w:rPr>
      </w:pPr>
      <w:r w:rsidRPr="006D6B42">
        <w:rPr>
          <w:rFonts w:ascii="Arial" w:hAnsi="Arial" w:cs="Arial"/>
        </w:rPr>
        <w:br w:type="page"/>
      </w:r>
    </w:p>
    <w:p w14:paraId="23064FDB" w14:textId="0F145923" w:rsidR="00E408F4" w:rsidRPr="00E72339" w:rsidRDefault="00E408F4" w:rsidP="006D6B42">
      <w:pPr>
        <w:spacing w:line="360" w:lineRule="auto"/>
        <w:rPr>
          <w:rFonts w:ascii="Arial" w:hAnsi="Arial" w:cs="Arial"/>
          <w:b/>
          <w:bCs/>
          <w:sz w:val="22"/>
          <w:szCs w:val="22"/>
        </w:rPr>
      </w:pPr>
      <w:r w:rsidRPr="00E72339">
        <w:rPr>
          <w:rFonts w:ascii="Arial" w:hAnsi="Arial" w:cs="Arial"/>
          <w:b/>
          <w:bCs/>
          <w:sz w:val="22"/>
          <w:szCs w:val="22"/>
        </w:rPr>
        <w:lastRenderedPageBreak/>
        <w:t>Part A: Annotated Bibliography</w:t>
      </w:r>
    </w:p>
    <w:p w14:paraId="60F9F487" w14:textId="5A1D5CC8" w:rsidR="00E408F4" w:rsidRPr="00E72339" w:rsidRDefault="00C52A71" w:rsidP="006D6B42">
      <w:pPr>
        <w:pStyle w:val="ListParagraph"/>
        <w:numPr>
          <w:ilvl w:val="0"/>
          <w:numId w:val="3"/>
        </w:numPr>
        <w:spacing w:line="360" w:lineRule="auto"/>
        <w:rPr>
          <w:rFonts w:ascii="Arial" w:hAnsi="Arial" w:cs="Arial"/>
          <w:sz w:val="22"/>
          <w:szCs w:val="22"/>
          <w:u w:val="single"/>
        </w:rPr>
      </w:pPr>
      <w:r w:rsidRPr="00E72339">
        <w:rPr>
          <w:rFonts w:ascii="Arial" w:hAnsi="Arial" w:cs="Arial"/>
          <w:sz w:val="22"/>
          <w:szCs w:val="22"/>
          <w:u w:val="single"/>
        </w:rPr>
        <w:t>John Bowlby – Attachment Theory</w:t>
      </w:r>
    </w:p>
    <w:p w14:paraId="707AC679" w14:textId="4DC5D247" w:rsidR="00FF0E5D" w:rsidRPr="006D6B42" w:rsidRDefault="00FF0E5D" w:rsidP="006D6B42">
      <w:pPr>
        <w:spacing w:line="360" w:lineRule="auto"/>
        <w:rPr>
          <w:sz w:val="22"/>
          <w:szCs w:val="22"/>
        </w:rPr>
      </w:pPr>
      <w:r w:rsidRPr="006D6B42">
        <w:rPr>
          <w:sz w:val="22"/>
          <w:szCs w:val="22"/>
          <w:u w:val="single"/>
        </w:rPr>
        <w:t>Source:</w:t>
      </w:r>
      <w:r w:rsidRPr="006D6B42">
        <w:rPr>
          <w:sz w:val="22"/>
          <w:szCs w:val="22"/>
        </w:rPr>
        <w:t xml:space="preserve"> </w:t>
      </w:r>
      <w:r w:rsidR="006A0D0E" w:rsidRPr="006D6B42">
        <w:rPr>
          <w:sz w:val="22"/>
          <w:szCs w:val="22"/>
        </w:rPr>
        <w:t xml:space="preserve">BARBOUR, R.F. (1969). JOHN BOWLBY: Attachment and Loss. </w:t>
      </w:r>
      <w:r w:rsidR="006A0D0E" w:rsidRPr="006D6B42">
        <w:rPr>
          <w:i/>
          <w:iCs/>
          <w:sz w:val="22"/>
          <w:szCs w:val="22"/>
        </w:rPr>
        <w:t>The British Journal of Psychiatry</w:t>
      </w:r>
      <w:r w:rsidR="006A0D0E" w:rsidRPr="006D6B42">
        <w:rPr>
          <w:sz w:val="22"/>
          <w:szCs w:val="22"/>
        </w:rPr>
        <w:t xml:space="preserve">, 116(530), pp.102–103. </w:t>
      </w:r>
      <w:proofErr w:type="spellStart"/>
      <w:proofErr w:type="gramStart"/>
      <w:r w:rsidR="006A0D0E" w:rsidRPr="006D6B42">
        <w:rPr>
          <w:sz w:val="22"/>
          <w:szCs w:val="22"/>
        </w:rPr>
        <w:t>doi:https</w:t>
      </w:r>
      <w:proofErr w:type="spellEnd"/>
      <w:r w:rsidR="006A0D0E" w:rsidRPr="006D6B42">
        <w:rPr>
          <w:sz w:val="22"/>
          <w:szCs w:val="22"/>
        </w:rPr>
        <w:t>://doi.org/10.1192/bjp.116.530.102</w:t>
      </w:r>
      <w:proofErr w:type="gramEnd"/>
      <w:r w:rsidR="006A0D0E" w:rsidRPr="006D6B42">
        <w:rPr>
          <w:sz w:val="22"/>
          <w:szCs w:val="22"/>
        </w:rPr>
        <w:t>.</w:t>
      </w:r>
    </w:p>
    <w:p w14:paraId="515E2C08" w14:textId="14622BE0" w:rsidR="0089786F" w:rsidRPr="006D6B42" w:rsidRDefault="0089786F" w:rsidP="006D6B42">
      <w:pPr>
        <w:spacing w:line="360" w:lineRule="auto"/>
        <w:rPr>
          <w:rFonts w:ascii="Arial" w:hAnsi="Arial" w:cs="Arial"/>
          <w:sz w:val="22"/>
          <w:szCs w:val="22"/>
          <w:u w:val="single"/>
        </w:rPr>
      </w:pPr>
      <w:r w:rsidRPr="006D6B42">
        <w:rPr>
          <w:rFonts w:ascii="Arial" w:hAnsi="Arial" w:cs="Arial"/>
          <w:sz w:val="22"/>
          <w:szCs w:val="22"/>
          <w:u w:val="single"/>
        </w:rPr>
        <w:t xml:space="preserve">Summary </w:t>
      </w:r>
    </w:p>
    <w:p w14:paraId="72D85751" w14:textId="77777777" w:rsidR="009540F2" w:rsidRPr="006D6B42" w:rsidRDefault="009540F2" w:rsidP="006D6B42">
      <w:pPr>
        <w:spacing w:line="360" w:lineRule="auto"/>
        <w:rPr>
          <w:rFonts w:ascii="Arial" w:hAnsi="Arial" w:cs="Arial"/>
          <w:sz w:val="22"/>
          <w:szCs w:val="22"/>
        </w:rPr>
      </w:pPr>
      <w:r w:rsidRPr="006D6B42">
        <w:rPr>
          <w:rFonts w:ascii="Arial" w:hAnsi="Arial" w:cs="Arial"/>
          <w:sz w:val="22"/>
          <w:szCs w:val="22"/>
        </w:rPr>
        <w:t>Bowlby’s attachment theory explains how emotional bonds with caregivers influence psychological development and wellbeing throughout life. Although originally focused on childhood, Bowlby argued that the need for secure attachments continues across the lifespan. These relationships provide safety and emotional support, helping individuals cope with stress and life changes (Hong and Park, 2012). In older adulthood, attachment needs may become more important due to experiences such as bereavement, declining health, or moving into residential care. Individuals with secure attachments are more likely to seek support and demonstrate emotional resilience (Bowlby, 1969).</w:t>
      </w:r>
    </w:p>
    <w:p w14:paraId="709AB423" w14:textId="77777777" w:rsidR="009540F2" w:rsidRPr="006D6B42" w:rsidRDefault="009540F2" w:rsidP="006D6B42">
      <w:pPr>
        <w:spacing w:line="360" w:lineRule="auto"/>
        <w:rPr>
          <w:rFonts w:ascii="Arial" w:hAnsi="Arial" w:cs="Arial"/>
          <w:sz w:val="22"/>
          <w:szCs w:val="22"/>
        </w:rPr>
      </w:pPr>
      <w:r w:rsidRPr="006D6B42">
        <w:rPr>
          <w:rFonts w:ascii="Arial" w:hAnsi="Arial" w:cs="Arial"/>
          <w:sz w:val="22"/>
          <w:szCs w:val="22"/>
        </w:rPr>
        <w:t>Research has supported this theory, showing that secure relationships can improve mental health, reduce loneliness, and increase life satisfaction in later life (</w:t>
      </w:r>
      <w:proofErr w:type="spellStart"/>
      <w:r w:rsidRPr="006D6B42">
        <w:rPr>
          <w:rFonts w:ascii="Arial" w:hAnsi="Arial" w:cs="Arial"/>
          <w:sz w:val="22"/>
          <w:szCs w:val="22"/>
        </w:rPr>
        <w:t>Galbally</w:t>
      </w:r>
      <w:proofErr w:type="spellEnd"/>
      <w:r w:rsidRPr="006D6B42">
        <w:rPr>
          <w:rFonts w:ascii="Arial" w:hAnsi="Arial" w:cs="Arial"/>
          <w:sz w:val="22"/>
          <w:szCs w:val="22"/>
        </w:rPr>
        <w:t xml:space="preserve"> et al., 2020). Older adults with supportive relationships often demonstrate stronger coping strategies when facing age-related challenges, highlighting the importance of emotional bonds for psychological wellbeing.</w:t>
      </w:r>
    </w:p>
    <w:p w14:paraId="25508362" w14:textId="243EB2E8" w:rsidR="00485A5A" w:rsidRPr="006D6B42" w:rsidRDefault="00485A5A" w:rsidP="006D6B42">
      <w:pPr>
        <w:spacing w:line="360" w:lineRule="auto"/>
        <w:rPr>
          <w:rFonts w:ascii="Arial" w:hAnsi="Arial" w:cs="Arial"/>
          <w:sz w:val="22"/>
          <w:szCs w:val="22"/>
          <w:u w:val="single"/>
        </w:rPr>
      </w:pPr>
      <w:r w:rsidRPr="006D6B42">
        <w:rPr>
          <w:rFonts w:ascii="Arial" w:hAnsi="Arial" w:cs="Arial"/>
          <w:sz w:val="22"/>
          <w:szCs w:val="22"/>
          <w:u w:val="single"/>
        </w:rPr>
        <w:t>Critical Comment/ Relevance to Health and Social Care</w:t>
      </w:r>
      <w:r w:rsidR="006C2187" w:rsidRPr="006D6B42">
        <w:rPr>
          <w:rFonts w:ascii="Arial" w:hAnsi="Arial" w:cs="Arial"/>
          <w:sz w:val="22"/>
          <w:szCs w:val="22"/>
          <w:u w:val="single"/>
        </w:rPr>
        <w:t xml:space="preserve"> </w:t>
      </w:r>
    </w:p>
    <w:p w14:paraId="369C3A4C" w14:textId="0BD8FAB3" w:rsidR="00887830" w:rsidRPr="006D6B42" w:rsidRDefault="00887830" w:rsidP="006D6B42">
      <w:pPr>
        <w:spacing w:line="360" w:lineRule="auto"/>
        <w:rPr>
          <w:rFonts w:ascii="Arial" w:hAnsi="Arial" w:cs="Arial"/>
          <w:sz w:val="22"/>
          <w:szCs w:val="22"/>
        </w:rPr>
      </w:pPr>
      <w:r w:rsidRPr="006D6B42">
        <w:rPr>
          <w:rFonts w:ascii="Arial" w:hAnsi="Arial" w:cs="Arial"/>
          <w:sz w:val="22"/>
          <w:szCs w:val="22"/>
        </w:rPr>
        <w:t>Attachment theory is relevant to health and social care settings supporting older adults. Developing trusting relationships with care staff can help residents feel secure and emotionally supported (Care Learning, 2024). Consistency, empathy, and clear communication are therefore important practices. However, critics argue that Bowlby’s theory focuses heavily on early childhood and may overlook later life experiences that influence attachment (Paul, 2022). High staff turnover in care settings may also make it difficult for residents to form stable relationships. Despite these limitations, attachment theory remains useful for promoting relationship-centred care.</w:t>
      </w:r>
    </w:p>
    <w:p w14:paraId="7F2F8E24" w14:textId="11B25B29" w:rsidR="009A2FCC" w:rsidRPr="006D6B42" w:rsidRDefault="009A2FCC" w:rsidP="006D6B42">
      <w:pPr>
        <w:pStyle w:val="ListParagraph"/>
        <w:numPr>
          <w:ilvl w:val="0"/>
          <w:numId w:val="3"/>
        </w:numPr>
        <w:spacing w:line="360" w:lineRule="auto"/>
        <w:rPr>
          <w:rFonts w:ascii="Arial" w:hAnsi="Arial" w:cs="Arial"/>
          <w:sz w:val="22"/>
          <w:szCs w:val="22"/>
          <w:u w:val="single"/>
        </w:rPr>
      </w:pPr>
      <w:r w:rsidRPr="006D6B42">
        <w:rPr>
          <w:rFonts w:ascii="Arial" w:hAnsi="Arial" w:cs="Arial"/>
          <w:sz w:val="22"/>
          <w:szCs w:val="22"/>
          <w:u w:val="single"/>
        </w:rPr>
        <w:t>Mary Ainworth – Attachment Patterns</w:t>
      </w:r>
    </w:p>
    <w:p w14:paraId="1A5B1322" w14:textId="6CE96B75" w:rsidR="007F2B2B" w:rsidRPr="006D6B42" w:rsidRDefault="007F2B2B" w:rsidP="006D6B42">
      <w:pPr>
        <w:spacing w:line="360" w:lineRule="auto"/>
        <w:rPr>
          <w:sz w:val="22"/>
          <w:szCs w:val="22"/>
        </w:rPr>
      </w:pPr>
      <w:r w:rsidRPr="006D6B42">
        <w:rPr>
          <w:sz w:val="22"/>
          <w:szCs w:val="22"/>
          <w:u w:val="single"/>
        </w:rPr>
        <w:t>Source:</w:t>
      </w:r>
      <w:r w:rsidRPr="006D6B42">
        <w:rPr>
          <w:sz w:val="22"/>
          <w:szCs w:val="22"/>
        </w:rPr>
        <w:t xml:space="preserve"> </w:t>
      </w:r>
      <w:r w:rsidR="006A0D0E" w:rsidRPr="006D6B42">
        <w:rPr>
          <w:sz w:val="22"/>
          <w:szCs w:val="22"/>
        </w:rPr>
        <w:t xml:space="preserve">Lamb, M.E. (1978). Patterns of attachment: A psychological study of the strange situation. </w:t>
      </w:r>
      <w:r w:rsidR="006A0D0E" w:rsidRPr="006D6B42">
        <w:rPr>
          <w:i/>
          <w:iCs/>
          <w:sz w:val="22"/>
          <w:szCs w:val="22"/>
        </w:rPr>
        <w:t>Infant Mental Health Journal</w:t>
      </w:r>
      <w:r w:rsidR="006A0D0E" w:rsidRPr="006D6B42">
        <w:rPr>
          <w:sz w:val="22"/>
          <w:szCs w:val="22"/>
        </w:rPr>
        <w:t xml:space="preserve">, 1(1), pp.68–70. </w:t>
      </w:r>
      <w:proofErr w:type="gramStart"/>
      <w:r w:rsidR="006A0D0E" w:rsidRPr="006D6B42">
        <w:rPr>
          <w:sz w:val="22"/>
          <w:szCs w:val="22"/>
        </w:rPr>
        <w:t>doi:https://doi.org/10.1002/1097-0355(198021)1:1%3C68::aid-imhj2280010110%3E3.0.co;2-3</w:t>
      </w:r>
      <w:proofErr w:type="gramEnd"/>
      <w:r w:rsidR="006A0D0E" w:rsidRPr="006D6B42">
        <w:rPr>
          <w:sz w:val="22"/>
          <w:szCs w:val="22"/>
        </w:rPr>
        <w:t>.</w:t>
      </w:r>
    </w:p>
    <w:p w14:paraId="6EFAB637" w14:textId="3FCE1EEE" w:rsidR="007F2B2B" w:rsidRPr="006D6B42" w:rsidRDefault="007F2B2B" w:rsidP="006D6B42">
      <w:pPr>
        <w:spacing w:line="360" w:lineRule="auto"/>
        <w:rPr>
          <w:rFonts w:ascii="Arial" w:hAnsi="Arial" w:cs="Arial"/>
          <w:sz w:val="22"/>
          <w:szCs w:val="22"/>
          <w:u w:val="single"/>
        </w:rPr>
      </w:pPr>
      <w:r w:rsidRPr="006D6B42">
        <w:rPr>
          <w:rFonts w:ascii="Arial" w:hAnsi="Arial" w:cs="Arial"/>
          <w:sz w:val="22"/>
          <w:szCs w:val="22"/>
          <w:u w:val="single"/>
        </w:rPr>
        <w:t xml:space="preserve">Summary </w:t>
      </w:r>
    </w:p>
    <w:p w14:paraId="5F535D87" w14:textId="77777777" w:rsidR="00887830" w:rsidRPr="006D6B42" w:rsidRDefault="00D53DC2" w:rsidP="006D6B42">
      <w:pPr>
        <w:spacing w:line="360" w:lineRule="auto"/>
        <w:rPr>
          <w:rFonts w:ascii="Arial" w:hAnsi="Arial" w:cs="Arial"/>
          <w:sz w:val="22"/>
          <w:szCs w:val="22"/>
        </w:rPr>
      </w:pPr>
      <w:r w:rsidRPr="006D6B42">
        <w:rPr>
          <w:rFonts w:ascii="Arial" w:hAnsi="Arial" w:cs="Arial"/>
          <w:sz w:val="22"/>
          <w:szCs w:val="22"/>
        </w:rPr>
        <w:lastRenderedPageBreak/>
        <w:t>Ainsworth expanded Bowlby’s attachment theory by identifying three attachment styles: secure, anxious, and avoidant. Individuals with secure attachment tend to trust others and seek emotional support, while anxious attachment involves fear of rejection and avoidant attachment involves emotional distance (Lamb, 1978). Although Ainsworth’s research focused on infants and caregivers, later studies suggest attachment styles influence relationships throughout life. In older adulthood, these patterns can affect how individuals respond to support from family members and caregivers.</w:t>
      </w:r>
    </w:p>
    <w:p w14:paraId="63B69C41" w14:textId="2A74D670" w:rsidR="002C5676" w:rsidRPr="006D6B42" w:rsidRDefault="002C5676" w:rsidP="006D6B42">
      <w:pPr>
        <w:spacing w:line="360" w:lineRule="auto"/>
        <w:rPr>
          <w:rFonts w:ascii="Arial" w:hAnsi="Arial" w:cs="Arial"/>
          <w:sz w:val="22"/>
          <w:szCs w:val="22"/>
          <w:u w:val="single"/>
        </w:rPr>
      </w:pPr>
      <w:r w:rsidRPr="006D6B42">
        <w:rPr>
          <w:rFonts w:ascii="Arial" w:hAnsi="Arial" w:cs="Arial"/>
          <w:sz w:val="22"/>
          <w:szCs w:val="22"/>
          <w:u w:val="single"/>
        </w:rPr>
        <w:t>Critical Comment/ Rele</w:t>
      </w:r>
      <w:r w:rsidR="008E31D6" w:rsidRPr="006D6B42">
        <w:rPr>
          <w:rFonts w:ascii="Arial" w:hAnsi="Arial" w:cs="Arial"/>
          <w:sz w:val="22"/>
          <w:szCs w:val="22"/>
          <w:u w:val="single"/>
        </w:rPr>
        <w:t>vance to Health and Social Care</w:t>
      </w:r>
    </w:p>
    <w:p w14:paraId="49E6B4C8" w14:textId="447A8966" w:rsidR="00E22376" w:rsidRPr="006D6B42" w:rsidRDefault="00A67F43" w:rsidP="006D6B42">
      <w:pPr>
        <w:spacing w:line="360" w:lineRule="auto"/>
        <w:rPr>
          <w:rFonts w:ascii="Arial" w:hAnsi="Arial" w:cs="Arial"/>
          <w:sz w:val="22"/>
          <w:szCs w:val="22"/>
        </w:rPr>
      </w:pPr>
      <w:r w:rsidRPr="006D6B42">
        <w:rPr>
          <w:rFonts w:ascii="Arial" w:hAnsi="Arial" w:cs="Arial"/>
          <w:sz w:val="22"/>
          <w:szCs w:val="22"/>
        </w:rPr>
        <w:t>Ainsworth’s research is valuable for health and social care professionals because it highlights the different emotional responses of older adults. Understanding attachment styles can help staff recognise why some residents quickly build trust while others may appear distant or anxious (Spies and Duschinsky, 2021). However, applying attachment theory can be challenging due to limited time or training, and behaviour may also be influenced by factors such as cognitive decline or physical health (Rocket, 2024). Nevertheless, the research emphasises the importance of empathy and personalised care in residential settings.</w:t>
      </w:r>
    </w:p>
    <w:p w14:paraId="32D6A061" w14:textId="282DF84B" w:rsidR="009C02F3" w:rsidRPr="006D6B42" w:rsidRDefault="009C02F3" w:rsidP="006D6B42">
      <w:pPr>
        <w:pStyle w:val="ListParagraph"/>
        <w:numPr>
          <w:ilvl w:val="0"/>
          <w:numId w:val="3"/>
        </w:numPr>
        <w:spacing w:line="360" w:lineRule="auto"/>
        <w:rPr>
          <w:rFonts w:ascii="Arial" w:hAnsi="Arial" w:cs="Arial"/>
          <w:sz w:val="22"/>
          <w:szCs w:val="22"/>
          <w:u w:val="single"/>
        </w:rPr>
      </w:pPr>
      <w:r w:rsidRPr="006D6B42">
        <w:rPr>
          <w:rFonts w:ascii="Arial" w:hAnsi="Arial" w:cs="Arial"/>
          <w:sz w:val="22"/>
          <w:szCs w:val="22"/>
          <w:u w:val="single"/>
        </w:rPr>
        <w:t>Martin Seligman – Positive Psychology</w:t>
      </w:r>
    </w:p>
    <w:p w14:paraId="4521CDAC" w14:textId="0D62D788" w:rsidR="002B4366" w:rsidRPr="006D6B42" w:rsidRDefault="004B082C" w:rsidP="006D6B42">
      <w:pPr>
        <w:spacing w:line="360" w:lineRule="auto"/>
        <w:rPr>
          <w:sz w:val="22"/>
          <w:szCs w:val="22"/>
        </w:rPr>
      </w:pPr>
      <w:r w:rsidRPr="006D6B42">
        <w:rPr>
          <w:sz w:val="22"/>
          <w:szCs w:val="22"/>
          <w:u w:val="single"/>
        </w:rPr>
        <w:t>Source:</w:t>
      </w:r>
      <w:r w:rsidRPr="006D6B42">
        <w:rPr>
          <w:sz w:val="22"/>
          <w:szCs w:val="22"/>
        </w:rPr>
        <w:t xml:space="preserve"> </w:t>
      </w:r>
      <w:r w:rsidR="002B4366" w:rsidRPr="006D6B42">
        <w:rPr>
          <w:sz w:val="22"/>
          <w:szCs w:val="22"/>
        </w:rPr>
        <w:t xml:space="preserve">Seligman, M.E.P. and Internet Archive (2011). </w:t>
      </w:r>
      <w:r w:rsidR="002B4366" w:rsidRPr="006D6B42">
        <w:rPr>
          <w:i/>
          <w:iCs/>
          <w:sz w:val="22"/>
          <w:szCs w:val="22"/>
        </w:rPr>
        <w:t>Flourish</w:t>
      </w:r>
      <w:r w:rsidR="002B4366" w:rsidRPr="006D6B42">
        <w:rPr>
          <w:sz w:val="22"/>
          <w:szCs w:val="22"/>
        </w:rPr>
        <w:t xml:space="preserve">. [online] </w:t>
      </w:r>
      <w:r w:rsidR="002B4366" w:rsidRPr="006D6B42">
        <w:rPr>
          <w:i/>
          <w:iCs/>
          <w:sz w:val="22"/>
          <w:szCs w:val="22"/>
        </w:rPr>
        <w:t>Internet Archive</w:t>
      </w:r>
      <w:r w:rsidR="002B4366" w:rsidRPr="006D6B42">
        <w:rPr>
          <w:sz w:val="22"/>
          <w:szCs w:val="22"/>
        </w:rPr>
        <w:t xml:space="preserve">. North Sydney, </w:t>
      </w:r>
      <w:proofErr w:type="gramStart"/>
      <w:r w:rsidR="002B4366" w:rsidRPr="006D6B42">
        <w:rPr>
          <w:sz w:val="22"/>
          <w:szCs w:val="22"/>
        </w:rPr>
        <w:t>N.S.W. :</w:t>
      </w:r>
      <w:proofErr w:type="gramEnd"/>
      <w:r w:rsidR="002B4366" w:rsidRPr="006D6B42">
        <w:rPr>
          <w:sz w:val="22"/>
          <w:szCs w:val="22"/>
        </w:rPr>
        <w:t xml:space="preserve"> Random House Australia. Available at: </w:t>
      </w:r>
      <w:hyperlink r:id="rId5" w:history="1">
        <w:r w:rsidR="008720F2" w:rsidRPr="006D6B42">
          <w:rPr>
            <w:rStyle w:val="Hyperlink"/>
            <w:sz w:val="22"/>
            <w:szCs w:val="22"/>
          </w:rPr>
          <w:t>https://archive.org/details/flourish0000seli</w:t>
        </w:r>
      </w:hyperlink>
      <w:r w:rsidR="002B4366" w:rsidRPr="006D6B42">
        <w:rPr>
          <w:sz w:val="22"/>
          <w:szCs w:val="22"/>
        </w:rPr>
        <w:t>.</w:t>
      </w:r>
    </w:p>
    <w:p w14:paraId="7DCBEB9D" w14:textId="13EFABD1" w:rsidR="008720F2" w:rsidRPr="006D6B42" w:rsidRDefault="008720F2" w:rsidP="006D6B42">
      <w:pPr>
        <w:spacing w:line="360" w:lineRule="auto"/>
        <w:rPr>
          <w:rFonts w:ascii="Arial" w:hAnsi="Arial" w:cs="Arial"/>
          <w:sz w:val="22"/>
          <w:szCs w:val="22"/>
          <w:u w:val="single"/>
        </w:rPr>
      </w:pPr>
      <w:r w:rsidRPr="006D6B42">
        <w:rPr>
          <w:rFonts w:ascii="Arial" w:hAnsi="Arial" w:cs="Arial"/>
          <w:sz w:val="22"/>
          <w:szCs w:val="22"/>
          <w:u w:val="single"/>
        </w:rPr>
        <w:t xml:space="preserve">Summary </w:t>
      </w:r>
    </w:p>
    <w:p w14:paraId="09DF75F8" w14:textId="6950FCC3" w:rsidR="007B7CD7" w:rsidRPr="006D6B42" w:rsidRDefault="008720F2" w:rsidP="006D6B42">
      <w:pPr>
        <w:spacing w:line="360" w:lineRule="auto"/>
        <w:rPr>
          <w:rFonts w:ascii="Arial" w:hAnsi="Arial" w:cs="Arial"/>
          <w:sz w:val="22"/>
          <w:szCs w:val="22"/>
        </w:rPr>
      </w:pPr>
      <w:r w:rsidRPr="006D6B42">
        <w:rPr>
          <w:rFonts w:ascii="Arial" w:hAnsi="Arial" w:cs="Arial"/>
          <w:sz w:val="22"/>
          <w:szCs w:val="22"/>
        </w:rPr>
        <w:t xml:space="preserve">Positive psychology focuses on understanding the factors that enable individuals to experience wellbeing and life satisfaction. </w:t>
      </w:r>
      <w:r w:rsidR="00C6314D" w:rsidRPr="006D6B42">
        <w:rPr>
          <w:rFonts w:ascii="Arial" w:hAnsi="Arial" w:cs="Arial"/>
          <w:sz w:val="22"/>
          <w:szCs w:val="22"/>
        </w:rPr>
        <w:t xml:space="preserve">Martin Seligman (2011) </w:t>
      </w:r>
      <w:r w:rsidR="00930E3B" w:rsidRPr="006D6B42">
        <w:rPr>
          <w:rFonts w:ascii="Arial" w:hAnsi="Arial" w:cs="Arial"/>
          <w:sz w:val="22"/>
          <w:szCs w:val="22"/>
        </w:rPr>
        <w:t xml:space="preserve">introduced the PERMA model, which outlines five key </w:t>
      </w:r>
      <w:r w:rsidR="002F00CD" w:rsidRPr="006D6B42">
        <w:rPr>
          <w:rFonts w:ascii="Arial" w:hAnsi="Arial" w:cs="Arial"/>
          <w:sz w:val="22"/>
          <w:szCs w:val="22"/>
        </w:rPr>
        <w:t xml:space="preserve">elements of wellbeing: positive emotion, engagement, relationships, meaning and accomplishment. </w:t>
      </w:r>
      <w:r w:rsidR="00152062" w:rsidRPr="006D6B42">
        <w:rPr>
          <w:rFonts w:ascii="Arial" w:hAnsi="Arial" w:cs="Arial"/>
          <w:sz w:val="22"/>
          <w:szCs w:val="22"/>
        </w:rPr>
        <w:t xml:space="preserve">This model suggests that individuals achieve greater wellbeing </w:t>
      </w:r>
      <w:r w:rsidR="00B9263A" w:rsidRPr="006D6B42">
        <w:rPr>
          <w:rFonts w:ascii="Arial" w:hAnsi="Arial" w:cs="Arial"/>
          <w:sz w:val="22"/>
          <w:szCs w:val="22"/>
        </w:rPr>
        <w:t xml:space="preserve">when they experience positive feelings, participate in meaningful activities, maintain strong relationships and feel a sense of purpose in their lives. </w:t>
      </w:r>
      <w:r w:rsidR="00B51190" w:rsidRPr="006D6B42">
        <w:rPr>
          <w:rFonts w:ascii="Arial" w:hAnsi="Arial" w:cs="Arial"/>
          <w:sz w:val="22"/>
          <w:szCs w:val="22"/>
        </w:rPr>
        <w:t>P</w:t>
      </w:r>
      <w:r w:rsidR="00CF74EB" w:rsidRPr="006D6B42">
        <w:rPr>
          <w:rFonts w:ascii="Arial" w:hAnsi="Arial" w:cs="Arial"/>
          <w:sz w:val="22"/>
          <w:szCs w:val="22"/>
        </w:rPr>
        <w:t>o</w:t>
      </w:r>
      <w:r w:rsidR="00B51190" w:rsidRPr="006D6B42">
        <w:rPr>
          <w:rFonts w:ascii="Arial" w:hAnsi="Arial" w:cs="Arial"/>
          <w:sz w:val="22"/>
          <w:szCs w:val="22"/>
        </w:rPr>
        <w:t xml:space="preserve">sitive psychology emphasises that wellbeing </w:t>
      </w:r>
      <w:r w:rsidR="00672FF5" w:rsidRPr="006D6B42">
        <w:rPr>
          <w:rFonts w:ascii="Arial" w:hAnsi="Arial" w:cs="Arial"/>
          <w:sz w:val="22"/>
          <w:szCs w:val="22"/>
        </w:rPr>
        <w:t xml:space="preserve">isn’t singly the absence of illness, but also the presence of positive experiences and personal strengths. </w:t>
      </w:r>
      <w:r w:rsidR="000E45E0" w:rsidRPr="006D6B42">
        <w:rPr>
          <w:rFonts w:ascii="Arial" w:hAnsi="Arial" w:cs="Arial"/>
          <w:sz w:val="22"/>
          <w:szCs w:val="22"/>
        </w:rPr>
        <w:t>Within the context of aging, this approach highlights that older adults can continu</w:t>
      </w:r>
      <w:r w:rsidR="000570F7" w:rsidRPr="006D6B42">
        <w:rPr>
          <w:rFonts w:ascii="Arial" w:hAnsi="Arial" w:cs="Arial"/>
          <w:sz w:val="22"/>
          <w:szCs w:val="22"/>
        </w:rPr>
        <w:t xml:space="preserve">e to </w:t>
      </w:r>
      <w:r w:rsidR="007B7CD7" w:rsidRPr="006D6B42">
        <w:rPr>
          <w:rFonts w:ascii="Arial" w:hAnsi="Arial" w:cs="Arial"/>
          <w:sz w:val="22"/>
          <w:szCs w:val="22"/>
        </w:rPr>
        <w:t>experience personal growth, meaningful engagement and emotional fulfilment.</w:t>
      </w:r>
    </w:p>
    <w:p w14:paraId="10922E77" w14:textId="77777777" w:rsidR="00DA77E6" w:rsidRPr="006D6B42" w:rsidRDefault="007B7CD7" w:rsidP="006D6B42">
      <w:pPr>
        <w:spacing w:line="360" w:lineRule="auto"/>
        <w:rPr>
          <w:rFonts w:ascii="Arial" w:hAnsi="Arial" w:cs="Arial"/>
          <w:sz w:val="22"/>
          <w:szCs w:val="22"/>
          <w:u w:val="single"/>
        </w:rPr>
      </w:pPr>
      <w:r w:rsidRPr="006D6B42">
        <w:rPr>
          <w:rFonts w:ascii="Arial" w:hAnsi="Arial" w:cs="Arial"/>
          <w:sz w:val="22"/>
          <w:szCs w:val="22"/>
          <w:u w:val="single"/>
        </w:rPr>
        <w:t xml:space="preserve">Critical Comment </w:t>
      </w:r>
      <w:r w:rsidR="00DA77E6" w:rsidRPr="006D6B42">
        <w:rPr>
          <w:rFonts w:ascii="Arial" w:hAnsi="Arial" w:cs="Arial"/>
          <w:sz w:val="22"/>
          <w:szCs w:val="22"/>
          <w:u w:val="single"/>
        </w:rPr>
        <w:t>/ Relevance to Health and Social Care</w:t>
      </w:r>
    </w:p>
    <w:p w14:paraId="3BBC7155" w14:textId="29DE0B08" w:rsidR="007B7CD7" w:rsidRPr="006D6B42" w:rsidRDefault="0034616E" w:rsidP="006D6B42">
      <w:pPr>
        <w:spacing w:line="360" w:lineRule="auto"/>
        <w:rPr>
          <w:rFonts w:ascii="Arial" w:hAnsi="Arial" w:cs="Arial"/>
          <w:sz w:val="22"/>
          <w:szCs w:val="22"/>
        </w:rPr>
      </w:pPr>
      <w:r w:rsidRPr="006D6B42">
        <w:rPr>
          <w:rFonts w:ascii="Arial" w:hAnsi="Arial" w:cs="Arial"/>
          <w:sz w:val="22"/>
          <w:szCs w:val="22"/>
        </w:rPr>
        <w:lastRenderedPageBreak/>
        <w:t>Positive psychology offers strategies to improve wellbeing in residential care. Activities that encourage engagement and social interaction</w:t>
      </w:r>
      <w:r w:rsidR="00E76A6E" w:rsidRPr="006D6B42">
        <w:rPr>
          <w:rFonts w:ascii="Arial" w:hAnsi="Arial" w:cs="Arial"/>
          <w:sz w:val="22"/>
          <w:szCs w:val="22"/>
        </w:rPr>
        <w:t>,</w:t>
      </w:r>
      <w:r w:rsidRPr="006D6B42">
        <w:rPr>
          <w:rFonts w:ascii="Arial" w:hAnsi="Arial" w:cs="Arial"/>
          <w:sz w:val="22"/>
          <w:szCs w:val="22"/>
        </w:rPr>
        <w:t xml:space="preserve"> can support</w:t>
      </w:r>
      <w:r w:rsidR="00E76A6E" w:rsidRPr="006D6B42">
        <w:rPr>
          <w:rFonts w:ascii="Arial" w:hAnsi="Arial" w:cs="Arial"/>
          <w:sz w:val="22"/>
          <w:szCs w:val="22"/>
        </w:rPr>
        <w:t xml:space="preserve"> better mental health and reduce loneliness among older adults </w:t>
      </w:r>
      <w:r w:rsidR="00521913" w:rsidRPr="006D6B42">
        <w:rPr>
          <w:rFonts w:ascii="Arial" w:hAnsi="Arial" w:cs="Arial"/>
          <w:sz w:val="22"/>
          <w:szCs w:val="22"/>
        </w:rPr>
        <w:t xml:space="preserve">(Whear et al., 2023). </w:t>
      </w:r>
      <w:r w:rsidR="00F923B3" w:rsidRPr="006D6B42">
        <w:rPr>
          <w:rFonts w:ascii="Arial" w:hAnsi="Arial" w:cs="Arial"/>
          <w:sz w:val="22"/>
          <w:szCs w:val="22"/>
        </w:rPr>
        <w:t xml:space="preserve">However, critics </w:t>
      </w:r>
      <w:r w:rsidR="00FF0DAF" w:rsidRPr="006D6B42">
        <w:rPr>
          <w:rFonts w:ascii="Arial" w:hAnsi="Arial" w:cs="Arial"/>
          <w:sz w:val="22"/>
          <w:szCs w:val="22"/>
        </w:rPr>
        <w:t>suggest that positive psychology often fails to integrate with mainstream psychology, which may overlook the complexities of wellbeing in diverse contexts</w:t>
      </w:r>
      <w:r w:rsidR="00AD4864" w:rsidRPr="006D6B42">
        <w:rPr>
          <w:rFonts w:ascii="Arial" w:hAnsi="Arial" w:cs="Arial"/>
          <w:sz w:val="22"/>
          <w:szCs w:val="22"/>
        </w:rPr>
        <w:t xml:space="preserve"> (Alexander, Harris and Rottinghaus, 2024). </w:t>
      </w:r>
      <w:r w:rsidR="002059CD" w:rsidRPr="006D6B42">
        <w:rPr>
          <w:rFonts w:ascii="Arial" w:hAnsi="Arial" w:cs="Arial"/>
          <w:sz w:val="22"/>
          <w:szCs w:val="22"/>
        </w:rPr>
        <w:t xml:space="preserve">Despite this, it </w:t>
      </w:r>
      <w:r w:rsidR="005F4C7F" w:rsidRPr="006D6B42">
        <w:rPr>
          <w:rFonts w:ascii="Arial" w:hAnsi="Arial" w:cs="Arial"/>
          <w:sz w:val="22"/>
          <w:szCs w:val="22"/>
        </w:rPr>
        <w:t>still provides a useful framework for promoting strengths-based approaches in health and social care.</w:t>
      </w:r>
    </w:p>
    <w:p w14:paraId="794F97C6" w14:textId="041B12F0" w:rsidR="005F4C7F" w:rsidRPr="006D6B42" w:rsidRDefault="00562310" w:rsidP="006D6B42">
      <w:pPr>
        <w:pStyle w:val="ListParagraph"/>
        <w:numPr>
          <w:ilvl w:val="0"/>
          <w:numId w:val="3"/>
        </w:numPr>
        <w:spacing w:line="360" w:lineRule="auto"/>
        <w:rPr>
          <w:rFonts w:ascii="Arial" w:hAnsi="Arial" w:cs="Arial"/>
          <w:sz w:val="22"/>
          <w:szCs w:val="22"/>
          <w:u w:val="single"/>
        </w:rPr>
      </w:pPr>
      <w:r w:rsidRPr="006D6B42">
        <w:rPr>
          <w:rFonts w:ascii="Arial" w:hAnsi="Arial" w:cs="Arial"/>
          <w:sz w:val="22"/>
          <w:szCs w:val="22"/>
          <w:u w:val="single"/>
        </w:rPr>
        <w:t>Carol Ryff – Psychological Wellbeing</w:t>
      </w:r>
    </w:p>
    <w:p w14:paraId="349D9C0A" w14:textId="77777777" w:rsidR="00762131" w:rsidRPr="006D6B42" w:rsidRDefault="00BF11A2" w:rsidP="006D6B42">
      <w:pPr>
        <w:spacing w:line="360" w:lineRule="auto"/>
        <w:rPr>
          <w:sz w:val="22"/>
          <w:szCs w:val="22"/>
        </w:rPr>
      </w:pPr>
      <w:r w:rsidRPr="006D6B42">
        <w:rPr>
          <w:sz w:val="22"/>
          <w:szCs w:val="22"/>
          <w:u w:val="single"/>
        </w:rPr>
        <w:t>Source</w:t>
      </w:r>
      <w:r w:rsidRPr="006D6B42">
        <w:rPr>
          <w:sz w:val="22"/>
          <w:szCs w:val="22"/>
        </w:rPr>
        <w:t xml:space="preserve">: </w:t>
      </w:r>
      <w:r w:rsidR="00762131" w:rsidRPr="006D6B42">
        <w:rPr>
          <w:sz w:val="22"/>
          <w:szCs w:val="22"/>
        </w:rPr>
        <w:t xml:space="preserve">Ryff, C. (1989). </w:t>
      </w:r>
      <w:r w:rsidR="00762131" w:rsidRPr="006D6B42">
        <w:rPr>
          <w:i/>
          <w:iCs/>
          <w:sz w:val="22"/>
          <w:szCs w:val="22"/>
        </w:rPr>
        <w:t>(PDF) Happiness Is Everything, or Is It? Explorations on</w:t>
      </w:r>
      <w:r w:rsidR="00762131" w:rsidRPr="006D6B42">
        <w:rPr>
          <w:sz w:val="22"/>
          <w:szCs w:val="22"/>
        </w:rPr>
        <w:t>. [online] research.amanote.com. Available at: https://research.amanote.com/publication/PKEo4nMBKQvf0BhijLps/happiness-is-everything-or-is-it-explorations-on-the-meaning-of-psychological.</w:t>
      </w:r>
    </w:p>
    <w:p w14:paraId="0003978B" w14:textId="03EEDB2E" w:rsidR="00DA77E6" w:rsidRPr="006D6B42" w:rsidRDefault="00762131" w:rsidP="006D6B42">
      <w:pPr>
        <w:spacing w:line="360" w:lineRule="auto"/>
        <w:rPr>
          <w:rFonts w:ascii="Arial" w:hAnsi="Arial" w:cs="Arial"/>
          <w:sz w:val="22"/>
          <w:szCs w:val="22"/>
          <w:u w:val="single"/>
        </w:rPr>
      </w:pPr>
      <w:r w:rsidRPr="006D6B42">
        <w:rPr>
          <w:rFonts w:ascii="Arial" w:hAnsi="Arial" w:cs="Arial"/>
          <w:sz w:val="22"/>
          <w:szCs w:val="22"/>
          <w:u w:val="single"/>
        </w:rPr>
        <w:t xml:space="preserve">Summary </w:t>
      </w:r>
    </w:p>
    <w:p w14:paraId="2EEF579C" w14:textId="4A9FA67E" w:rsidR="00762131" w:rsidRPr="006D6B42" w:rsidRDefault="00A225E7" w:rsidP="006D6B42">
      <w:pPr>
        <w:spacing w:line="360" w:lineRule="auto"/>
        <w:rPr>
          <w:rFonts w:ascii="Arial" w:hAnsi="Arial" w:cs="Arial"/>
          <w:sz w:val="22"/>
          <w:szCs w:val="22"/>
        </w:rPr>
      </w:pPr>
      <w:r w:rsidRPr="006D6B42">
        <w:rPr>
          <w:rFonts w:ascii="Arial" w:hAnsi="Arial" w:cs="Arial"/>
          <w:sz w:val="22"/>
          <w:szCs w:val="22"/>
        </w:rPr>
        <w:t>Carol Ryff (1989) proposed a multidimensional model of ps</w:t>
      </w:r>
      <w:r w:rsidR="00A31361" w:rsidRPr="006D6B42">
        <w:rPr>
          <w:rFonts w:ascii="Arial" w:hAnsi="Arial" w:cs="Arial"/>
          <w:sz w:val="22"/>
          <w:szCs w:val="22"/>
        </w:rPr>
        <w:t xml:space="preserve">ychological wellbeing that emphasises positive functioning rather than simple happiness. </w:t>
      </w:r>
      <w:r w:rsidR="00F307DD" w:rsidRPr="006D6B42">
        <w:rPr>
          <w:rFonts w:ascii="Arial" w:hAnsi="Arial" w:cs="Arial"/>
          <w:sz w:val="22"/>
          <w:szCs w:val="22"/>
        </w:rPr>
        <w:t>Ryff identified six core components of wellbeing: self-acceptance, positive relationships with others, autonomy, environmental mastery, purp</w:t>
      </w:r>
      <w:r w:rsidR="00CE4A54" w:rsidRPr="006D6B42">
        <w:rPr>
          <w:rFonts w:ascii="Arial" w:hAnsi="Arial" w:cs="Arial"/>
          <w:sz w:val="22"/>
          <w:szCs w:val="22"/>
        </w:rPr>
        <w:t xml:space="preserve">ose in life and personal growth. </w:t>
      </w:r>
      <w:r w:rsidR="00890549" w:rsidRPr="006D6B42">
        <w:rPr>
          <w:rFonts w:ascii="Arial" w:hAnsi="Arial" w:cs="Arial"/>
          <w:sz w:val="22"/>
          <w:szCs w:val="22"/>
        </w:rPr>
        <w:t xml:space="preserve">Ryff’s model suggests that </w:t>
      </w:r>
      <w:r w:rsidR="00873E1F" w:rsidRPr="006D6B42">
        <w:rPr>
          <w:rFonts w:ascii="Arial" w:hAnsi="Arial" w:cs="Arial"/>
          <w:sz w:val="22"/>
          <w:szCs w:val="22"/>
        </w:rPr>
        <w:t>wellb</w:t>
      </w:r>
      <w:r w:rsidR="009041C2" w:rsidRPr="006D6B42">
        <w:rPr>
          <w:rFonts w:ascii="Arial" w:hAnsi="Arial" w:cs="Arial"/>
          <w:sz w:val="22"/>
          <w:szCs w:val="22"/>
        </w:rPr>
        <w:t>eing improves when individual manage their environment, maintain supportive relationships and pursue meaningful goals. Fundamentall</w:t>
      </w:r>
      <w:r w:rsidR="005474BB" w:rsidRPr="006D6B42">
        <w:rPr>
          <w:rFonts w:ascii="Arial" w:hAnsi="Arial" w:cs="Arial"/>
          <w:sz w:val="22"/>
          <w:szCs w:val="22"/>
        </w:rPr>
        <w:t>y highlighting that wellbeing</w:t>
      </w:r>
      <w:r w:rsidR="00CC187F" w:rsidRPr="006D6B42">
        <w:rPr>
          <w:rFonts w:ascii="Arial" w:hAnsi="Arial" w:cs="Arial"/>
          <w:sz w:val="22"/>
          <w:szCs w:val="22"/>
        </w:rPr>
        <w:t xml:space="preserve"> and personal</w:t>
      </w:r>
      <w:r w:rsidR="00FB3076" w:rsidRPr="006D6B42">
        <w:rPr>
          <w:rFonts w:ascii="Arial" w:hAnsi="Arial" w:cs="Arial"/>
          <w:sz w:val="22"/>
          <w:szCs w:val="22"/>
        </w:rPr>
        <w:t xml:space="preserve"> growth can continue throughout the lifespan, including in later adulthood. </w:t>
      </w:r>
    </w:p>
    <w:p w14:paraId="2E3D7287" w14:textId="77777777" w:rsidR="0073566A" w:rsidRPr="006D6B42" w:rsidRDefault="0073566A" w:rsidP="006D6B42">
      <w:pPr>
        <w:spacing w:line="360" w:lineRule="auto"/>
        <w:rPr>
          <w:rFonts w:ascii="Arial" w:hAnsi="Arial" w:cs="Arial"/>
          <w:sz w:val="22"/>
          <w:szCs w:val="22"/>
          <w:u w:val="single"/>
        </w:rPr>
      </w:pPr>
      <w:r w:rsidRPr="006D6B42">
        <w:rPr>
          <w:rFonts w:ascii="Arial" w:hAnsi="Arial" w:cs="Arial"/>
          <w:sz w:val="22"/>
          <w:szCs w:val="22"/>
          <w:u w:val="single"/>
        </w:rPr>
        <w:t>Critical Comment / Relevance to Health and Social Care</w:t>
      </w:r>
    </w:p>
    <w:p w14:paraId="32C0CB36" w14:textId="27FFD25B" w:rsidR="0073566A" w:rsidRPr="006D6B42" w:rsidRDefault="0073566A" w:rsidP="006D6B42">
      <w:pPr>
        <w:spacing w:line="360" w:lineRule="auto"/>
        <w:rPr>
          <w:rFonts w:ascii="Arial" w:hAnsi="Arial" w:cs="Arial"/>
          <w:sz w:val="22"/>
          <w:szCs w:val="22"/>
        </w:rPr>
      </w:pPr>
      <w:r w:rsidRPr="006D6B42">
        <w:rPr>
          <w:rFonts w:ascii="Arial" w:hAnsi="Arial" w:cs="Arial"/>
          <w:sz w:val="22"/>
          <w:szCs w:val="22"/>
        </w:rPr>
        <w:t>Ryff’s model provides a useful fram</w:t>
      </w:r>
      <w:r w:rsidR="008A15A7" w:rsidRPr="006D6B42">
        <w:rPr>
          <w:rFonts w:ascii="Arial" w:hAnsi="Arial" w:cs="Arial"/>
          <w:sz w:val="22"/>
          <w:szCs w:val="22"/>
        </w:rPr>
        <w:t>ework for assessing the wellbeing of older adults in care settings. Health an</w:t>
      </w:r>
      <w:r w:rsidR="00CE1BD8" w:rsidRPr="006D6B42">
        <w:rPr>
          <w:rFonts w:ascii="Arial" w:hAnsi="Arial" w:cs="Arial"/>
          <w:sz w:val="22"/>
          <w:szCs w:val="22"/>
        </w:rPr>
        <w:t>d social care</w:t>
      </w:r>
      <w:r w:rsidR="008A15A7" w:rsidRPr="006D6B42">
        <w:rPr>
          <w:rFonts w:ascii="Arial" w:hAnsi="Arial" w:cs="Arial"/>
          <w:sz w:val="22"/>
          <w:szCs w:val="22"/>
        </w:rPr>
        <w:t xml:space="preserve"> professionals can apply the model by supportin</w:t>
      </w:r>
      <w:r w:rsidR="000D1246" w:rsidRPr="006D6B42">
        <w:rPr>
          <w:rFonts w:ascii="Arial" w:hAnsi="Arial" w:cs="Arial"/>
          <w:sz w:val="22"/>
          <w:szCs w:val="22"/>
        </w:rPr>
        <w:t xml:space="preserve">g residents’ independence, encouraging meaningful social relationships and promoting activities that create a sense of purpose. However, implementing these principles may be challenging due to staffing limitations and </w:t>
      </w:r>
      <w:r w:rsidR="00CE1BD8" w:rsidRPr="006D6B42">
        <w:rPr>
          <w:rFonts w:ascii="Arial" w:hAnsi="Arial" w:cs="Arial"/>
          <w:sz w:val="22"/>
          <w:szCs w:val="22"/>
        </w:rPr>
        <w:t xml:space="preserve">varying health needs among residents. Nonetheless, </w:t>
      </w:r>
      <w:r w:rsidR="00FE39AD" w:rsidRPr="006D6B42">
        <w:rPr>
          <w:rFonts w:ascii="Arial" w:hAnsi="Arial" w:cs="Arial"/>
          <w:sz w:val="22"/>
          <w:szCs w:val="22"/>
        </w:rPr>
        <w:t xml:space="preserve">the model reinforces the importance of holistic care approaches that address emotional and psychological wellbeing alongside physical health. </w:t>
      </w:r>
    </w:p>
    <w:p w14:paraId="36CD0A37" w14:textId="407DD0CF" w:rsidR="008E31D6" w:rsidRPr="006D6B42" w:rsidRDefault="008E31D6" w:rsidP="006D6B42">
      <w:pPr>
        <w:spacing w:line="360" w:lineRule="auto"/>
        <w:rPr>
          <w:rFonts w:ascii="Arial" w:hAnsi="Arial" w:cs="Arial"/>
          <w:sz w:val="22"/>
          <w:szCs w:val="22"/>
        </w:rPr>
      </w:pPr>
    </w:p>
    <w:p w14:paraId="28D8E655" w14:textId="77777777" w:rsidR="006A0D0E" w:rsidRPr="006D6B42" w:rsidRDefault="006A0D0E" w:rsidP="006D6B42">
      <w:pPr>
        <w:spacing w:line="360" w:lineRule="auto"/>
        <w:rPr>
          <w:rFonts w:ascii="Arial" w:hAnsi="Arial" w:cs="Arial"/>
          <w:sz w:val="22"/>
          <w:szCs w:val="22"/>
        </w:rPr>
      </w:pPr>
    </w:p>
    <w:p w14:paraId="584E667E" w14:textId="2D9942FC" w:rsidR="007F2B2B" w:rsidRPr="006D6B42" w:rsidRDefault="007F2B2B" w:rsidP="006D6B42">
      <w:pPr>
        <w:spacing w:line="360" w:lineRule="auto"/>
        <w:rPr>
          <w:rFonts w:ascii="Arial" w:hAnsi="Arial" w:cs="Arial"/>
          <w:sz w:val="22"/>
          <w:szCs w:val="22"/>
        </w:rPr>
      </w:pPr>
    </w:p>
    <w:p w14:paraId="6AAD1F6E" w14:textId="204FB013" w:rsidR="006C2187" w:rsidRPr="006D6B42" w:rsidRDefault="006C2187" w:rsidP="006D6B42">
      <w:pPr>
        <w:spacing w:line="360" w:lineRule="auto"/>
        <w:rPr>
          <w:rFonts w:ascii="Arial" w:hAnsi="Arial" w:cs="Arial"/>
          <w:sz w:val="22"/>
          <w:szCs w:val="22"/>
        </w:rPr>
      </w:pPr>
    </w:p>
    <w:p w14:paraId="015EA322" w14:textId="77777777" w:rsidR="006C2187" w:rsidRPr="006D6B42" w:rsidRDefault="006C2187" w:rsidP="006D6B42">
      <w:pPr>
        <w:spacing w:line="360" w:lineRule="auto"/>
        <w:rPr>
          <w:rFonts w:ascii="Arial" w:hAnsi="Arial" w:cs="Arial"/>
          <w:sz w:val="22"/>
          <w:szCs w:val="22"/>
        </w:rPr>
      </w:pPr>
    </w:p>
    <w:p w14:paraId="0627EA0A" w14:textId="77777777" w:rsidR="00485A5A" w:rsidRPr="006D6B42" w:rsidRDefault="00485A5A" w:rsidP="006D6B42">
      <w:pPr>
        <w:spacing w:line="360" w:lineRule="auto"/>
        <w:rPr>
          <w:rFonts w:ascii="Arial" w:hAnsi="Arial" w:cs="Arial"/>
          <w:sz w:val="22"/>
          <w:szCs w:val="22"/>
        </w:rPr>
      </w:pPr>
    </w:p>
    <w:p w14:paraId="259EEBD7" w14:textId="789B3A06" w:rsidR="00735F1A" w:rsidRPr="006D6B42" w:rsidRDefault="00735F1A" w:rsidP="006D6B42">
      <w:pPr>
        <w:spacing w:line="360" w:lineRule="auto"/>
        <w:rPr>
          <w:rFonts w:ascii="Arial" w:hAnsi="Arial" w:cs="Arial"/>
          <w:sz w:val="22"/>
          <w:szCs w:val="22"/>
        </w:rPr>
      </w:pPr>
    </w:p>
    <w:p w14:paraId="6A4C55B3" w14:textId="460177C9" w:rsidR="0089786F" w:rsidRPr="006D6B42" w:rsidRDefault="0089786F" w:rsidP="006D6B42">
      <w:pPr>
        <w:spacing w:line="360" w:lineRule="auto"/>
        <w:rPr>
          <w:rFonts w:ascii="Arial" w:hAnsi="Arial" w:cs="Arial"/>
          <w:sz w:val="22"/>
          <w:szCs w:val="22"/>
        </w:rPr>
      </w:pPr>
    </w:p>
    <w:p w14:paraId="1924DC1F" w14:textId="0E544640" w:rsidR="00E408F4" w:rsidRPr="006D6B42" w:rsidRDefault="00E408F4" w:rsidP="006D6B42">
      <w:pPr>
        <w:spacing w:line="360" w:lineRule="auto"/>
        <w:rPr>
          <w:rFonts w:ascii="Arial" w:hAnsi="Arial" w:cs="Arial"/>
          <w:sz w:val="22"/>
          <w:szCs w:val="22"/>
        </w:rPr>
      </w:pPr>
    </w:p>
    <w:p w14:paraId="2BA38D45" w14:textId="339F0367" w:rsidR="00E408F4" w:rsidRPr="006D6B42" w:rsidRDefault="00B721D7" w:rsidP="006D6B42">
      <w:pPr>
        <w:spacing w:line="360" w:lineRule="auto"/>
        <w:rPr>
          <w:rFonts w:ascii="Arial" w:hAnsi="Arial" w:cs="Arial"/>
          <w:b/>
          <w:bCs/>
          <w:sz w:val="22"/>
          <w:szCs w:val="22"/>
        </w:rPr>
      </w:pPr>
      <w:r w:rsidRPr="006D6B42">
        <w:rPr>
          <w:rFonts w:ascii="Arial" w:hAnsi="Arial" w:cs="Arial"/>
          <w:b/>
          <w:bCs/>
          <w:sz w:val="22"/>
          <w:szCs w:val="22"/>
        </w:rPr>
        <w:t xml:space="preserve">Part B: </w:t>
      </w:r>
      <w:r w:rsidR="00E308A1" w:rsidRPr="006D6B42">
        <w:rPr>
          <w:rFonts w:ascii="Arial" w:hAnsi="Arial" w:cs="Arial"/>
          <w:b/>
          <w:bCs/>
          <w:sz w:val="22"/>
          <w:szCs w:val="22"/>
        </w:rPr>
        <w:t>Short Report</w:t>
      </w:r>
    </w:p>
    <w:p w14:paraId="5223CB8F" w14:textId="627AE178" w:rsidR="00E308A1" w:rsidRPr="006D6B42" w:rsidRDefault="009A5342" w:rsidP="006D6B42">
      <w:pPr>
        <w:spacing w:line="360" w:lineRule="auto"/>
        <w:rPr>
          <w:rFonts w:ascii="Arial" w:hAnsi="Arial" w:cs="Arial"/>
          <w:sz w:val="22"/>
          <w:szCs w:val="22"/>
          <w:u w:val="single"/>
        </w:rPr>
      </w:pPr>
      <w:r w:rsidRPr="006D6B42">
        <w:rPr>
          <w:rFonts w:ascii="Arial" w:hAnsi="Arial" w:cs="Arial"/>
          <w:sz w:val="22"/>
          <w:szCs w:val="22"/>
          <w:u w:val="single"/>
        </w:rPr>
        <w:t>Applying Positive Psychology to Improve Wellbeing in Residential Care</w:t>
      </w:r>
    </w:p>
    <w:p w14:paraId="72725EE6" w14:textId="0CF530A4" w:rsidR="009A5342" w:rsidRPr="006D6B42" w:rsidRDefault="009A5342" w:rsidP="006D6B42">
      <w:pPr>
        <w:spacing w:line="360" w:lineRule="auto"/>
        <w:rPr>
          <w:rFonts w:ascii="Arial" w:hAnsi="Arial" w:cs="Arial"/>
          <w:sz w:val="22"/>
          <w:szCs w:val="22"/>
          <w:u w:val="single"/>
        </w:rPr>
      </w:pPr>
      <w:r w:rsidRPr="006D6B42">
        <w:rPr>
          <w:rFonts w:ascii="Arial" w:hAnsi="Arial" w:cs="Arial"/>
          <w:sz w:val="22"/>
          <w:szCs w:val="22"/>
          <w:u w:val="single"/>
        </w:rPr>
        <w:t>Introduction</w:t>
      </w:r>
    </w:p>
    <w:p w14:paraId="6300746F" w14:textId="119AB2AB" w:rsidR="001A6231" w:rsidRPr="001A6231" w:rsidRDefault="001A6231" w:rsidP="006D6B42">
      <w:pPr>
        <w:spacing w:line="360" w:lineRule="auto"/>
        <w:rPr>
          <w:rFonts w:ascii="Arial" w:hAnsi="Arial" w:cs="Arial"/>
          <w:sz w:val="22"/>
          <w:szCs w:val="22"/>
        </w:rPr>
      </w:pPr>
      <w:r w:rsidRPr="001A6231">
        <w:rPr>
          <w:rFonts w:ascii="Arial" w:hAnsi="Arial" w:cs="Arial"/>
          <w:sz w:val="22"/>
          <w:szCs w:val="22"/>
        </w:rPr>
        <w:t>Supporting the psychological wellbeing of older adults is an important part of health and social care practice. Many older adults who move into residential care homes experience significant life changes, such as reduced independence, declining health or less frequent contact with family members</w:t>
      </w:r>
      <w:r w:rsidR="00CC47B8" w:rsidRPr="006D6B42">
        <w:rPr>
          <w:rFonts w:ascii="Arial" w:hAnsi="Arial" w:cs="Arial"/>
          <w:sz w:val="22"/>
          <w:szCs w:val="22"/>
        </w:rPr>
        <w:t xml:space="preserve"> (Zhang et al., 2025)</w:t>
      </w:r>
      <w:r w:rsidRPr="001A6231">
        <w:rPr>
          <w:rFonts w:ascii="Arial" w:hAnsi="Arial" w:cs="Arial"/>
          <w:sz w:val="22"/>
          <w:szCs w:val="22"/>
        </w:rPr>
        <w:t>. These changes can sometimes lead to feelings of loneliness, sadness or loss of purpose. Because of this, it is important that care professionals consider residents’ emotional and psychological needs as well as their physical health.</w:t>
      </w:r>
    </w:p>
    <w:p w14:paraId="237FAF27" w14:textId="77777777" w:rsidR="001A6231" w:rsidRPr="001A6231" w:rsidRDefault="001A6231" w:rsidP="006D6B42">
      <w:pPr>
        <w:spacing w:line="360" w:lineRule="auto"/>
        <w:rPr>
          <w:rFonts w:ascii="Arial" w:hAnsi="Arial" w:cs="Arial"/>
          <w:sz w:val="22"/>
          <w:szCs w:val="22"/>
        </w:rPr>
      </w:pPr>
      <w:r w:rsidRPr="001A6231">
        <w:rPr>
          <w:rFonts w:ascii="Arial" w:hAnsi="Arial" w:cs="Arial"/>
          <w:sz w:val="22"/>
          <w:szCs w:val="22"/>
        </w:rPr>
        <w:t>Psychological theories can help professionals understand how to support older adults more effectively. One useful approach is positive psychology, developed by Martin Seligman (2011). Positive psychology focuses on promoting wellbeing, positive emotions and personal strengths rather than only concentrating on illness or problems. This report explains how positive psychology can be applied in residential care settings to improve the wellbeing of older adults, provides an example of how it could work in practice, and discusses a potential challenge professionals may face when applying this approach.</w:t>
      </w:r>
    </w:p>
    <w:p w14:paraId="01F97B8C" w14:textId="4AF08066" w:rsidR="009A5342" w:rsidRPr="006D6B42" w:rsidRDefault="003647FA" w:rsidP="006D6B42">
      <w:pPr>
        <w:spacing w:line="360" w:lineRule="auto"/>
        <w:rPr>
          <w:rFonts w:ascii="Arial" w:hAnsi="Arial" w:cs="Arial"/>
          <w:sz w:val="22"/>
          <w:szCs w:val="22"/>
          <w:u w:val="single"/>
        </w:rPr>
      </w:pPr>
      <w:r w:rsidRPr="006D6B42">
        <w:rPr>
          <w:rFonts w:ascii="Arial" w:hAnsi="Arial" w:cs="Arial"/>
          <w:sz w:val="22"/>
          <w:szCs w:val="22"/>
          <w:u w:val="single"/>
        </w:rPr>
        <w:t>Applying Positive Psychology in Residential Care</w:t>
      </w:r>
    </w:p>
    <w:p w14:paraId="1A467374" w14:textId="6ACD82D6" w:rsidR="00033E5A" w:rsidRPr="006D6B42" w:rsidRDefault="00BE41AD" w:rsidP="006D6B42">
      <w:pPr>
        <w:spacing w:line="360" w:lineRule="auto"/>
        <w:rPr>
          <w:rFonts w:ascii="Arial" w:hAnsi="Arial" w:cs="Arial"/>
          <w:sz w:val="22"/>
          <w:szCs w:val="22"/>
        </w:rPr>
      </w:pPr>
      <w:r w:rsidRPr="006D6B42">
        <w:rPr>
          <w:rFonts w:ascii="Arial" w:hAnsi="Arial" w:cs="Arial"/>
          <w:sz w:val="22"/>
          <w:szCs w:val="22"/>
        </w:rPr>
        <w:t>Positive psychology is based on the idea that wellbeing improves when people experience positive emotions, meaningful activities and supportive relationships. Seligman’s PERMA model describes five key elements of wellbeing: positive emotion, engagement, relationships, meaning and accomplishment (Seligman, 2011). These elements can provide a useful guide for professionals working in residential care homes.</w:t>
      </w:r>
    </w:p>
    <w:p w14:paraId="31A1FC35" w14:textId="3B3DEAC7" w:rsidR="00BE41AD" w:rsidRPr="006D6B42" w:rsidRDefault="00673F14" w:rsidP="006D6B42">
      <w:pPr>
        <w:spacing w:line="360" w:lineRule="auto"/>
        <w:rPr>
          <w:rFonts w:ascii="Arial" w:hAnsi="Arial" w:cs="Arial"/>
          <w:sz w:val="22"/>
          <w:szCs w:val="22"/>
        </w:rPr>
      </w:pPr>
      <w:r w:rsidRPr="006D6B42">
        <w:rPr>
          <w:rFonts w:ascii="Arial" w:hAnsi="Arial" w:cs="Arial"/>
          <w:sz w:val="22"/>
          <w:szCs w:val="22"/>
        </w:rPr>
        <w:t>Positive emotion refers to feelings such as happiness, comfort and enjoyment</w:t>
      </w:r>
      <w:r w:rsidR="00DE28C2" w:rsidRPr="006D6B42">
        <w:rPr>
          <w:rFonts w:ascii="Arial" w:hAnsi="Arial" w:cs="Arial"/>
          <w:sz w:val="22"/>
          <w:szCs w:val="22"/>
        </w:rPr>
        <w:t xml:space="preserve"> (Ackerman, 2019)</w:t>
      </w:r>
      <w:r w:rsidRPr="006D6B42">
        <w:rPr>
          <w:rFonts w:ascii="Arial" w:hAnsi="Arial" w:cs="Arial"/>
          <w:sz w:val="22"/>
          <w:szCs w:val="22"/>
        </w:rPr>
        <w:t xml:space="preserve">. Care staff can encourage these feelings by creating a warm and supportive environment where residents feel respected and included. Small actions such as spending </w:t>
      </w:r>
      <w:r w:rsidRPr="006D6B42">
        <w:rPr>
          <w:rFonts w:ascii="Arial" w:hAnsi="Arial" w:cs="Arial"/>
          <w:sz w:val="22"/>
          <w:szCs w:val="22"/>
        </w:rPr>
        <w:lastRenderedPageBreak/>
        <w:t>time talking with residents, celebrating special occasions or organising enjoyable activities can make a positive difference to their mood.</w:t>
      </w:r>
    </w:p>
    <w:p w14:paraId="0CECAF19" w14:textId="46499A53" w:rsidR="00673F14" w:rsidRPr="006D6B42" w:rsidRDefault="00673F14" w:rsidP="006D6B42">
      <w:pPr>
        <w:spacing w:line="360" w:lineRule="auto"/>
        <w:rPr>
          <w:rFonts w:ascii="Arial" w:hAnsi="Arial" w:cs="Arial"/>
          <w:sz w:val="22"/>
          <w:szCs w:val="22"/>
        </w:rPr>
      </w:pPr>
      <w:r w:rsidRPr="006D6B42">
        <w:rPr>
          <w:rFonts w:ascii="Arial" w:hAnsi="Arial" w:cs="Arial"/>
          <w:sz w:val="22"/>
          <w:szCs w:val="22"/>
        </w:rPr>
        <w:t>Engagement is another important part of wellbeing. This involves taking part in activities that are interesting and enjoyable.</w:t>
      </w:r>
      <w:r w:rsidR="00902405" w:rsidRPr="006D6B42">
        <w:rPr>
          <w:rFonts w:ascii="Arial" w:hAnsi="Arial" w:cs="Arial"/>
          <w:sz w:val="22"/>
          <w:szCs w:val="22"/>
        </w:rPr>
        <w:t xml:space="preserve"> Activities such as arts and crafts, music sessions, exercise groups or gardening can help residents stay mentally active and involved (Whear et al., 2023). Being engaged in activities can also help reduce boredom and isolation.</w:t>
      </w:r>
    </w:p>
    <w:p w14:paraId="14F1B089" w14:textId="0563B9B0" w:rsidR="00902405" w:rsidRPr="006D6B42" w:rsidRDefault="00D47CFA" w:rsidP="006D6B42">
      <w:pPr>
        <w:spacing w:line="360" w:lineRule="auto"/>
        <w:rPr>
          <w:rFonts w:ascii="Arial" w:hAnsi="Arial" w:cs="Arial"/>
          <w:sz w:val="22"/>
          <w:szCs w:val="22"/>
        </w:rPr>
      </w:pPr>
      <w:r w:rsidRPr="006D6B42">
        <w:rPr>
          <w:rFonts w:ascii="Arial" w:hAnsi="Arial" w:cs="Arial"/>
          <w:sz w:val="22"/>
          <w:szCs w:val="22"/>
        </w:rPr>
        <w:t>Relationships are particularly important for older adults living in care homes. Moving into residential care can sometimes lead to feelings of separation from family and familiar surroundings</w:t>
      </w:r>
      <w:r w:rsidR="009B7034" w:rsidRPr="006D6B42">
        <w:rPr>
          <w:rFonts w:ascii="Arial" w:hAnsi="Arial" w:cs="Arial"/>
          <w:sz w:val="22"/>
          <w:szCs w:val="22"/>
        </w:rPr>
        <w:t xml:space="preserve"> (Care Learning, 2025)</w:t>
      </w:r>
      <w:r w:rsidRPr="006D6B42">
        <w:rPr>
          <w:rFonts w:ascii="Arial" w:hAnsi="Arial" w:cs="Arial"/>
          <w:sz w:val="22"/>
          <w:szCs w:val="22"/>
        </w:rPr>
        <w:t>. Encouraging social interaction through group activities, shared meals and regular visits from family members can help residents build supportive relationships with</w:t>
      </w:r>
      <w:r w:rsidR="009B7034" w:rsidRPr="006D6B42">
        <w:rPr>
          <w:rFonts w:ascii="Arial" w:hAnsi="Arial" w:cs="Arial"/>
          <w:sz w:val="22"/>
          <w:szCs w:val="22"/>
        </w:rPr>
        <w:t>.</w:t>
      </w:r>
    </w:p>
    <w:p w14:paraId="285ACCAA" w14:textId="268DE36A" w:rsidR="009B7034" w:rsidRPr="006D6B42" w:rsidRDefault="0094070B" w:rsidP="006D6B42">
      <w:pPr>
        <w:spacing w:line="360" w:lineRule="auto"/>
        <w:rPr>
          <w:rFonts w:ascii="Arial" w:hAnsi="Arial" w:cs="Arial"/>
          <w:sz w:val="22"/>
          <w:szCs w:val="22"/>
        </w:rPr>
      </w:pPr>
      <w:r w:rsidRPr="006D6B42">
        <w:rPr>
          <w:rFonts w:ascii="Arial" w:hAnsi="Arial" w:cs="Arial"/>
          <w:sz w:val="22"/>
          <w:szCs w:val="22"/>
        </w:rPr>
        <w:t>Meaning is another element of the PERMA model. This refers to feeling that life still has purpose and value</w:t>
      </w:r>
      <w:r w:rsidR="00D87A38" w:rsidRPr="006D6B42">
        <w:rPr>
          <w:rFonts w:ascii="Arial" w:hAnsi="Arial" w:cs="Arial"/>
          <w:sz w:val="22"/>
          <w:szCs w:val="22"/>
        </w:rPr>
        <w:t>, often through being connected to something larger than oneself (Seligman, 2011)</w:t>
      </w:r>
      <w:r w:rsidRPr="006D6B42">
        <w:rPr>
          <w:rFonts w:ascii="Arial" w:hAnsi="Arial" w:cs="Arial"/>
          <w:sz w:val="22"/>
          <w:szCs w:val="22"/>
        </w:rPr>
        <w:t>. Care staff can support this by encouraging residents to share their life experiences, take part in decisions about their daily routines or help with small responsibilities within the care home. Finally, accomplishment refers to achieving goals or feeling a sense of achievement. Even small achievements, such as completing a puzzle, learning a new hobby or helping with an activity, can improve confidence and self-esteem</w:t>
      </w:r>
      <w:r w:rsidR="00D87A38" w:rsidRPr="006D6B42">
        <w:rPr>
          <w:rFonts w:ascii="Arial" w:hAnsi="Arial" w:cs="Arial"/>
          <w:sz w:val="22"/>
          <w:szCs w:val="22"/>
        </w:rPr>
        <w:t xml:space="preserve"> (Seligman, 2011)</w:t>
      </w:r>
      <w:r w:rsidRPr="006D6B42">
        <w:rPr>
          <w:rFonts w:ascii="Arial" w:hAnsi="Arial" w:cs="Arial"/>
          <w:sz w:val="22"/>
          <w:szCs w:val="22"/>
        </w:rPr>
        <w:t>.</w:t>
      </w:r>
    </w:p>
    <w:p w14:paraId="7BDF2CF8" w14:textId="743FFFDB" w:rsidR="0094070B" w:rsidRPr="006D6B42" w:rsidRDefault="0094070B" w:rsidP="006D6B42">
      <w:pPr>
        <w:spacing w:line="360" w:lineRule="auto"/>
        <w:rPr>
          <w:rFonts w:ascii="Arial" w:hAnsi="Arial" w:cs="Arial"/>
          <w:sz w:val="22"/>
          <w:szCs w:val="22"/>
          <w:u w:val="single"/>
        </w:rPr>
      </w:pPr>
      <w:r w:rsidRPr="006D6B42">
        <w:rPr>
          <w:rFonts w:ascii="Arial" w:hAnsi="Arial" w:cs="Arial"/>
          <w:sz w:val="22"/>
          <w:szCs w:val="22"/>
          <w:u w:val="single"/>
        </w:rPr>
        <w:t>Example Scenario</w:t>
      </w:r>
    </w:p>
    <w:p w14:paraId="21CD96CE" w14:textId="297913ED" w:rsidR="00071918" w:rsidRPr="00071918" w:rsidRDefault="00071918" w:rsidP="006D6B42">
      <w:pPr>
        <w:spacing w:line="360" w:lineRule="auto"/>
        <w:rPr>
          <w:rFonts w:ascii="Arial" w:hAnsi="Arial" w:cs="Arial"/>
          <w:sz w:val="22"/>
          <w:szCs w:val="22"/>
        </w:rPr>
      </w:pPr>
      <w:r w:rsidRPr="00071918">
        <w:rPr>
          <w:rFonts w:ascii="Arial" w:hAnsi="Arial" w:cs="Arial"/>
          <w:sz w:val="22"/>
          <w:szCs w:val="22"/>
        </w:rPr>
        <w:t xml:space="preserve">An example of positive psychology being applied in practice could involve a residential care home introducing a weekly gardening activity. Many older adults may have enjoyed gardening earlier in life but may no longer </w:t>
      </w:r>
      <w:r w:rsidR="00D276EC" w:rsidRPr="006D6B42">
        <w:rPr>
          <w:rFonts w:ascii="Arial" w:hAnsi="Arial" w:cs="Arial"/>
          <w:sz w:val="22"/>
          <w:szCs w:val="22"/>
        </w:rPr>
        <w:t>can</w:t>
      </w:r>
      <w:r w:rsidRPr="00071918">
        <w:rPr>
          <w:rFonts w:ascii="Arial" w:hAnsi="Arial" w:cs="Arial"/>
          <w:sz w:val="22"/>
          <w:szCs w:val="22"/>
        </w:rPr>
        <w:t xml:space="preserve"> continue this interest after moving into care.</w:t>
      </w:r>
    </w:p>
    <w:p w14:paraId="671F32ED" w14:textId="77777777" w:rsidR="00071918" w:rsidRPr="00071918" w:rsidRDefault="00071918" w:rsidP="006D6B42">
      <w:pPr>
        <w:spacing w:line="360" w:lineRule="auto"/>
        <w:rPr>
          <w:rFonts w:ascii="Arial" w:hAnsi="Arial" w:cs="Arial"/>
          <w:sz w:val="22"/>
          <w:szCs w:val="22"/>
        </w:rPr>
      </w:pPr>
      <w:r w:rsidRPr="00071918">
        <w:rPr>
          <w:rFonts w:ascii="Arial" w:hAnsi="Arial" w:cs="Arial"/>
          <w:sz w:val="22"/>
          <w:szCs w:val="22"/>
        </w:rPr>
        <w:t>In this scenario, staff create a small garden area where residents can grow flowers and vegetables. Residents help with planting seeds, watering the plants and maintaining the garden. This activity supports several elements of the PERMA model. Residents experience engagement because they are involved in a meaningful activity they enjoy. Gardening can also create positive emotions such as relaxation and satisfaction.</w:t>
      </w:r>
    </w:p>
    <w:p w14:paraId="32F1A2FD" w14:textId="77777777" w:rsidR="00071918" w:rsidRPr="00071918" w:rsidRDefault="00071918" w:rsidP="006D6B42">
      <w:pPr>
        <w:spacing w:line="360" w:lineRule="auto"/>
        <w:rPr>
          <w:rFonts w:ascii="Arial" w:hAnsi="Arial" w:cs="Arial"/>
          <w:sz w:val="22"/>
          <w:szCs w:val="22"/>
        </w:rPr>
      </w:pPr>
      <w:r w:rsidRPr="00071918">
        <w:rPr>
          <w:rFonts w:ascii="Arial" w:hAnsi="Arial" w:cs="Arial"/>
          <w:sz w:val="22"/>
          <w:szCs w:val="22"/>
        </w:rPr>
        <w:t>The activity also encourages relationships, as residents work together and interact with staff while gardening. It can also provide a sense of meaning because residents feel they are contributing to something valuable within the care home. When the plants begin to grow, residents may also feel a sense of accomplishment and pride in their work. Overall, this type of activity can help residents feel more connected, valued and emotionally supported.</w:t>
      </w:r>
    </w:p>
    <w:p w14:paraId="6DA5D9F8" w14:textId="17819F66" w:rsidR="00CC47C2" w:rsidRPr="006D6B42" w:rsidRDefault="00071918" w:rsidP="006D6B42">
      <w:pPr>
        <w:spacing w:line="360" w:lineRule="auto"/>
        <w:rPr>
          <w:rFonts w:ascii="Arial" w:hAnsi="Arial" w:cs="Arial"/>
          <w:sz w:val="22"/>
          <w:szCs w:val="22"/>
          <w:u w:val="single"/>
        </w:rPr>
      </w:pPr>
      <w:r w:rsidRPr="006D6B42">
        <w:rPr>
          <w:rFonts w:ascii="Arial" w:hAnsi="Arial" w:cs="Arial"/>
          <w:sz w:val="22"/>
          <w:szCs w:val="22"/>
          <w:u w:val="single"/>
        </w:rPr>
        <w:lastRenderedPageBreak/>
        <w:t>Challenges and Strategies</w:t>
      </w:r>
    </w:p>
    <w:p w14:paraId="66A855E0" w14:textId="0BFDD818" w:rsidR="00071918" w:rsidRPr="006D6B42" w:rsidRDefault="00355BFD" w:rsidP="006D6B42">
      <w:pPr>
        <w:spacing w:line="360" w:lineRule="auto"/>
        <w:rPr>
          <w:rFonts w:ascii="Arial" w:hAnsi="Arial" w:cs="Arial"/>
          <w:sz w:val="22"/>
          <w:szCs w:val="22"/>
        </w:rPr>
      </w:pPr>
      <w:r w:rsidRPr="006D6B42">
        <w:rPr>
          <w:rFonts w:ascii="Arial" w:hAnsi="Arial" w:cs="Arial"/>
          <w:sz w:val="22"/>
          <w:szCs w:val="22"/>
        </w:rPr>
        <w:t>Although positive psychology can offer many benefits, there may also be challenges when trying to apply it in residential care settings. One common difficulty is limited time and staffing</w:t>
      </w:r>
      <w:r w:rsidR="00517A2A" w:rsidRPr="006D6B42">
        <w:rPr>
          <w:rFonts w:ascii="Arial" w:hAnsi="Arial" w:cs="Arial"/>
          <w:sz w:val="22"/>
          <w:szCs w:val="22"/>
        </w:rPr>
        <w:t xml:space="preserve"> (Van Zyl et al., 2023)</w:t>
      </w:r>
      <w:r w:rsidRPr="006D6B42">
        <w:rPr>
          <w:rFonts w:ascii="Arial" w:hAnsi="Arial" w:cs="Arial"/>
          <w:sz w:val="22"/>
          <w:szCs w:val="22"/>
        </w:rPr>
        <w:t>. Care staff often have busy schedules and may struggle to organise activities or provide individual attention for every resident.</w:t>
      </w:r>
    </w:p>
    <w:p w14:paraId="514D6545" w14:textId="62F0C8A3" w:rsidR="00F92923" w:rsidRPr="006D6B42" w:rsidRDefault="00E05F1F" w:rsidP="006D6B42">
      <w:pPr>
        <w:spacing w:line="360" w:lineRule="auto"/>
        <w:rPr>
          <w:rFonts w:ascii="Arial" w:hAnsi="Arial" w:cs="Arial"/>
          <w:sz w:val="22"/>
          <w:szCs w:val="22"/>
        </w:rPr>
      </w:pPr>
      <w:r w:rsidRPr="006D6B42">
        <w:rPr>
          <w:rFonts w:ascii="Arial" w:hAnsi="Arial" w:cs="Arial"/>
          <w:sz w:val="22"/>
          <w:szCs w:val="22"/>
        </w:rPr>
        <w:t>One way to address this challenge is by involving volunteers, family members or local community groups in activities within the care home. For example, community organisations could help run social activities such as music sessions, art groups or gardening projects</w:t>
      </w:r>
      <w:r w:rsidR="001F58E0" w:rsidRPr="006D6B42">
        <w:rPr>
          <w:rFonts w:ascii="Arial" w:hAnsi="Arial" w:cs="Arial"/>
          <w:sz w:val="22"/>
          <w:szCs w:val="22"/>
        </w:rPr>
        <w:t xml:space="preserve"> (Public Health England, 2022)</w:t>
      </w:r>
      <w:r w:rsidRPr="006D6B42">
        <w:rPr>
          <w:rFonts w:ascii="Arial" w:hAnsi="Arial" w:cs="Arial"/>
          <w:sz w:val="22"/>
          <w:szCs w:val="22"/>
        </w:rPr>
        <w:t>. This can reduce pressure on staff while also providing residents with more opportunities for social interaction.</w:t>
      </w:r>
    </w:p>
    <w:p w14:paraId="57A17479" w14:textId="77777777" w:rsidR="008228FD" w:rsidRPr="008228FD" w:rsidRDefault="008228FD" w:rsidP="006D6B42">
      <w:pPr>
        <w:spacing w:line="360" w:lineRule="auto"/>
        <w:rPr>
          <w:rFonts w:ascii="Arial" w:hAnsi="Arial" w:cs="Arial"/>
          <w:sz w:val="22"/>
          <w:szCs w:val="22"/>
        </w:rPr>
      </w:pPr>
      <w:r w:rsidRPr="008228FD">
        <w:rPr>
          <w:rFonts w:ascii="Arial" w:hAnsi="Arial" w:cs="Arial"/>
          <w:sz w:val="22"/>
          <w:szCs w:val="22"/>
        </w:rPr>
        <w:t>Another strategy is to include positive psychology in everyday care rather than relying only on organised activities. Simple actions such as talking with residents, encouraging them to take part in decisions or recognising their achievements can help promote wellbeing without requiring extra resources.</w:t>
      </w:r>
    </w:p>
    <w:p w14:paraId="2E48562F" w14:textId="3128DE5F" w:rsidR="001F58E0" w:rsidRPr="006D6B42" w:rsidRDefault="00C605E3" w:rsidP="006D6B42">
      <w:pPr>
        <w:spacing w:line="360" w:lineRule="auto"/>
        <w:rPr>
          <w:rFonts w:ascii="Arial" w:hAnsi="Arial" w:cs="Arial"/>
          <w:sz w:val="22"/>
          <w:szCs w:val="22"/>
          <w:u w:val="single"/>
        </w:rPr>
      </w:pPr>
      <w:r w:rsidRPr="006D6B42">
        <w:rPr>
          <w:rFonts w:ascii="Arial" w:hAnsi="Arial" w:cs="Arial"/>
          <w:sz w:val="22"/>
          <w:szCs w:val="22"/>
          <w:u w:val="single"/>
        </w:rPr>
        <w:t>Conclusion</w:t>
      </w:r>
    </w:p>
    <w:p w14:paraId="7C8D209B" w14:textId="17839C0E" w:rsidR="00C605E3" w:rsidRPr="006D6B42" w:rsidRDefault="00303195" w:rsidP="006D6B42">
      <w:pPr>
        <w:spacing w:line="360" w:lineRule="auto"/>
        <w:rPr>
          <w:rFonts w:ascii="Arial" w:hAnsi="Arial" w:cs="Arial"/>
          <w:sz w:val="22"/>
          <w:szCs w:val="22"/>
        </w:rPr>
      </w:pPr>
      <w:r w:rsidRPr="006D6B42">
        <w:rPr>
          <w:rFonts w:ascii="Arial" w:hAnsi="Arial" w:cs="Arial"/>
          <w:sz w:val="22"/>
          <w:szCs w:val="22"/>
        </w:rPr>
        <w:t>Positive psychology provides a useful approach for improving the wellbeing of older adults living in residential care. By focusing on positive emotions, meaningful activities, supportive relationships and personal achievements, care professionals can help residents experience greater life satisfaction and emotional wellbeing. Although challenges such as limited staffing may exist, involving the wider community and incorporating positive practices into everyday care can help overcome these difficulties. Overall, applying positive psychology can support more holistic and person-centred care for older adults.</w:t>
      </w:r>
    </w:p>
    <w:p w14:paraId="0E2EF067" w14:textId="6909ABD7" w:rsidR="0094070B" w:rsidRDefault="0094070B"/>
    <w:p w14:paraId="160F2E5D" w14:textId="77777777" w:rsidR="00B069AA" w:rsidRDefault="00B069AA"/>
    <w:p w14:paraId="56621CBC" w14:textId="77777777" w:rsidR="009A5342" w:rsidRDefault="009A5342"/>
    <w:p w14:paraId="7A5F06A0" w14:textId="77777777" w:rsidR="00E408F4" w:rsidRDefault="00E408F4">
      <w:r>
        <w:br w:type="page"/>
      </w:r>
    </w:p>
    <w:p w14:paraId="1BA0BB4F" w14:textId="3C81AD57" w:rsidR="00E408F4" w:rsidRPr="006D6B42" w:rsidRDefault="00D276EC">
      <w:pPr>
        <w:rPr>
          <w:b/>
          <w:bCs/>
        </w:rPr>
      </w:pPr>
      <w:r w:rsidRPr="006D6B42">
        <w:rPr>
          <w:b/>
          <w:bCs/>
        </w:rPr>
        <w:lastRenderedPageBreak/>
        <w:t>REFERENCES</w:t>
      </w:r>
    </w:p>
    <w:p w14:paraId="67369763" w14:textId="77777777" w:rsidR="00D40065" w:rsidRPr="00D40065" w:rsidRDefault="00D40065" w:rsidP="00D40065">
      <w:r w:rsidRPr="00D40065">
        <w:t xml:space="preserve">Ackerman, C. (2019). </w:t>
      </w:r>
      <w:r w:rsidRPr="00D40065">
        <w:rPr>
          <w:i/>
          <w:iCs/>
        </w:rPr>
        <w:t>Positive Emotions: A List of 26 Examples + Definition in Psychology</w:t>
      </w:r>
      <w:r w:rsidRPr="00D40065">
        <w:t>. [online] PositivePsychology.com. Available at: https://positivepsychology.com/positive-emotions-list-examples-definition-psychology/.</w:t>
      </w:r>
    </w:p>
    <w:p w14:paraId="13905167" w14:textId="77777777" w:rsidR="00D40065" w:rsidRPr="00D40065" w:rsidRDefault="00D40065" w:rsidP="00D40065">
      <w:r w:rsidRPr="00D40065">
        <w:t xml:space="preserve">Alexander, K.D., Harris, T.P. and Rottinghaus, P.J. (2024). The Power and Pitfalls of Positive Psychology: Navigating Critiques and Criticisms. </w:t>
      </w:r>
      <w:r w:rsidRPr="00D40065">
        <w:rPr>
          <w:i/>
          <w:iCs/>
        </w:rPr>
        <w:t>International journal of applied positive psychology</w:t>
      </w:r>
      <w:r w:rsidRPr="00D40065">
        <w:t xml:space="preserve">. </w:t>
      </w:r>
      <w:proofErr w:type="spellStart"/>
      <w:proofErr w:type="gramStart"/>
      <w:r w:rsidRPr="00D40065">
        <w:t>doi:https</w:t>
      </w:r>
      <w:proofErr w:type="spellEnd"/>
      <w:r w:rsidRPr="00D40065">
        <w:t>://doi.org/10.1007/s41042-024-00168-z</w:t>
      </w:r>
      <w:proofErr w:type="gramEnd"/>
      <w:r w:rsidRPr="00D40065">
        <w:t>.</w:t>
      </w:r>
    </w:p>
    <w:p w14:paraId="3896BE44" w14:textId="77777777" w:rsidR="00561C55" w:rsidRPr="00561C55" w:rsidRDefault="00561C55" w:rsidP="00561C55">
      <w:r w:rsidRPr="00561C55">
        <w:t xml:space="preserve">BARBOUR, R.F. (1969). JOHN BOWLBY: Attachment and Loss. </w:t>
      </w:r>
      <w:r w:rsidRPr="00561C55">
        <w:rPr>
          <w:i/>
          <w:iCs/>
        </w:rPr>
        <w:t>The British Journal of Psychiatry</w:t>
      </w:r>
      <w:r w:rsidRPr="00561C55">
        <w:t xml:space="preserve">, 116(530), pp.102–103. </w:t>
      </w:r>
      <w:proofErr w:type="spellStart"/>
      <w:proofErr w:type="gramStart"/>
      <w:r w:rsidRPr="00561C55">
        <w:t>doi:https</w:t>
      </w:r>
      <w:proofErr w:type="spellEnd"/>
      <w:r w:rsidRPr="00561C55">
        <w:t>://doi.org/10.1192/bjp.116.530.102</w:t>
      </w:r>
      <w:proofErr w:type="gramEnd"/>
      <w:r w:rsidRPr="00561C55">
        <w:t>.</w:t>
      </w:r>
    </w:p>
    <w:p w14:paraId="3DC3131E" w14:textId="77777777" w:rsidR="00561C55" w:rsidRPr="00561C55" w:rsidRDefault="00561C55" w:rsidP="00561C55">
      <w:r w:rsidRPr="00561C55">
        <w:t xml:space="preserve">Care Learning (2024). </w:t>
      </w:r>
      <w:r w:rsidRPr="00561C55">
        <w:rPr>
          <w:i/>
          <w:iCs/>
        </w:rPr>
        <w:t xml:space="preserve">How To Build Trusting Relationships </w:t>
      </w:r>
      <w:proofErr w:type="gramStart"/>
      <w:r w:rsidRPr="00561C55">
        <w:rPr>
          <w:i/>
          <w:iCs/>
        </w:rPr>
        <w:t>In</w:t>
      </w:r>
      <w:proofErr w:type="gramEnd"/>
      <w:r w:rsidRPr="00561C55">
        <w:rPr>
          <w:i/>
          <w:iCs/>
        </w:rPr>
        <w:t xml:space="preserve"> Health </w:t>
      </w:r>
      <w:proofErr w:type="gramStart"/>
      <w:r w:rsidRPr="00561C55">
        <w:rPr>
          <w:i/>
          <w:iCs/>
        </w:rPr>
        <w:t>And</w:t>
      </w:r>
      <w:proofErr w:type="gramEnd"/>
      <w:r w:rsidRPr="00561C55">
        <w:rPr>
          <w:i/>
          <w:iCs/>
        </w:rPr>
        <w:t xml:space="preserve"> Social Care - Care Learning</w:t>
      </w:r>
      <w:r w:rsidRPr="00561C55">
        <w:t>. [online] carelearning.org.uk. Available at: https://carelearning.org.uk/blog/communication-blog/how-to-build-trusting-relationships-in-health-and-social-care/.</w:t>
      </w:r>
    </w:p>
    <w:p w14:paraId="234F6AF4" w14:textId="77777777" w:rsidR="00561C55" w:rsidRPr="00561C55" w:rsidRDefault="00561C55" w:rsidP="00561C55">
      <w:r w:rsidRPr="00561C55">
        <w:t xml:space="preserve">Care Learning (2025). </w:t>
      </w:r>
      <w:r w:rsidRPr="00561C55">
        <w:rPr>
          <w:i/>
          <w:iCs/>
        </w:rPr>
        <w:t>1.2 Explain the effects that moving may have on an individual and their personal relationships – Care Learning</w:t>
      </w:r>
      <w:r w:rsidRPr="00561C55">
        <w:t>. [online] Care Learning. Available at: https://carelearning.org.uk/qualifications/level-3-diploma-care/an-61-new-home/1-2-explain-the-effects-that-moving-may-have-on-an-individual-and-their-personal-relationships/.</w:t>
      </w:r>
    </w:p>
    <w:p w14:paraId="2638B720" w14:textId="77777777" w:rsidR="00706443" w:rsidRPr="00706443" w:rsidRDefault="00706443" w:rsidP="00706443">
      <w:proofErr w:type="spellStart"/>
      <w:r w:rsidRPr="00706443">
        <w:t>Galbally</w:t>
      </w:r>
      <w:proofErr w:type="spellEnd"/>
      <w:r w:rsidRPr="00706443">
        <w:t xml:space="preserve">, M., Stein, A., Hoegfeldt, C.A. and </w:t>
      </w:r>
      <w:proofErr w:type="spellStart"/>
      <w:r w:rsidRPr="00706443">
        <w:t>IJzendoorn</w:t>
      </w:r>
      <w:proofErr w:type="spellEnd"/>
      <w:r w:rsidRPr="00706443">
        <w:t xml:space="preserve">, M. van (2020). From attachment to mental health and back. </w:t>
      </w:r>
      <w:r w:rsidRPr="00706443">
        <w:rPr>
          <w:i/>
          <w:iCs/>
        </w:rPr>
        <w:t>The Lancet Psychiatry</w:t>
      </w:r>
      <w:r w:rsidRPr="00706443">
        <w:t xml:space="preserve">, [online] 7(10), pp.832–834. </w:t>
      </w:r>
      <w:proofErr w:type="spellStart"/>
      <w:proofErr w:type="gramStart"/>
      <w:r w:rsidRPr="00706443">
        <w:t>doi:https</w:t>
      </w:r>
      <w:proofErr w:type="spellEnd"/>
      <w:r w:rsidRPr="00706443">
        <w:t>://doi.org/10.1016/S2215-0366(20)30337-0</w:t>
      </w:r>
      <w:proofErr w:type="gramEnd"/>
      <w:r w:rsidRPr="00706443">
        <w:t>.</w:t>
      </w:r>
    </w:p>
    <w:p w14:paraId="17D4E12E" w14:textId="77777777" w:rsidR="00706443" w:rsidRPr="00706443" w:rsidRDefault="00706443" w:rsidP="00706443">
      <w:r w:rsidRPr="00706443">
        <w:t xml:space="preserve">Garrett, P.M. (2022). Bowlby, Attachment and the Potency of a ‘Received Idea’. </w:t>
      </w:r>
      <w:r w:rsidRPr="00706443">
        <w:rPr>
          <w:i/>
          <w:iCs/>
        </w:rPr>
        <w:t xml:space="preserve">The British Journal </w:t>
      </w:r>
      <w:proofErr w:type="gramStart"/>
      <w:r w:rsidRPr="00706443">
        <w:rPr>
          <w:i/>
          <w:iCs/>
        </w:rPr>
        <w:t>Of</w:t>
      </w:r>
      <w:proofErr w:type="gramEnd"/>
      <w:r w:rsidRPr="00706443">
        <w:rPr>
          <w:i/>
          <w:iCs/>
        </w:rPr>
        <w:t xml:space="preserve"> Social Work</w:t>
      </w:r>
      <w:r w:rsidRPr="00706443">
        <w:t xml:space="preserve">, [online] 53(1). </w:t>
      </w:r>
      <w:proofErr w:type="spellStart"/>
      <w:proofErr w:type="gramStart"/>
      <w:r w:rsidRPr="00706443">
        <w:t>doi:https</w:t>
      </w:r>
      <w:proofErr w:type="spellEnd"/>
      <w:r w:rsidRPr="00706443">
        <w:t>://doi.org/10.1093/</w:t>
      </w:r>
      <w:proofErr w:type="spellStart"/>
      <w:r w:rsidRPr="00706443">
        <w:t>bjsw</w:t>
      </w:r>
      <w:proofErr w:type="spellEnd"/>
      <w:r w:rsidRPr="00706443">
        <w:t>/bcac091</w:t>
      </w:r>
      <w:proofErr w:type="gramEnd"/>
      <w:r w:rsidRPr="00706443">
        <w:t>.</w:t>
      </w:r>
    </w:p>
    <w:p w14:paraId="6A72B7A3" w14:textId="77777777" w:rsidR="00706443" w:rsidRPr="00706443" w:rsidRDefault="00706443" w:rsidP="00706443">
      <w:r w:rsidRPr="00706443">
        <w:t xml:space="preserve">Hong, Y.R. and Park, J.S. (2012). Impact of attachment, temperament and parenting on human development. </w:t>
      </w:r>
      <w:r w:rsidRPr="00706443">
        <w:rPr>
          <w:i/>
          <w:iCs/>
        </w:rPr>
        <w:t xml:space="preserve">Korean Journal of </w:t>
      </w:r>
      <w:proofErr w:type="spellStart"/>
      <w:r w:rsidRPr="00706443">
        <w:rPr>
          <w:i/>
          <w:iCs/>
        </w:rPr>
        <w:t>Pediatrics</w:t>
      </w:r>
      <w:proofErr w:type="spellEnd"/>
      <w:r w:rsidRPr="00706443">
        <w:t xml:space="preserve">, [online] 55(12), pp.449–454. </w:t>
      </w:r>
      <w:proofErr w:type="spellStart"/>
      <w:proofErr w:type="gramStart"/>
      <w:r w:rsidRPr="00706443">
        <w:t>doi:https</w:t>
      </w:r>
      <w:proofErr w:type="spellEnd"/>
      <w:r w:rsidRPr="00706443">
        <w:t>://doi.org/10.3345/kjp.2012.55.12.449</w:t>
      </w:r>
      <w:proofErr w:type="gramEnd"/>
      <w:r w:rsidRPr="00706443">
        <w:t>.</w:t>
      </w:r>
    </w:p>
    <w:p w14:paraId="7D553C26" w14:textId="77777777" w:rsidR="00484E5A" w:rsidRPr="00484E5A" w:rsidRDefault="00484E5A" w:rsidP="00484E5A">
      <w:r w:rsidRPr="00484E5A">
        <w:t xml:space="preserve">Lamb, M.E. (1978). Patterns of attachment: A psychological study of the strange situation. </w:t>
      </w:r>
      <w:r w:rsidRPr="00484E5A">
        <w:rPr>
          <w:i/>
          <w:iCs/>
        </w:rPr>
        <w:t>Infant Mental Health Journal</w:t>
      </w:r>
      <w:r w:rsidRPr="00484E5A">
        <w:t xml:space="preserve">, 1(1), pp.68–70. </w:t>
      </w:r>
      <w:proofErr w:type="gramStart"/>
      <w:r w:rsidRPr="00484E5A">
        <w:t>doi:https://doi.org/10.1002/1097-0355(198021)1:1%3C68::aid-imhj2280010110%3E3.0.co;2-3</w:t>
      </w:r>
      <w:proofErr w:type="gramEnd"/>
      <w:r w:rsidRPr="00484E5A">
        <w:t>.</w:t>
      </w:r>
    </w:p>
    <w:p w14:paraId="1FBCF86F" w14:textId="77777777" w:rsidR="00484E5A" w:rsidRPr="00484E5A" w:rsidRDefault="00484E5A" w:rsidP="00484E5A">
      <w:r w:rsidRPr="00484E5A">
        <w:t xml:space="preserve">Public Health England (2022). </w:t>
      </w:r>
      <w:r w:rsidRPr="00484E5A">
        <w:rPr>
          <w:i/>
          <w:iCs/>
        </w:rPr>
        <w:t>Community-centred practice: applying All Our Health</w:t>
      </w:r>
      <w:r w:rsidRPr="00484E5A">
        <w:t>. [online] GOV.UK. Available at: https://www.gov.uk/government/publications/community-centred-practice-applying-all-our-health/community-centred-practice-applying-all-our-health.</w:t>
      </w:r>
    </w:p>
    <w:p w14:paraId="1408B628" w14:textId="77777777" w:rsidR="00484E5A" w:rsidRPr="00484E5A" w:rsidRDefault="00484E5A" w:rsidP="00484E5A">
      <w:r w:rsidRPr="00484E5A">
        <w:lastRenderedPageBreak/>
        <w:t xml:space="preserve">Rocket, S. (2024). </w:t>
      </w:r>
      <w:r w:rsidRPr="00484E5A">
        <w:rPr>
          <w:i/>
          <w:iCs/>
        </w:rPr>
        <w:t>Factors that Affect Human Development and Specific Behaviours – Level 3 Health and Social Care BTEC Revision</w:t>
      </w:r>
      <w:r w:rsidRPr="00484E5A">
        <w:t>. [online] Study Rocket. Available at: https://studyrocket.co.uk/revision/level-3-health-and-social-care-btec/psychological-perspectives/factors-that-affect-human-development-and-specific-behaviours.</w:t>
      </w:r>
    </w:p>
    <w:p w14:paraId="293E16A9" w14:textId="77777777" w:rsidR="00484E5A" w:rsidRPr="00484E5A" w:rsidRDefault="00484E5A" w:rsidP="00484E5A">
      <w:r w:rsidRPr="00484E5A">
        <w:t xml:space="preserve">Ryff, C. (1989). </w:t>
      </w:r>
      <w:r w:rsidRPr="00484E5A">
        <w:rPr>
          <w:i/>
          <w:iCs/>
        </w:rPr>
        <w:t>(PDF) Happiness Is Everything, or Is It? Explorations on</w:t>
      </w:r>
      <w:r w:rsidRPr="00484E5A">
        <w:t>. [online] research.amanote.com. Available at: https://research.amanote.com/publication/PKEo4nMBKQvf0BhijLps/happiness-is-everything-or-is-it-explorations-on-the-meaning-of-psychological.</w:t>
      </w:r>
    </w:p>
    <w:p w14:paraId="7276A52D" w14:textId="77777777" w:rsidR="00CE1BED" w:rsidRPr="00CE1BED" w:rsidRDefault="00CE1BED" w:rsidP="00CE1BED">
      <w:r w:rsidRPr="00CE1BED">
        <w:t xml:space="preserve">Seligman, M.E.P. and Internet Archive (2011). </w:t>
      </w:r>
      <w:r w:rsidRPr="00CE1BED">
        <w:rPr>
          <w:i/>
          <w:iCs/>
        </w:rPr>
        <w:t>Flourish</w:t>
      </w:r>
      <w:r w:rsidRPr="00CE1BED">
        <w:t xml:space="preserve">. [online] </w:t>
      </w:r>
      <w:r w:rsidRPr="00CE1BED">
        <w:rPr>
          <w:i/>
          <w:iCs/>
        </w:rPr>
        <w:t>Internet Archive</w:t>
      </w:r>
      <w:r w:rsidRPr="00CE1BED">
        <w:t xml:space="preserve">. North Sydney, </w:t>
      </w:r>
      <w:proofErr w:type="gramStart"/>
      <w:r w:rsidRPr="00CE1BED">
        <w:t>N.S.W. :</w:t>
      </w:r>
      <w:proofErr w:type="gramEnd"/>
      <w:r w:rsidRPr="00CE1BED">
        <w:t xml:space="preserve"> Random House Australia. Available at: https://archive.org/details/flourish0000seli.</w:t>
      </w:r>
    </w:p>
    <w:p w14:paraId="595584B3" w14:textId="77777777" w:rsidR="00CE1BED" w:rsidRPr="00CE1BED" w:rsidRDefault="00CE1BED" w:rsidP="00CE1BED">
      <w:r w:rsidRPr="00CE1BED">
        <w:t xml:space="preserve">Spies, R. and Duschinsky, R. (2021). Inheriting </w:t>
      </w:r>
      <w:proofErr w:type="spellStart"/>
      <w:r w:rsidRPr="00CE1BED">
        <w:t>mary</w:t>
      </w:r>
      <w:proofErr w:type="spellEnd"/>
      <w:r w:rsidRPr="00CE1BED">
        <w:t xml:space="preserve"> </w:t>
      </w:r>
      <w:proofErr w:type="spellStart"/>
      <w:r w:rsidRPr="00CE1BED">
        <w:t>ainsworth</w:t>
      </w:r>
      <w:proofErr w:type="spellEnd"/>
      <w:r w:rsidRPr="00CE1BED">
        <w:t xml:space="preserve"> and the strange situation: Questions of legacy, authority, and methodology for contemporary developmental attachment researchers. </w:t>
      </w:r>
      <w:r w:rsidRPr="00CE1BED">
        <w:rPr>
          <w:i/>
          <w:iCs/>
        </w:rPr>
        <w:t>SAGE Open</w:t>
      </w:r>
      <w:r w:rsidRPr="00CE1BED">
        <w:t xml:space="preserve">, [online] 11(3), pp.1–13. </w:t>
      </w:r>
      <w:proofErr w:type="spellStart"/>
      <w:proofErr w:type="gramStart"/>
      <w:r w:rsidRPr="00CE1BED">
        <w:t>doi:https</w:t>
      </w:r>
      <w:proofErr w:type="spellEnd"/>
      <w:r w:rsidRPr="00CE1BED">
        <w:t>://doi.org/10.1177/21582440211047577</w:t>
      </w:r>
      <w:proofErr w:type="gramEnd"/>
      <w:r w:rsidRPr="00CE1BED">
        <w:t>.</w:t>
      </w:r>
    </w:p>
    <w:p w14:paraId="468A3952" w14:textId="77777777" w:rsidR="00CE1BED" w:rsidRPr="00CE1BED" w:rsidRDefault="00CE1BED" w:rsidP="00CE1BED">
      <w:r w:rsidRPr="00CE1BED">
        <w:t xml:space="preserve">Van Zyl, L.E., Gaffaney, J., van der </w:t>
      </w:r>
      <w:proofErr w:type="spellStart"/>
      <w:r w:rsidRPr="00CE1BED">
        <w:t>Vaart</w:t>
      </w:r>
      <w:proofErr w:type="spellEnd"/>
      <w:r w:rsidRPr="00CE1BED">
        <w:t xml:space="preserve">, L., Dik, B.J. and Donaldson, S.I. (2023). The critiques and criticisms of positive psychology: A systematic review. </w:t>
      </w:r>
      <w:r w:rsidRPr="00CE1BED">
        <w:rPr>
          <w:i/>
          <w:iCs/>
        </w:rPr>
        <w:t>The Journal of Positive Psychology</w:t>
      </w:r>
      <w:r w:rsidRPr="00CE1BED">
        <w:t xml:space="preserve">, 19(2), pp.1–30. </w:t>
      </w:r>
      <w:proofErr w:type="spellStart"/>
      <w:proofErr w:type="gramStart"/>
      <w:r w:rsidRPr="00CE1BED">
        <w:t>doi:https</w:t>
      </w:r>
      <w:proofErr w:type="spellEnd"/>
      <w:r w:rsidRPr="00CE1BED">
        <w:t>://doi.org/10.1080/17439760.2023.2178956</w:t>
      </w:r>
      <w:proofErr w:type="gramEnd"/>
      <w:r w:rsidRPr="00CE1BED">
        <w:t>.</w:t>
      </w:r>
    </w:p>
    <w:p w14:paraId="64B5AA0A" w14:textId="77777777" w:rsidR="00CE1BED" w:rsidRPr="00CE1BED" w:rsidRDefault="00CE1BED" w:rsidP="00CE1BED">
      <w:r w:rsidRPr="00CE1BED">
        <w:t>Whear, R., Campbell, F., Rogers, M., Sutton, A., Robinson</w:t>
      </w:r>
      <w:r w:rsidRPr="00CE1BED">
        <w:rPr>
          <w:rFonts w:ascii="Cambria Math" w:hAnsi="Cambria Math" w:cs="Cambria Math"/>
        </w:rPr>
        <w:t>‐</w:t>
      </w:r>
      <w:r w:rsidRPr="00CE1BED">
        <w:t>Carter, E., Sharpe, R., Cohen, S.H., Fergy, R., Garside, R., Kneale, D., Melendez</w:t>
      </w:r>
      <w:r w:rsidRPr="00CE1BED">
        <w:rPr>
          <w:rFonts w:ascii="Cambria Math" w:hAnsi="Cambria Math" w:cs="Cambria Math"/>
        </w:rPr>
        <w:t>‐</w:t>
      </w:r>
      <w:r w:rsidRPr="00CE1BED">
        <w:t xml:space="preserve">Torres, G.J. and Thompson-Coon, J. (2023). What is the effect of intergenerational activities on the wellbeing and mental health of older </w:t>
      </w:r>
      <w:proofErr w:type="gramStart"/>
      <w:r w:rsidRPr="00CE1BED">
        <w:t>people?:</w:t>
      </w:r>
      <w:proofErr w:type="gramEnd"/>
      <w:r w:rsidRPr="00CE1BED">
        <w:t xml:space="preserve"> A systematic review. </w:t>
      </w:r>
      <w:r w:rsidRPr="00CE1BED">
        <w:rPr>
          <w:i/>
          <w:iCs/>
        </w:rPr>
        <w:t>Campbell Systematic Reviews</w:t>
      </w:r>
      <w:r w:rsidRPr="00CE1BED">
        <w:t xml:space="preserve">, 19(4). </w:t>
      </w:r>
      <w:proofErr w:type="spellStart"/>
      <w:proofErr w:type="gramStart"/>
      <w:r w:rsidRPr="00CE1BED">
        <w:t>doi:https</w:t>
      </w:r>
      <w:proofErr w:type="spellEnd"/>
      <w:r w:rsidRPr="00CE1BED">
        <w:t>://doi.org/10.1002/cl2.1355</w:t>
      </w:r>
      <w:proofErr w:type="gramEnd"/>
      <w:r w:rsidRPr="00CE1BED">
        <w:t>.</w:t>
      </w:r>
    </w:p>
    <w:p w14:paraId="574C6D5A" w14:textId="77777777" w:rsidR="006D6B42" w:rsidRPr="006D6B42" w:rsidRDefault="006D6B42" w:rsidP="006D6B42">
      <w:r w:rsidRPr="006D6B42">
        <w:t xml:space="preserve">Zhang, W., Greig, J., Towers, A.-M., </w:t>
      </w:r>
      <w:proofErr w:type="spellStart"/>
      <w:r w:rsidRPr="006D6B42">
        <w:t>Saloniki</w:t>
      </w:r>
      <w:proofErr w:type="spellEnd"/>
      <w:r w:rsidRPr="006D6B42">
        <w:t xml:space="preserve">, E.-C. and Darton, R. (2025). Supporting care transitions for older people: A practice-based qualitative study in England. </w:t>
      </w:r>
      <w:r w:rsidRPr="006D6B42">
        <w:rPr>
          <w:i/>
          <w:iCs/>
        </w:rPr>
        <w:t>The British Journal of Social Work</w:t>
      </w:r>
      <w:r w:rsidRPr="006D6B42">
        <w:t xml:space="preserve">. </w:t>
      </w:r>
      <w:proofErr w:type="spellStart"/>
      <w:proofErr w:type="gramStart"/>
      <w:r w:rsidRPr="006D6B42">
        <w:t>doi:https</w:t>
      </w:r>
      <w:proofErr w:type="spellEnd"/>
      <w:r w:rsidRPr="006D6B42">
        <w:t>://doi.org/10.1093/</w:t>
      </w:r>
      <w:proofErr w:type="spellStart"/>
      <w:r w:rsidRPr="006D6B42">
        <w:t>bjsw</w:t>
      </w:r>
      <w:proofErr w:type="spellEnd"/>
      <w:r w:rsidRPr="006D6B42">
        <w:t>/bcaf041</w:t>
      </w:r>
      <w:proofErr w:type="gramEnd"/>
      <w:r w:rsidRPr="006D6B42">
        <w:t>.</w:t>
      </w:r>
    </w:p>
    <w:p w14:paraId="1ACD0997" w14:textId="602ED3A8" w:rsidR="00D276EC" w:rsidRDefault="00D276EC"/>
    <w:sectPr w:rsidR="00D276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C40FB"/>
    <w:multiLevelType w:val="hybridMultilevel"/>
    <w:tmpl w:val="0F9A0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EA5CF2"/>
    <w:multiLevelType w:val="hybridMultilevel"/>
    <w:tmpl w:val="B58C6BC0"/>
    <w:lvl w:ilvl="0" w:tplc="5492D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5EA6DBE"/>
    <w:multiLevelType w:val="hybridMultilevel"/>
    <w:tmpl w:val="60D67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828486">
    <w:abstractNumId w:val="0"/>
  </w:num>
  <w:num w:numId="2" w16cid:durableId="1232349103">
    <w:abstractNumId w:val="1"/>
  </w:num>
  <w:num w:numId="3" w16cid:durableId="5033239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8F4"/>
    <w:rsid w:val="00004887"/>
    <w:rsid w:val="00027EF7"/>
    <w:rsid w:val="00033E5A"/>
    <w:rsid w:val="000460AB"/>
    <w:rsid w:val="000570F7"/>
    <w:rsid w:val="000713C0"/>
    <w:rsid w:val="00071918"/>
    <w:rsid w:val="0008574A"/>
    <w:rsid w:val="000A0C45"/>
    <w:rsid w:val="000D1246"/>
    <w:rsid w:val="000E45E0"/>
    <w:rsid w:val="000F7790"/>
    <w:rsid w:val="00112AB6"/>
    <w:rsid w:val="001454CA"/>
    <w:rsid w:val="00152062"/>
    <w:rsid w:val="00186A6F"/>
    <w:rsid w:val="001A6231"/>
    <w:rsid w:val="001D2E5D"/>
    <w:rsid w:val="001F58E0"/>
    <w:rsid w:val="002059CD"/>
    <w:rsid w:val="00210604"/>
    <w:rsid w:val="0022752A"/>
    <w:rsid w:val="002B4366"/>
    <w:rsid w:val="002C5676"/>
    <w:rsid w:val="002F00CD"/>
    <w:rsid w:val="00303195"/>
    <w:rsid w:val="00323B85"/>
    <w:rsid w:val="0034616E"/>
    <w:rsid w:val="00355BFD"/>
    <w:rsid w:val="003647FA"/>
    <w:rsid w:val="003C5FFB"/>
    <w:rsid w:val="003E2629"/>
    <w:rsid w:val="00414930"/>
    <w:rsid w:val="00484E5A"/>
    <w:rsid w:val="00485A5A"/>
    <w:rsid w:val="004959F4"/>
    <w:rsid w:val="004B082C"/>
    <w:rsid w:val="004E49F4"/>
    <w:rsid w:val="00516EB3"/>
    <w:rsid w:val="00517A2A"/>
    <w:rsid w:val="00521913"/>
    <w:rsid w:val="005474BB"/>
    <w:rsid w:val="00557977"/>
    <w:rsid w:val="00561C55"/>
    <w:rsid w:val="00562310"/>
    <w:rsid w:val="00565740"/>
    <w:rsid w:val="005823DD"/>
    <w:rsid w:val="005B72A1"/>
    <w:rsid w:val="005F4C7F"/>
    <w:rsid w:val="00627069"/>
    <w:rsid w:val="006707A0"/>
    <w:rsid w:val="00672FF5"/>
    <w:rsid w:val="00673F14"/>
    <w:rsid w:val="00675272"/>
    <w:rsid w:val="00681D4D"/>
    <w:rsid w:val="006A0D0E"/>
    <w:rsid w:val="006C2187"/>
    <w:rsid w:val="006D6B42"/>
    <w:rsid w:val="006E0150"/>
    <w:rsid w:val="006F4688"/>
    <w:rsid w:val="00706443"/>
    <w:rsid w:val="00732216"/>
    <w:rsid w:val="0073566A"/>
    <w:rsid w:val="00735F1A"/>
    <w:rsid w:val="0075214B"/>
    <w:rsid w:val="00762131"/>
    <w:rsid w:val="007B7CD7"/>
    <w:rsid w:val="007F2B2B"/>
    <w:rsid w:val="007F6D3F"/>
    <w:rsid w:val="008228FD"/>
    <w:rsid w:val="0084363F"/>
    <w:rsid w:val="008720F2"/>
    <w:rsid w:val="00873E1F"/>
    <w:rsid w:val="00880D37"/>
    <w:rsid w:val="00887830"/>
    <w:rsid w:val="00890549"/>
    <w:rsid w:val="0089786F"/>
    <w:rsid w:val="008A15A7"/>
    <w:rsid w:val="008D2E49"/>
    <w:rsid w:val="008E31D6"/>
    <w:rsid w:val="00902405"/>
    <w:rsid w:val="009041C2"/>
    <w:rsid w:val="00916A68"/>
    <w:rsid w:val="009248F5"/>
    <w:rsid w:val="0093036C"/>
    <w:rsid w:val="00930E3B"/>
    <w:rsid w:val="0093790E"/>
    <w:rsid w:val="0094070B"/>
    <w:rsid w:val="009540F2"/>
    <w:rsid w:val="00971B61"/>
    <w:rsid w:val="009A2FCC"/>
    <w:rsid w:val="009A5342"/>
    <w:rsid w:val="009B1CE1"/>
    <w:rsid w:val="009B7034"/>
    <w:rsid w:val="009C02F3"/>
    <w:rsid w:val="009F0954"/>
    <w:rsid w:val="009F11F1"/>
    <w:rsid w:val="00A225E7"/>
    <w:rsid w:val="00A31361"/>
    <w:rsid w:val="00A3143E"/>
    <w:rsid w:val="00A67F43"/>
    <w:rsid w:val="00AA0768"/>
    <w:rsid w:val="00AD4864"/>
    <w:rsid w:val="00AD5AD2"/>
    <w:rsid w:val="00AE5DC4"/>
    <w:rsid w:val="00AF2842"/>
    <w:rsid w:val="00B069AA"/>
    <w:rsid w:val="00B223A5"/>
    <w:rsid w:val="00B23BEA"/>
    <w:rsid w:val="00B51190"/>
    <w:rsid w:val="00B721D7"/>
    <w:rsid w:val="00B75F99"/>
    <w:rsid w:val="00B9263A"/>
    <w:rsid w:val="00BE00A9"/>
    <w:rsid w:val="00BE41AD"/>
    <w:rsid w:val="00BF11A2"/>
    <w:rsid w:val="00C173D2"/>
    <w:rsid w:val="00C52A71"/>
    <w:rsid w:val="00C605E3"/>
    <w:rsid w:val="00C6314D"/>
    <w:rsid w:val="00CB60F7"/>
    <w:rsid w:val="00CC187F"/>
    <w:rsid w:val="00CC47B8"/>
    <w:rsid w:val="00CC47C2"/>
    <w:rsid w:val="00CD57DD"/>
    <w:rsid w:val="00CD70DB"/>
    <w:rsid w:val="00CE1BD8"/>
    <w:rsid w:val="00CE1BED"/>
    <w:rsid w:val="00CE4A54"/>
    <w:rsid w:val="00CF74EB"/>
    <w:rsid w:val="00D2552D"/>
    <w:rsid w:val="00D276EC"/>
    <w:rsid w:val="00D300C3"/>
    <w:rsid w:val="00D40065"/>
    <w:rsid w:val="00D44165"/>
    <w:rsid w:val="00D47CFA"/>
    <w:rsid w:val="00D53DC2"/>
    <w:rsid w:val="00D5497A"/>
    <w:rsid w:val="00D61F62"/>
    <w:rsid w:val="00D676EA"/>
    <w:rsid w:val="00D87A38"/>
    <w:rsid w:val="00DA1506"/>
    <w:rsid w:val="00DA77E6"/>
    <w:rsid w:val="00DE28C2"/>
    <w:rsid w:val="00E05F1F"/>
    <w:rsid w:val="00E06F4B"/>
    <w:rsid w:val="00E22376"/>
    <w:rsid w:val="00E308A1"/>
    <w:rsid w:val="00E408F4"/>
    <w:rsid w:val="00E56E64"/>
    <w:rsid w:val="00E72339"/>
    <w:rsid w:val="00E76A6E"/>
    <w:rsid w:val="00EA0691"/>
    <w:rsid w:val="00EB5EE2"/>
    <w:rsid w:val="00EE274B"/>
    <w:rsid w:val="00F01A8C"/>
    <w:rsid w:val="00F03412"/>
    <w:rsid w:val="00F052C1"/>
    <w:rsid w:val="00F307DD"/>
    <w:rsid w:val="00F601A7"/>
    <w:rsid w:val="00F923B3"/>
    <w:rsid w:val="00F92923"/>
    <w:rsid w:val="00F95EF1"/>
    <w:rsid w:val="00FB3076"/>
    <w:rsid w:val="00FE39AD"/>
    <w:rsid w:val="00FF0DAF"/>
    <w:rsid w:val="00FF0E5D"/>
    <w:rsid w:val="00FF7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0A73F"/>
  <w15:chartTrackingRefBased/>
  <w15:docId w15:val="{049E84E7-E997-480C-8E23-CFF36997A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8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08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8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8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8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8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8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8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8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8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08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8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8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8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8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8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8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8F4"/>
    <w:rPr>
      <w:rFonts w:eastAsiaTheme="majorEastAsia" w:cstheme="majorBidi"/>
      <w:color w:val="272727" w:themeColor="text1" w:themeTint="D8"/>
    </w:rPr>
  </w:style>
  <w:style w:type="paragraph" w:styleId="Title">
    <w:name w:val="Title"/>
    <w:basedOn w:val="Normal"/>
    <w:next w:val="Normal"/>
    <w:link w:val="TitleChar"/>
    <w:uiPriority w:val="10"/>
    <w:qFormat/>
    <w:rsid w:val="00E408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8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8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8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8F4"/>
    <w:pPr>
      <w:spacing w:before="160"/>
      <w:jc w:val="center"/>
    </w:pPr>
    <w:rPr>
      <w:i/>
      <w:iCs/>
      <w:color w:val="404040" w:themeColor="text1" w:themeTint="BF"/>
    </w:rPr>
  </w:style>
  <w:style w:type="character" w:customStyle="1" w:styleId="QuoteChar">
    <w:name w:val="Quote Char"/>
    <w:basedOn w:val="DefaultParagraphFont"/>
    <w:link w:val="Quote"/>
    <w:uiPriority w:val="29"/>
    <w:rsid w:val="00E408F4"/>
    <w:rPr>
      <w:i/>
      <w:iCs/>
      <w:color w:val="404040" w:themeColor="text1" w:themeTint="BF"/>
    </w:rPr>
  </w:style>
  <w:style w:type="paragraph" w:styleId="ListParagraph">
    <w:name w:val="List Paragraph"/>
    <w:basedOn w:val="Normal"/>
    <w:uiPriority w:val="34"/>
    <w:qFormat/>
    <w:rsid w:val="00E408F4"/>
    <w:pPr>
      <w:ind w:left="720"/>
      <w:contextualSpacing/>
    </w:pPr>
  </w:style>
  <w:style w:type="character" w:styleId="IntenseEmphasis">
    <w:name w:val="Intense Emphasis"/>
    <w:basedOn w:val="DefaultParagraphFont"/>
    <w:uiPriority w:val="21"/>
    <w:qFormat/>
    <w:rsid w:val="00E408F4"/>
    <w:rPr>
      <w:i/>
      <w:iCs/>
      <w:color w:val="0F4761" w:themeColor="accent1" w:themeShade="BF"/>
    </w:rPr>
  </w:style>
  <w:style w:type="paragraph" w:styleId="IntenseQuote">
    <w:name w:val="Intense Quote"/>
    <w:basedOn w:val="Normal"/>
    <w:next w:val="Normal"/>
    <w:link w:val="IntenseQuoteChar"/>
    <w:uiPriority w:val="30"/>
    <w:qFormat/>
    <w:rsid w:val="00E408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8F4"/>
    <w:rPr>
      <w:i/>
      <w:iCs/>
      <w:color w:val="0F4761" w:themeColor="accent1" w:themeShade="BF"/>
    </w:rPr>
  </w:style>
  <w:style w:type="character" w:styleId="IntenseReference">
    <w:name w:val="Intense Reference"/>
    <w:basedOn w:val="DefaultParagraphFont"/>
    <w:uiPriority w:val="32"/>
    <w:qFormat/>
    <w:rsid w:val="00E408F4"/>
    <w:rPr>
      <w:b/>
      <w:bCs/>
      <w:smallCaps/>
      <w:color w:val="0F4761" w:themeColor="accent1" w:themeShade="BF"/>
      <w:spacing w:val="5"/>
    </w:rPr>
  </w:style>
  <w:style w:type="paragraph" w:styleId="NormalWeb">
    <w:name w:val="Normal (Web)"/>
    <w:basedOn w:val="Normal"/>
    <w:uiPriority w:val="99"/>
    <w:semiHidden/>
    <w:unhideWhenUsed/>
    <w:rsid w:val="006A0D0E"/>
    <w:rPr>
      <w:rFonts w:ascii="Times New Roman" w:hAnsi="Times New Roman" w:cs="Times New Roman"/>
    </w:rPr>
  </w:style>
  <w:style w:type="character" w:styleId="Hyperlink">
    <w:name w:val="Hyperlink"/>
    <w:basedOn w:val="DefaultParagraphFont"/>
    <w:uiPriority w:val="99"/>
    <w:unhideWhenUsed/>
    <w:rsid w:val="008720F2"/>
    <w:rPr>
      <w:color w:val="467886" w:themeColor="hyperlink"/>
      <w:u w:val="single"/>
    </w:rPr>
  </w:style>
  <w:style w:type="character" w:styleId="UnresolvedMention">
    <w:name w:val="Unresolved Mention"/>
    <w:basedOn w:val="DefaultParagraphFont"/>
    <w:uiPriority w:val="99"/>
    <w:semiHidden/>
    <w:unhideWhenUsed/>
    <w:rsid w:val="008720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rchive.org/details/flourish0000sel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3257</TotalTime>
  <Pages>9</Pages>
  <Words>2640</Words>
  <Characters>15054</Characters>
  <Application>Microsoft Office Word</Application>
  <DocSecurity>0</DocSecurity>
  <Lines>125</Lines>
  <Paragraphs>35</Paragraphs>
  <ScaleCrop>false</ScaleCrop>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Malik</dc:creator>
  <cp:keywords/>
  <dc:description/>
  <cp:lastModifiedBy>Nazia Malik</cp:lastModifiedBy>
  <cp:revision>165</cp:revision>
  <dcterms:created xsi:type="dcterms:W3CDTF">2026-03-13T13:58:00Z</dcterms:created>
  <dcterms:modified xsi:type="dcterms:W3CDTF">2026-03-21T19:56:00Z</dcterms:modified>
</cp:coreProperties>
</file>