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2D6344" w14:textId="77777777" w:rsidR="00C82A70" w:rsidRDefault="00C82A70" w:rsidP="00704994">
      <w:pPr>
        <w:spacing w:after="200" w:line="480" w:lineRule="auto"/>
        <w:jc w:val="center"/>
        <w:rPr>
          <w:rFonts w:ascii="Times New Roman" w:eastAsia="Times New Roman" w:hAnsi="Times New Roman" w:cs="Times New Roman"/>
          <w:b/>
          <w:sz w:val="36"/>
          <w:szCs w:val="36"/>
        </w:rPr>
      </w:pPr>
    </w:p>
    <w:p w14:paraId="7B0FA1B0" w14:textId="77777777" w:rsidR="00C82A70" w:rsidRDefault="00C82A70" w:rsidP="00704994">
      <w:pPr>
        <w:spacing w:after="200" w:line="480" w:lineRule="auto"/>
        <w:jc w:val="center"/>
        <w:rPr>
          <w:rFonts w:ascii="Times New Roman" w:eastAsia="Times New Roman" w:hAnsi="Times New Roman" w:cs="Times New Roman"/>
          <w:b/>
          <w:sz w:val="36"/>
          <w:szCs w:val="36"/>
        </w:rPr>
      </w:pPr>
    </w:p>
    <w:p w14:paraId="14F6EB8A" w14:textId="4B260101" w:rsidR="00C82A70" w:rsidRDefault="00D00D10" w:rsidP="00D00D10">
      <w:pPr>
        <w:spacing w:after="200" w:line="480" w:lineRule="auto"/>
        <w:rPr>
          <w:rFonts w:ascii="Times New Roman" w:eastAsia="Times New Roman" w:hAnsi="Times New Roman" w:cs="Times New Roman"/>
          <w:b/>
          <w:sz w:val="36"/>
          <w:szCs w:val="36"/>
        </w:rPr>
      </w:pPr>
      <w:r>
        <w:rPr>
          <w:rFonts w:ascii="Times New Roman" w:eastAsia="Times New Roman" w:hAnsi="Times New Roman" w:cs="Times New Roman"/>
          <w:b/>
          <w:noProof/>
          <w:sz w:val="36"/>
          <w:szCs w:val="36"/>
        </w:rPr>
        <w:drawing>
          <wp:inline distT="0" distB="0" distL="0" distR="0" wp14:anchorId="0C0169B8" wp14:editId="07B3DDBC">
            <wp:extent cx="3695135" cy="1417320"/>
            <wp:effectExtent l="0" t="0" r="635" b="0"/>
            <wp:docPr id="1028598965"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598965" name="Picture 1" descr="A close up of a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713723" cy="1424450"/>
                    </a:xfrm>
                    <a:prstGeom prst="rect">
                      <a:avLst/>
                    </a:prstGeom>
                  </pic:spPr>
                </pic:pic>
              </a:graphicData>
            </a:graphic>
          </wp:inline>
        </w:drawing>
      </w:r>
    </w:p>
    <w:p w14:paraId="03C832AA" w14:textId="77777777" w:rsidR="00C82A70" w:rsidRDefault="00C82A70" w:rsidP="00704994">
      <w:pPr>
        <w:spacing w:after="200" w:line="480" w:lineRule="auto"/>
        <w:jc w:val="center"/>
        <w:rPr>
          <w:rFonts w:ascii="Times New Roman" w:eastAsia="Times New Roman" w:hAnsi="Times New Roman" w:cs="Times New Roman"/>
          <w:b/>
          <w:sz w:val="36"/>
          <w:szCs w:val="36"/>
        </w:rPr>
      </w:pPr>
    </w:p>
    <w:p w14:paraId="33D5A053" w14:textId="77777777" w:rsidR="00C82A70" w:rsidRDefault="00C82A70" w:rsidP="00704994">
      <w:pPr>
        <w:spacing w:after="200" w:line="480" w:lineRule="auto"/>
        <w:jc w:val="center"/>
        <w:rPr>
          <w:rFonts w:ascii="Times New Roman" w:eastAsia="Times New Roman" w:hAnsi="Times New Roman" w:cs="Times New Roman"/>
          <w:b/>
          <w:sz w:val="36"/>
          <w:szCs w:val="36"/>
        </w:rPr>
      </w:pPr>
    </w:p>
    <w:p w14:paraId="5311DA7B" w14:textId="77777777" w:rsidR="00C82A70" w:rsidRPr="004A0491" w:rsidRDefault="00C82A70" w:rsidP="00C82A70">
      <w:pPr>
        <w:pStyle w:val="TOC1"/>
        <w:tabs>
          <w:tab w:val="right" w:leader="dot" w:pos="9350"/>
        </w:tabs>
        <w:rPr>
          <w:rStyle w:val="Hyperlink"/>
          <w:noProof/>
        </w:rPr>
      </w:pPr>
      <w:r w:rsidRPr="004A0491">
        <w:rPr>
          <w:rStyle w:val="Hyperlink"/>
          <w:noProof/>
        </w:rPr>
        <w:t>Course: BA (Hons) Business Management</w:t>
      </w:r>
    </w:p>
    <w:p w14:paraId="6EF77460" w14:textId="77777777" w:rsidR="00C82A70" w:rsidRPr="004A0491" w:rsidRDefault="00C82A70" w:rsidP="00C82A70">
      <w:pPr>
        <w:pStyle w:val="TOC1"/>
        <w:tabs>
          <w:tab w:val="right" w:leader="dot" w:pos="9350"/>
        </w:tabs>
        <w:rPr>
          <w:rStyle w:val="Hyperlink"/>
          <w:noProof/>
        </w:rPr>
      </w:pPr>
      <w:r w:rsidRPr="004A0491">
        <w:rPr>
          <w:rStyle w:val="Hyperlink"/>
          <w:noProof/>
        </w:rPr>
        <w:t xml:space="preserve">Level </w:t>
      </w:r>
      <w:r>
        <w:rPr>
          <w:rStyle w:val="Hyperlink"/>
          <w:noProof/>
        </w:rPr>
        <w:t>6</w:t>
      </w:r>
      <w:r w:rsidRPr="004A0491">
        <w:rPr>
          <w:rStyle w:val="Hyperlink"/>
          <w:noProof/>
        </w:rPr>
        <w:t xml:space="preserve"> – Term </w:t>
      </w:r>
      <w:r>
        <w:rPr>
          <w:rStyle w:val="Hyperlink"/>
          <w:noProof/>
        </w:rPr>
        <w:t>2</w:t>
      </w:r>
      <w:r w:rsidRPr="004A0491">
        <w:rPr>
          <w:rStyle w:val="Hyperlink"/>
          <w:noProof/>
        </w:rPr>
        <w:t xml:space="preserve"> - Weekend</w:t>
      </w:r>
    </w:p>
    <w:p w14:paraId="263882F5" w14:textId="2A203E51" w:rsidR="00C82A70" w:rsidRDefault="003051A1" w:rsidP="00C82A70">
      <w:pPr>
        <w:pStyle w:val="TOC1"/>
        <w:tabs>
          <w:tab w:val="right" w:leader="dot" w:pos="9350"/>
        </w:tabs>
        <w:rPr>
          <w:rStyle w:val="Hyperlink"/>
          <w:noProof/>
        </w:rPr>
      </w:pPr>
      <w:r>
        <w:rPr>
          <w:rStyle w:val="Hyperlink"/>
          <w:noProof/>
        </w:rPr>
        <w:t xml:space="preserve">Strategic </w:t>
      </w:r>
      <w:r w:rsidR="00D00D10">
        <w:rPr>
          <w:rStyle w:val="Hyperlink"/>
          <w:noProof/>
        </w:rPr>
        <w:t>Management and Sustainability</w:t>
      </w:r>
      <w:r w:rsidR="00C82A70">
        <w:rPr>
          <w:rStyle w:val="Hyperlink"/>
          <w:noProof/>
        </w:rPr>
        <w:t xml:space="preserve"> (LCBB600</w:t>
      </w:r>
      <w:r>
        <w:rPr>
          <w:rStyle w:val="Hyperlink"/>
          <w:noProof/>
        </w:rPr>
        <w:t>4</w:t>
      </w:r>
      <w:r w:rsidR="00C82A70">
        <w:rPr>
          <w:rStyle w:val="Hyperlink"/>
          <w:noProof/>
        </w:rPr>
        <w:t>)</w:t>
      </w:r>
    </w:p>
    <w:p w14:paraId="6104C30C" w14:textId="77777777" w:rsidR="00C82A70" w:rsidRDefault="00C82A70" w:rsidP="00C82A70">
      <w:pPr>
        <w:pStyle w:val="TOC1"/>
        <w:tabs>
          <w:tab w:val="right" w:leader="dot" w:pos="9350"/>
        </w:tabs>
        <w:rPr>
          <w:rStyle w:val="Hyperlink"/>
          <w:noProof/>
        </w:rPr>
      </w:pPr>
    </w:p>
    <w:p w14:paraId="0EBB9F98" w14:textId="77777777" w:rsidR="00C82A70" w:rsidRPr="004A0491" w:rsidRDefault="00C82A70" w:rsidP="00C82A70">
      <w:pPr>
        <w:pStyle w:val="TOC1"/>
        <w:tabs>
          <w:tab w:val="right" w:leader="dot" w:pos="9350"/>
        </w:tabs>
        <w:rPr>
          <w:rStyle w:val="Hyperlink"/>
          <w:noProof/>
        </w:rPr>
      </w:pPr>
      <w:r w:rsidRPr="004A0491">
        <w:rPr>
          <w:rStyle w:val="Hyperlink"/>
          <w:noProof/>
        </w:rPr>
        <w:t>Assignment – A</w:t>
      </w:r>
      <w:r>
        <w:rPr>
          <w:rStyle w:val="Hyperlink"/>
          <w:noProof/>
        </w:rPr>
        <w:t>1</w:t>
      </w:r>
    </w:p>
    <w:p w14:paraId="4EE643D7" w14:textId="77777777" w:rsidR="00C82A70" w:rsidRDefault="00C82A70" w:rsidP="00C82A70">
      <w:pPr>
        <w:autoSpaceDE w:val="0"/>
        <w:autoSpaceDN w:val="0"/>
        <w:adjustRightInd w:val="0"/>
        <w:spacing w:line="240" w:lineRule="auto"/>
        <w:rPr>
          <w:rFonts w:ascii="Calibri" w:hAnsi="Calibri" w:cs="Calibri"/>
        </w:rPr>
      </w:pPr>
    </w:p>
    <w:p w14:paraId="72C55CBA" w14:textId="77777777" w:rsidR="00C82A70" w:rsidRPr="004A0491" w:rsidRDefault="00C82A70" w:rsidP="00C82A70">
      <w:pPr>
        <w:pStyle w:val="TOC1"/>
        <w:tabs>
          <w:tab w:val="right" w:leader="dot" w:pos="9350"/>
        </w:tabs>
        <w:rPr>
          <w:rStyle w:val="Hyperlink"/>
          <w:noProof/>
        </w:rPr>
      </w:pPr>
    </w:p>
    <w:p w14:paraId="188352AB" w14:textId="77777777" w:rsidR="00C82A70" w:rsidRPr="004A0491" w:rsidRDefault="00C82A70" w:rsidP="00C82A70">
      <w:pPr>
        <w:pStyle w:val="TOC1"/>
        <w:tabs>
          <w:tab w:val="right" w:leader="dot" w:pos="9350"/>
        </w:tabs>
        <w:rPr>
          <w:rStyle w:val="Hyperlink"/>
          <w:noProof/>
        </w:rPr>
      </w:pPr>
    </w:p>
    <w:p w14:paraId="010730C8" w14:textId="77777777" w:rsidR="00C82A70" w:rsidRPr="004A0491" w:rsidRDefault="00C82A70" w:rsidP="00C82A70">
      <w:pPr>
        <w:pStyle w:val="TOC1"/>
        <w:tabs>
          <w:tab w:val="right" w:leader="dot" w:pos="9350"/>
        </w:tabs>
        <w:rPr>
          <w:rStyle w:val="Hyperlink"/>
          <w:noProof/>
        </w:rPr>
      </w:pPr>
      <w:r>
        <w:rPr>
          <w:rStyle w:val="Hyperlink"/>
          <w:noProof/>
        </w:rPr>
        <w:t>Sandra Iulia Ghinescu</w:t>
      </w:r>
    </w:p>
    <w:p w14:paraId="0BE72726" w14:textId="77777777" w:rsidR="00C82A70" w:rsidRPr="00B93DA1" w:rsidRDefault="00C82A70" w:rsidP="00C82A70">
      <w:pPr>
        <w:pStyle w:val="TOC1"/>
        <w:tabs>
          <w:tab w:val="right" w:leader="dot" w:pos="9350"/>
        </w:tabs>
        <w:rPr>
          <w:rStyle w:val="Hyperlink"/>
          <w:noProof/>
        </w:rPr>
      </w:pPr>
      <w:r w:rsidRPr="00B93DA1">
        <w:rPr>
          <w:rStyle w:val="Hyperlink"/>
          <w:noProof/>
        </w:rPr>
        <w:t>2</w:t>
      </w:r>
      <w:r>
        <w:rPr>
          <w:rStyle w:val="Hyperlink"/>
          <w:noProof/>
        </w:rPr>
        <w:t>118454</w:t>
      </w:r>
    </w:p>
    <w:p w14:paraId="1252851C" w14:textId="77777777" w:rsidR="00C82A70" w:rsidRDefault="00C82A70" w:rsidP="00C82A70">
      <w:pPr>
        <w:spacing w:after="200" w:line="480" w:lineRule="auto"/>
        <w:rPr>
          <w:rFonts w:ascii="Times New Roman" w:eastAsia="Times New Roman" w:hAnsi="Times New Roman" w:cs="Times New Roman"/>
          <w:b/>
          <w:sz w:val="36"/>
          <w:szCs w:val="36"/>
        </w:rPr>
      </w:pPr>
    </w:p>
    <w:p w14:paraId="7AEF1F3C" w14:textId="77777777" w:rsidR="00C82A70" w:rsidRDefault="00C82A70" w:rsidP="00704994">
      <w:pPr>
        <w:spacing w:after="200" w:line="480" w:lineRule="auto"/>
        <w:jc w:val="center"/>
        <w:rPr>
          <w:rFonts w:ascii="Times New Roman" w:eastAsia="Times New Roman" w:hAnsi="Times New Roman" w:cs="Times New Roman"/>
          <w:b/>
          <w:sz w:val="36"/>
          <w:szCs w:val="36"/>
        </w:rPr>
      </w:pPr>
    </w:p>
    <w:p w14:paraId="64721BEB" w14:textId="77777777" w:rsidR="00C82A70" w:rsidRDefault="00C82A70" w:rsidP="00704994">
      <w:pPr>
        <w:spacing w:after="200" w:line="480" w:lineRule="auto"/>
        <w:jc w:val="center"/>
        <w:rPr>
          <w:rFonts w:ascii="Times New Roman" w:eastAsia="Times New Roman" w:hAnsi="Times New Roman" w:cs="Times New Roman"/>
          <w:b/>
          <w:sz w:val="36"/>
          <w:szCs w:val="36"/>
        </w:rPr>
      </w:pPr>
    </w:p>
    <w:p w14:paraId="5FE79A28" w14:textId="77777777" w:rsidR="00C82A70" w:rsidRDefault="00C82A70" w:rsidP="00704994">
      <w:pPr>
        <w:spacing w:after="200" w:line="480" w:lineRule="auto"/>
        <w:jc w:val="center"/>
        <w:rPr>
          <w:rFonts w:ascii="Times New Roman" w:eastAsia="Times New Roman" w:hAnsi="Times New Roman" w:cs="Times New Roman"/>
          <w:b/>
          <w:sz w:val="36"/>
          <w:szCs w:val="36"/>
        </w:rPr>
      </w:pPr>
    </w:p>
    <w:p w14:paraId="0968B870" w14:textId="57E97069" w:rsidR="00C92389" w:rsidRDefault="00C92389" w:rsidP="00C82A70">
      <w:pPr>
        <w:spacing w:after="200" w:line="480" w:lineRule="auto"/>
        <w:jc w:val="center"/>
        <w:rPr>
          <w:rFonts w:ascii="Times New Roman" w:eastAsia="Times New Roman" w:hAnsi="Times New Roman" w:cs="Times New Roman"/>
          <w:b/>
          <w:sz w:val="36"/>
          <w:szCs w:val="36"/>
        </w:rPr>
      </w:pPr>
    </w:p>
    <w:p w14:paraId="117853F1" w14:textId="77777777" w:rsidR="00C92389" w:rsidRDefault="00C92389" w:rsidP="00704994">
      <w:pPr>
        <w:spacing w:line="480" w:lineRule="auto"/>
        <w:jc w:val="center"/>
        <w:rPr>
          <w:rFonts w:ascii="Times New Roman" w:eastAsia="Times New Roman" w:hAnsi="Times New Roman" w:cs="Times New Roman"/>
          <w:b/>
          <w:sz w:val="36"/>
          <w:szCs w:val="36"/>
        </w:rPr>
      </w:pPr>
    </w:p>
    <w:sdt>
      <w:sdtPr>
        <w:rPr>
          <w:rFonts w:ascii="Arial" w:eastAsia="Arial" w:hAnsi="Arial" w:cs="Arial"/>
          <w:color w:val="auto"/>
          <w:sz w:val="22"/>
          <w:szCs w:val="22"/>
          <w:lang w:val="en" w:eastAsia="en-IN"/>
        </w:rPr>
        <w:id w:val="1414436083"/>
        <w:docPartObj>
          <w:docPartGallery w:val="Table of Contents"/>
          <w:docPartUnique/>
        </w:docPartObj>
      </w:sdtPr>
      <w:sdtEndPr>
        <w:rPr>
          <w:b/>
          <w:bCs/>
          <w:noProof/>
        </w:rPr>
      </w:sdtEndPr>
      <w:sdtContent>
        <w:p w14:paraId="4ED04373" w14:textId="77777777" w:rsidR="00AA3C55" w:rsidRPr="00AA3C55" w:rsidRDefault="00D00D10" w:rsidP="00704994">
          <w:pPr>
            <w:pStyle w:val="TOCHeading"/>
            <w:spacing w:line="480" w:lineRule="auto"/>
            <w:jc w:val="center"/>
            <w:rPr>
              <w:rFonts w:ascii="Times New Roman" w:hAnsi="Times New Roman" w:cs="Times New Roman"/>
              <w:b/>
              <w:bCs/>
              <w:color w:val="auto"/>
            </w:rPr>
          </w:pPr>
          <w:r w:rsidRPr="00AA3C55">
            <w:rPr>
              <w:rFonts w:ascii="Times New Roman" w:hAnsi="Times New Roman" w:cs="Times New Roman"/>
              <w:b/>
              <w:bCs/>
              <w:color w:val="auto"/>
            </w:rPr>
            <w:t>Table of Contents</w:t>
          </w:r>
        </w:p>
        <w:p w14:paraId="26B881B6" w14:textId="77777777" w:rsidR="00704994" w:rsidRPr="00704994" w:rsidRDefault="00D00D10" w:rsidP="00704994">
          <w:pPr>
            <w:pStyle w:val="TOC1"/>
            <w:tabs>
              <w:tab w:val="right" w:leader="dot" w:pos="9350"/>
            </w:tabs>
            <w:spacing w:line="480" w:lineRule="auto"/>
            <w:rPr>
              <w:rFonts w:ascii="Times New Roman" w:eastAsiaTheme="minorEastAsia" w:hAnsi="Times New Roman" w:cs="Times New Roman"/>
              <w:noProof/>
              <w:kern w:val="2"/>
              <w:sz w:val="24"/>
              <w:szCs w:val="24"/>
              <w:lang w:val="en-IN"/>
              <w14:ligatures w14:val="standardContextual"/>
            </w:rPr>
          </w:pPr>
          <w:r w:rsidRPr="00704994">
            <w:rPr>
              <w:rFonts w:ascii="Times New Roman" w:hAnsi="Times New Roman" w:cs="Times New Roman"/>
              <w:sz w:val="24"/>
              <w:szCs w:val="24"/>
            </w:rPr>
            <w:fldChar w:fldCharType="begin"/>
          </w:r>
          <w:r w:rsidRPr="00704994">
            <w:rPr>
              <w:rFonts w:ascii="Times New Roman" w:hAnsi="Times New Roman" w:cs="Times New Roman"/>
              <w:sz w:val="24"/>
              <w:szCs w:val="24"/>
            </w:rPr>
            <w:instrText xml:space="preserve"> TOC \o "1-3" \h \z \u </w:instrText>
          </w:r>
          <w:r w:rsidRPr="00704994">
            <w:rPr>
              <w:rFonts w:ascii="Times New Roman" w:hAnsi="Times New Roman" w:cs="Times New Roman"/>
              <w:sz w:val="24"/>
              <w:szCs w:val="24"/>
            </w:rPr>
            <w:fldChar w:fldCharType="separate"/>
          </w:r>
          <w:hyperlink w:anchor="_Toc171102634" w:history="1">
            <w:r w:rsidRPr="00704994">
              <w:rPr>
                <w:rStyle w:val="Hyperlink"/>
                <w:rFonts w:ascii="Times New Roman" w:eastAsia="Times New Roman" w:hAnsi="Times New Roman" w:cs="Times New Roman"/>
                <w:noProof/>
                <w:sz w:val="24"/>
                <w:szCs w:val="24"/>
              </w:rPr>
              <w:t>1. Introduction</w:t>
            </w:r>
            <w:r w:rsidRPr="00704994">
              <w:rPr>
                <w:rFonts w:ascii="Times New Roman" w:hAnsi="Times New Roman" w:cs="Times New Roman"/>
                <w:noProof/>
                <w:webHidden/>
                <w:sz w:val="24"/>
                <w:szCs w:val="24"/>
              </w:rPr>
              <w:tab/>
            </w:r>
            <w:r w:rsidRPr="00704994">
              <w:rPr>
                <w:rFonts w:ascii="Times New Roman" w:hAnsi="Times New Roman" w:cs="Times New Roman"/>
                <w:noProof/>
                <w:webHidden/>
                <w:sz w:val="24"/>
                <w:szCs w:val="24"/>
              </w:rPr>
              <w:fldChar w:fldCharType="begin"/>
            </w:r>
            <w:r w:rsidRPr="00704994">
              <w:rPr>
                <w:rFonts w:ascii="Times New Roman" w:hAnsi="Times New Roman" w:cs="Times New Roman"/>
                <w:noProof/>
                <w:webHidden/>
                <w:sz w:val="24"/>
                <w:szCs w:val="24"/>
              </w:rPr>
              <w:instrText xml:space="preserve"> PAGEREF _Toc171102634 \h </w:instrText>
            </w:r>
            <w:r w:rsidRPr="00704994">
              <w:rPr>
                <w:rFonts w:ascii="Times New Roman" w:hAnsi="Times New Roman" w:cs="Times New Roman"/>
                <w:noProof/>
                <w:webHidden/>
                <w:sz w:val="24"/>
                <w:szCs w:val="24"/>
              </w:rPr>
            </w:r>
            <w:r w:rsidRPr="00704994">
              <w:rPr>
                <w:rFonts w:ascii="Times New Roman" w:hAnsi="Times New Roman" w:cs="Times New Roman"/>
                <w:noProof/>
                <w:webHidden/>
                <w:sz w:val="24"/>
                <w:szCs w:val="24"/>
              </w:rPr>
              <w:fldChar w:fldCharType="separate"/>
            </w:r>
            <w:r w:rsidRPr="00704994">
              <w:rPr>
                <w:rFonts w:ascii="Times New Roman" w:hAnsi="Times New Roman" w:cs="Times New Roman"/>
                <w:noProof/>
                <w:webHidden/>
                <w:sz w:val="24"/>
                <w:szCs w:val="24"/>
              </w:rPr>
              <w:t>3</w:t>
            </w:r>
            <w:r w:rsidRPr="00704994">
              <w:rPr>
                <w:rFonts w:ascii="Times New Roman" w:hAnsi="Times New Roman" w:cs="Times New Roman"/>
                <w:noProof/>
                <w:webHidden/>
                <w:sz w:val="24"/>
                <w:szCs w:val="24"/>
              </w:rPr>
              <w:fldChar w:fldCharType="end"/>
            </w:r>
          </w:hyperlink>
        </w:p>
        <w:p w14:paraId="0F54E6B5" w14:textId="77777777" w:rsidR="00704994" w:rsidRPr="00704994" w:rsidRDefault="00D00D10" w:rsidP="00704994">
          <w:pPr>
            <w:pStyle w:val="TOC1"/>
            <w:tabs>
              <w:tab w:val="right" w:leader="dot" w:pos="9350"/>
            </w:tabs>
            <w:spacing w:line="480" w:lineRule="auto"/>
            <w:rPr>
              <w:rFonts w:ascii="Times New Roman" w:eastAsiaTheme="minorEastAsia" w:hAnsi="Times New Roman" w:cs="Times New Roman"/>
              <w:noProof/>
              <w:kern w:val="2"/>
              <w:sz w:val="24"/>
              <w:szCs w:val="24"/>
              <w:lang w:val="en-IN"/>
              <w14:ligatures w14:val="standardContextual"/>
            </w:rPr>
          </w:pPr>
          <w:hyperlink w:anchor="_Toc171102635" w:history="1">
            <w:r w:rsidRPr="00704994">
              <w:rPr>
                <w:rStyle w:val="Hyperlink"/>
                <w:rFonts w:ascii="Times New Roman" w:eastAsia="Times New Roman" w:hAnsi="Times New Roman" w:cs="Times New Roman"/>
                <w:noProof/>
                <w:sz w:val="24"/>
                <w:szCs w:val="24"/>
              </w:rPr>
              <w:t>2. Key Business and Business Strategies</w:t>
            </w:r>
            <w:r w:rsidRPr="00704994">
              <w:rPr>
                <w:rFonts w:ascii="Times New Roman" w:hAnsi="Times New Roman" w:cs="Times New Roman"/>
                <w:noProof/>
                <w:webHidden/>
                <w:sz w:val="24"/>
                <w:szCs w:val="24"/>
              </w:rPr>
              <w:tab/>
            </w:r>
            <w:r w:rsidRPr="00704994">
              <w:rPr>
                <w:rFonts w:ascii="Times New Roman" w:hAnsi="Times New Roman" w:cs="Times New Roman"/>
                <w:noProof/>
                <w:webHidden/>
                <w:sz w:val="24"/>
                <w:szCs w:val="24"/>
              </w:rPr>
              <w:fldChar w:fldCharType="begin"/>
            </w:r>
            <w:r w:rsidRPr="00704994">
              <w:rPr>
                <w:rFonts w:ascii="Times New Roman" w:hAnsi="Times New Roman" w:cs="Times New Roman"/>
                <w:noProof/>
                <w:webHidden/>
                <w:sz w:val="24"/>
                <w:szCs w:val="24"/>
              </w:rPr>
              <w:instrText xml:space="preserve"> PAGEREF _Toc171102635 \h </w:instrText>
            </w:r>
            <w:r w:rsidRPr="00704994">
              <w:rPr>
                <w:rFonts w:ascii="Times New Roman" w:hAnsi="Times New Roman" w:cs="Times New Roman"/>
                <w:noProof/>
                <w:webHidden/>
                <w:sz w:val="24"/>
                <w:szCs w:val="24"/>
              </w:rPr>
            </w:r>
            <w:r w:rsidRPr="00704994">
              <w:rPr>
                <w:rFonts w:ascii="Times New Roman" w:hAnsi="Times New Roman" w:cs="Times New Roman"/>
                <w:noProof/>
                <w:webHidden/>
                <w:sz w:val="24"/>
                <w:szCs w:val="24"/>
              </w:rPr>
              <w:fldChar w:fldCharType="separate"/>
            </w:r>
            <w:r w:rsidRPr="00704994">
              <w:rPr>
                <w:rFonts w:ascii="Times New Roman" w:hAnsi="Times New Roman" w:cs="Times New Roman"/>
                <w:noProof/>
                <w:webHidden/>
                <w:sz w:val="24"/>
                <w:szCs w:val="24"/>
              </w:rPr>
              <w:t>4</w:t>
            </w:r>
            <w:r w:rsidRPr="00704994">
              <w:rPr>
                <w:rFonts w:ascii="Times New Roman" w:hAnsi="Times New Roman" w:cs="Times New Roman"/>
                <w:noProof/>
                <w:webHidden/>
                <w:sz w:val="24"/>
                <w:szCs w:val="24"/>
              </w:rPr>
              <w:fldChar w:fldCharType="end"/>
            </w:r>
          </w:hyperlink>
        </w:p>
        <w:p w14:paraId="47235B16" w14:textId="77777777" w:rsidR="00704994" w:rsidRPr="00704994" w:rsidRDefault="00D00D10" w:rsidP="00704994">
          <w:pPr>
            <w:pStyle w:val="TOC1"/>
            <w:tabs>
              <w:tab w:val="right" w:leader="dot" w:pos="9350"/>
            </w:tabs>
            <w:spacing w:line="480" w:lineRule="auto"/>
            <w:rPr>
              <w:rFonts w:ascii="Times New Roman" w:eastAsiaTheme="minorEastAsia" w:hAnsi="Times New Roman" w:cs="Times New Roman"/>
              <w:noProof/>
              <w:kern w:val="2"/>
              <w:sz w:val="24"/>
              <w:szCs w:val="24"/>
              <w:lang w:val="en-IN"/>
              <w14:ligatures w14:val="standardContextual"/>
            </w:rPr>
          </w:pPr>
          <w:hyperlink w:anchor="_Toc171102636" w:history="1">
            <w:r w:rsidRPr="00704994">
              <w:rPr>
                <w:rStyle w:val="Hyperlink"/>
                <w:rFonts w:ascii="Times New Roman" w:eastAsia="Times New Roman" w:hAnsi="Times New Roman" w:cs="Times New Roman"/>
                <w:noProof/>
                <w:sz w:val="24"/>
                <w:szCs w:val="24"/>
              </w:rPr>
              <w:t>3. Capabilities and Resource</w:t>
            </w:r>
            <w:r w:rsidRPr="00704994">
              <w:rPr>
                <w:rFonts w:ascii="Times New Roman" w:hAnsi="Times New Roman" w:cs="Times New Roman"/>
                <w:noProof/>
                <w:webHidden/>
                <w:sz w:val="24"/>
                <w:szCs w:val="24"/>
              </w:rPr>
              <w:tab/>
            </w:r>
            <w:r w:rsidRPr="00704994">
              <w:rPr>
                <w:rFonts w:ascii="Times New Roman" w:hAnsi="Times New Roman" w:cs="Times New Roman"/>
                <w:noProof/>
                <w:webHidden/>
                <w:sz w:val="24"/>
                <w:szCs w:val="24"/>
              </w:rPr>
              <w:fldChar w:fldCharType="begin"/>
            </w:r>
            <w:r w:rsidRPr="00704994">
              <w:rPr>
                <w:rFonts w:ascii="Times New Roman" w:hAnsi="Times New Roman" w:cs="Times New Roman"/>
                <w:noProof/>
                <w:webHidden/>
                <w:sz w:val="24"/>
                <w:szCs w:val="24"/>
              </w:rPr>
              <w:instrText xml:space="preserve"> PAGEREF _Toc171102636 \h </w:instrText>
            </w:r>
            <w:r w:rsidRPr="00704994">
              <w:rPr>
                <w:rFonts w:ascii="Times New Roman" w:hAnsi="Times New Roman" w:cs="Times New Roman"/>
                <w:noProof/>
                <w:webHidden/>
                <w:sz w:val="24"/>
                <w:szCs w:val="24"/>
              </w:rPr>
            </w:r>
            <w:r w:rsidRPr="00704994">
              <w:rPr>
                <w:rFonts w:ascii="Times New Roman" w:hAnsi="Times New Roman" w:cs="Times New Roman"/>
                <w:noProof/>
                <w:webHidden/>
                <w:sz w:val="24"/>
                <w:szCs w:val="24"/>
              </w:rPr>
              <w:fldChar w:fldCharType="separate"/>
            </w:r>
            <w:r w:rsidRPr="00704994">
              <w:rPr>
                <w:rFonts w:ascii="Times New Roman" w:hAnsi="Times New Roman" w:cs="Times New Roman"/>
                <w:noProof/>
                <w:webHidden/>
                <w:sz w:val="24"/>
                <w:szCs w:val="24"/>
              </w:rPr>
              <w:t>6</w:t>
            </w:r>
            <w:r w:rsidRPr="00704994">
              <w:rPr>
                <w:rFonts w:ascii="Times New Roman" w:hAnsi="Times New Roman" w:cs="Times New Roman"/>
                <w:noProof/>
                <w:webHidden/>
                <w:sz w:val="24"/>
                <w:szCs w:val="24"/>
              </w:rPr>
              <w:fldChar w:fldCharType="end"/>
            </w:r>
          </w:hyperlink>
        </w:p>
        <w:p w14:paraId="326A30B6" w14:textId="77777777" w:rsidR="00704994" w:rsidRPr="00704994" w:rsidRDefault="00D00D10" w:rsidP="00704994">
          <w:pPr>
            <w:pStyle w:val="TOC1"/>
            <w:tabs>
              <w:tab w:val="right" w:leader="dot" w:pos="9350"/>
            </w:tabs>
            <w:spacing w:line="480" w:lineRule="auto"/>
            <w:rPr>
              <w:rFonts w:ascii="Times New Roman" w:eastAsiaTheme="minorEastAsia" w:hAnsi="Times New Roman" w:cs="Times New Roman"/>
              <w:noProof/>
              <w:kern w:val="2"/>
              <w:sz w:val="24"/>
              <w:szCs w:val="24"/>
              <w:lang w:val="en-IN"/>
              <w14:ligatures w14:val="standardContextual"/>
            </w:rPr>
          </w:pPr>
          <w:hyperlink w:anchor="_Toc171102637" w:history="1">
            <w:r w:rsidRPr="00704994">
              <w:rPr>
                <w:rStyle w:val="Hyperlink"/>
                <w:rFonts w:ascii="Times New Roman" w:eastAsia="Times New Roman" w:hAnsi="Times New Roman" w:cs="Times New Roman"/>
                <w:noProof/>
                <w:sz w:val="24"/>
                <w:szCs w:val="24"/>
              </w:rPr>
              <w:t xml:space="preserve">4. Competitive advantage and strategy </w:t>
            </w:r>
            <w:r w:rsidRPr="00704994">
              <w:rPr>
                <w:rStyle w:val="Hyperlink"/>
                <w:rFonts w:ascii="Times New Roman" w:eastAsia="Times New Roman" w:hAnsi="Times New Roman" w:cs="Times New Roman"/>
                <w:noProof/>
                <w:sz w:val="24"/>
                <w:szCs w:val="24"/>
              </w:rPr>
              <w:t>implementation</w:t>
            </w:r>
            <w:r w:rsidRPr="00704994">
              <w:rPr>
                <w:rFonts w:ascii="Times New Roman" w:hAnsi="Times New Roman" w:cs="Times New Roman"/>
                <w:noProof/>
                <w:webHidden/>
                <w:sz w:val="24"/>
                <w:szCs w:val="24"/>
              </w:rPr>
              <w:tab/>
            </w:r>
            <w:r w:rsidRPr="00704994">
              <w:rPr>
                <w:rFonts w:ascii="Times New Roman" w:hAnsi="Times New Roman" w:cs="Times New Roman"/>
                <w:noProof/>
                <w:webHidden/>
                <w:sz w:val="24"/>
                <w:szCs w:val="24"/>
              </w:rPr>
              <w:fldChar w:fldCharType="begin"/>
            </w:r>
            <w:r w:rsidRPr="00704994">
              <w:rPr>
                <w:rFonts w:ascii="Times New Roman" w:hAnsi="Times New Roman" w:cs="Times New Roman"/>
                <w:noProof/>
                <w:webHidden/>
                <w:sz w:val="24"/>
                <w:szCs w:val="24"/>
              </w:rPr>
              <w:instrText xml:space="preserve"> PAGEREF _Toc171102637 \h </w:instrText>
            </w:r>
            <w:r w:rsidRPr="00704994">
              <w:rPr>
                <w:rFonts w:ascii="Times New Roman" w:hAnsi="Times New Roman" w:cs="Times New Roman"/>
                <w:noProof/>
                <w:webHidden/>
                <w:sz w:val="24"/>
                <w:szCs w:val="24"/>
              </w:rPr>
            </w:r>
            <w:r w:rsidRPr="00704994">
              <w:rPr>
                <w:rFonts w:ascii="Times New Roman" w:hAnsi="Times New Roman" w:cs="Times New Roman"/>
                <w:noProof/>
                <w:webHidden/>
                <w:sz w:val="24"/>
                <w:szCs w:val="24"/>
              </w:rPr>
              <w:fldChar w:fldCharType="separate"/>
            </w:r>
            <w:r w:rsidRPr="00704994">
              <w:rPr>
                <w:rFonts w:ascii="Times New Roman" w:hAnsi="Times New Roman" w:cs="Times New Roman"/>
                <w:noProof/>
                <w:webHidden/>
                <w:sz w:val="24"/>
                <w:szCs w:val="24"/>
              </w:rPr>
              <w:t>10</w:t>
            </w:r>
            <w:r w:rsidRPr="00704994">
              <w:rPr>
                <w:rFonts w:ascii="Times New Roman" w:hAnsi="Times New Roman" w:cs="Times New Roman"/>
                <w:noProof/>
                <w:webHidden/>
                <w:sz w:val="24"/>
                <w:szCs w:val="24"/>
              </w:rPr>
              <w:fldChar w:fldCharType="end"/>
            </w:r>
          </w:hyperlink>
        </w:p>
        <w:p w14:paraId="2EDB882A" w14:textId="77777777" w:rsidR="00704994" w:rsidRPr="00704994" w:rsidRDefault="00D00D10" w:rsidP="00704994">
          <w:pPr>
            <w:pStyle w:val="TOC1"/>
            <w:tabs>
              <w:tab w:val="right" w:leader="dot" w:pos="9350"/>
            </w:tabs>
            <w:spacing w:line="480" w:lineRule="auto"/>
            <w:rPr>
              <w:rFonts w:ascii="Times New Roman" w:eastAsiaTheme="minorEastAsia" w:hAnsi="Times New Roman" w:cs="Times New Roman"/>
              <w:noProof/>
              <w:kern w:val="2"/>
              <w:sz w:val="24"/>
              <w:szCs w:val="24"/>
              <w:lang w:val="en-IN"/>
              <w14:ligatures w14:val="standardContextual"/>
            </w:rPr>
          </w:pPr>
          <w:hyperlink w:anchor="_Toc171102638" w:history="1">
            <w:r w:rsidRPr="00704994">
              <w:rPr>
                <w:rStyle w:val="Hyperlink"/>
                <w:rFonts w:ascii="Times New Roman" w:eastAsia="Times New Roman" w:hAnsi="Times New Roman" w:cs="Times New Roman"/>
                <w:noProof/>
                <w:sz w:val="24"/>
                <w:szCs w:val="24"/>
              </w:rPr>
              <w:t>5. Sustainability and environmental considerations</w:t>
            </w:r>
            <w:r w:rsidRPr="00704994">
              <w:rPr>
                <w:rFonts w:ascii="Times New Roman" w:hAnsi="Times New Roman" w:cs="Times New Roman"/>
                <w:noProof/>
                <w:webHidden/>
                <w:sz w:val="24"/>
                <w:szCs w:val="24"/>
              </w:rPr>
              <w:tab/>
            </w:r>
            <w:r w:rsidRPr="00704994">
              <w:rPr>
                <w:rFonts w:ascii="Times New Roman" w:hAnsi="Times New Roman" w:cs="Times New Roman"/>
                <w:noProof/>
                <w:webHidden/>
                <w:sz w:val="24"/>
                <w:szCs w:val="24"/>
              </w:rPr>
              <w:fldChar w:fldCharType="begin"/>
            </w:r>
            <w:r w:rsidRPr="00704994">
              <w:rPr>
                <w:rFonts w:ascii="Times New Roman" w:hAnsi="Times New Roman" w:cs="Times New Roman"/>
                <w:noProof/>
                <w:webHidden/>
                <w:sz w:val="24"/>
                <w:szCs w:val="24"/>
              </w:rPr>
              <w:instrText xml:space="preserve"> PAGEREF _Toc171102638 \h </w:instrText>
            </w:r>
            <w:r w:rsidRPr="00704994">
              <w:rPr>
                <w:rFonts w:ascii="Times New Roman" w:hAnsi="Times New Roman" w:cs="Times New Roman"/>
                <w:noProof/>
                <w:webHidden/>
                <w:sz w:val="24"/>
                <w:szCs w:val="24"/>
              </w:rPr>
            </w:r>
            <w:r w:rsidRPr="00704994">
              <w:rPr>
                <w:rFonts w:ascii="Times New Roman" w:hAnsi="Times New Roman" w:cs="Times New Roman"/>
                <w:noProof/>
                <w:webHidden/>
                <w:sz w:val="24"/>
                <w:szCs w:val="24"/>
              </w:rPr>
              <w:fldChar w:fldCharType="separate"/>
            </w:r>
            <w:r w:rsidRPr="00704994">
              <w:rPr>
                <w:rFonts w:ascii="Times New Roman" w:hAnsi="Times New Roman" w:cs="Times New Roman"/>
                <w:noProof/>
                <w:webHidden/>
                <w:sz w:val="24"/>
                <w:szCs w:val="24"/>
              </w:rPr>
              <w:t>11</w:t>
            </w:r>
            <w:r w:rsidRPr="00704994">
              <w:rPr>
                <w:rFonts w:ascii="Times New Roman" w:hAnsi="Times New Roman" w:cs="Times New Roman"/>
                <w:noProof/>
                <w:webHidden/>
                <w:sz w:val="24"/>
                <w:szCs w:val="24"/>
              </w:rPr>
              <w:fldChar w:fldCharType="end"/>
            </w:r>
          </w:hyperlink>
        </w:p>
        <w:p w14:paraId="37038920" w14:textId="77777777" w:rsidR="00704994" w:rsidRPr="00704994" w:rsidRDefault="00D00D10" w:rsidP="00704994">
          <w:pPr>
            <w:pStyle w:val="TOC1"/>
            <w:tabs>
              <w:tab w:val="right" w:leader="dot" w:pos="9350"/>
            </w:tabs>
            <w:spacing w:line="480" w:lineRule="auto"/>
            <w:rPr>
              <w:rFonts w:ascii="Times New Roman" w:eastAsiaTheme="minorEastAsia" w:hAnsi="Times New Roman" w:cs="Times New Roman"/>
              <w:noProof/>
              <w:kern w:val="2"/>
              <w:sz w:val="24"/>
              <w:szCs w:val="24"/>
              <w:lang w:val="en-IN"/>
              <w14:ligatures w14:val="standardContextual"/>
            </w:rPr>
          </w:pPr>
          <w:hyperlink w:anchor="_Toc171102639" w:history="1">
            <w:r w:rsidRPr="00704994">
              <w:rPr>
                <w:rStyle w:val="Hyperlink"/>
                <w:rFonts w:ascii="Times New Roman" w:eastAsia="Times New Roman" w:hAnsi="Times New Roman" w:cs="Times New Roman"/>
                <w:noProof/>
                <w:sz w:val="24"/>
                <w:szCs w:val="24"/>
              </w:rPr>
              <w:t>6. Future strategic directions</w:t>
            </w:r>
            <w:r w:rsidRPr="00704994">
              <w:rPr>
                <w:rFonts w:ascii="Times New Roman" w:hAnsi="Times New Roman" w:cs="Times New Roman"/>
                <w:noProof/>
                <w:webHidden/>
                <w:sz w:val="24"/>
                <w:szCs w:val="24"/>
              </w:rPr>
              <w:tab/>
            </w:r>
            <w:r w:rsidRPr="00704994">
              <w:rPr>
                <w:rFonts w:ascii="Times New Roman" w:hAnsi="Times New Roman" w:cs="Times New Roman"/>
                <w:noProof/>
                <w:webHidden/>
                <w:sz w:val="24"/>
                <w:szCs w:val="24"/>
              </w:rPr>
              <w:fldChar w:fldCharType="begin"/>
            </w:r>
            <w:r w:rsidRPr="00704994">
              <w:rPr>
                <w:rFonts w:ascii="Times New Roman" w:hAnsi="Times New Roman" w:cs="Times New Roman"/>
                <w:noProof/>
                <w:webHidden/>
                <w:sz w:val="24"/>
                <w:szCs w:val="24"/>
              </w:rPr>
              <w:instrText xml:space="preserve"> PAGEREF _Toc171102639 \h </w:instrText>
            </w:r>
            <w:r w:rsidRPr="00704994">
              <w:rPr>
                <w:rFonts w:ascii="Times New Roman" w:hAnsi="Times New Roman" w:cs="Times New Roman"/>
                <w:noProof/>
                <w:webHidden/>
                <w:sz w:val="24"/>
                <w:szCs w:val="24"/>
              </w:rPr>
            </w:r>
            <w:r w:rsidRPr="00704994">
              <w:rPr>
                <w:rFonts w:ascii="Times New Roman" w:hAnsi="Times New Roman" w:cs="Times New Roman"/>
                <w:noProof/>
                <w:webHidden/>
                <w:sz w:val="24"/>
                <w:szCs w:val="24"/>
              </w:rPr>
              <w:fldChar w:fldCharType="separate"/>
            </w:r>
            <w:r w:rsidRPr="00704994">
              <w:rPr>
                <w:rFonts w:ascii="Times New Roman" w:hAnsi="Times New Roman" w:cs="Times New Roman"/>
                <w:noProof/>
                <w:webHidden/>
                <w:sz w:val="24"/>
                <w:szCs w:val="24"/>
              </w:rPr>
              <w:t>13</w:t>
            </w:r>
            <w:r w:rsidRPr="00704994">
              <w:rPr>
                <w:rFonts w:ascii="Times New Roman" w:hAnsi="Times New Roman" w:cs="Times New Roman"/>
                <w:noProof/>
                <w:webHidden/>
                <w:sz w:val="24"/>
                <w:szCs w:val="24"/>
              </w:rPr>
              <w:fldChar w:fldCharType="end"/>
            </w:r>
          </w:hyperlink>
        </w:p>
        <w:p w14:paraId="1DB0709C" w14:textId="77777777" w:rsidR="00704994" w:rsidRPr="00704994" w:rsidRDefault="00D00D10" w:rsidP="00704994">
          <w:pPr>
            <w:pStyle w:val="TOC1"/>
            <w:tabs>
              <w:tab w:val="right" w:leader="dot" w:pos="9350"/>
            </w:tabs>
            <w:spacing w:line="480" w:lineRule="auto"/>
            <w:rPr>
              <w:rFonts w:ascii="Times New Roman" w:eastAsiaTheme="minorEastAsia" w:hAnsi="Times New Roman" w:cs="Times New Roman"/>
              <w:noProof/>
              <w:kern w:val="2"/>
              <w:sz w:val="24"/>
              <w:szCs w:val="24"/>
              <w:lang w:val="en-IN"/>
              <w14:ligatures w14:val="standardContextual"/>
            </w:rPr>
          </w:pPr>
          <w:hyperlink w:anchor="_Toc171102640" w:history="1">
            <w:r w:rsidRPr="00704994">
              <w:rPr>
                <w:rStyle w:val="Hyperlink"/>
                <w:rFonts w:ascii="Times New Roman" w:eastAsia="Times New Roman" w:hAnsi="Times New Roman" w:cs="Times New Roman"/>
                <w:noProof/>
                <w:sz w:val="24"/>
                <w:szCs w:val="24"/>
              </w:rPr>
              <w:t>7. Conclusion</w:t>
            </w:r>
            <w:r w:rsidRPr="00704994">
              <w:rPr>
                <w:rFonts w:ascii="Times New Roman" w:hAnsi="Times New Roman" w:cs="Times New Roman"/>
                <w:noProof/>
                <w:webHidden/>
                <w:sz w:val="24"/>
                <w:szCs w:val="24"/>
              </w:rPr>
              <w:tab/>
            </w:r>
            <w:r w:rsidRPr="00704994">
              <w:rPr>
                <w:rFonts w:ascii="Times New Roman" w:hAnsi="Times New Roman" w:cs="Times New Roman"/>
                <w:noProof/>
                <w:webHidden/>
                <w:sz w:val="24"/>
                <w:szCs w:val="24"/>
              </w:rPr>
              <w:fldChar w:fldCharType="begin"/>
            </w:r>
            <w:r w:rsidRPr="00704994">
              <w:rPr>
                <w:rFonts w:ascii="Times New Roman" w:hAnsi="Times New Roman" w:cs="Times New Roman"/>
                <w:noProof/>
                <w:webHidden/>
                <w:sz w:val="24"/>
                <w:szCs w:val="24"/>
              </w:rPr>
              <w:instrText xml:space="preserve"> PAGEREF _Toc171102640 \h </w:instrText>
            </w:r>
            <w:r w:rsidRPr="00704994">
              <w:rPr>
                <w:rFonts w:ascii="Times New Roman" w:hAnsi="Times New Roman" w:cs="Times New Roman"/>
                <w:noProof/>
                <w:webHidden/>
                <w:sz w:val="24"/>
                <w:szCs w:val="24"/>
              </w:rPr>
            </w:r>
            <w:r w:rsidRPr="00704994">
              <w:rPr>
                <w:rFonts w:ascii="Times New Roman" w:hAnsi="Times New Roman" w:cs="Times New Roman"/>
                <w:noProof/>
                <w:webHidden/>
                <w:sz w:val="24"/>
                <w:szCs w:val="24"/>
              </w:rPr>
              <w:fldChar w:fldCharType="separate"/>
            </w:r>
            <w:r w:rsidRPr="00704994">
              <w:rPr>
                <w:rFonts w:ascii="Times New Roman" w:hAnsi="Times New Roman" w:cs="Times New Roman"/>
                <w:noProof/>
                <w:webHidden/>
                <w:sz w:val="24"/>
                <w:szCs w:val="24"/>
              </w:rPr>
              <w:t>15</w:t>
            </w:r>
            <w:r w:rsidRPr="00704994">
              <w:rPr>
                <w:rFonts w:ascii="Times New Roman" w:hAnsi="Times New Roman" w:cs="Times New Roman"/>
                <w:noProof/>
                <w:webHidden/>
                <w:sz w:val="24"/>
                <w:szCs w:val="24"/>
              </w:rPr>
              <w:fldChar w:fldCharType="end"/>
            </w:r>
          </w:hyperlink>
        </w:p>
        <w:p w14:paraId="14DCDE4D" w14:textId="77777777" w:rsidR="00704994" w:rsidRPr="00704994" w:rsidRDefault="00D00D10" w:rsidP="00704994">
          <w:pPr>
            <w:pStyle w:val="TOC1"/>
            <w:tabs>
              <w:tab w:val="right" w:leader="dot" w:pos="9350"/>
            </w:tabs>
            <w:spacing w:line="480" w:lineRule="auto"/>
            <w:rPr>
              <w:rFonts w:ascii="Times New Roman" w:eastAsiaTheme="minorEastAsia" w:hAnsi="Times New Roman" w:cs="Times New Roman"/>
              <w:noProof/>
              <w:kern w:val="2"/>
              <w:sz w:val="24"/>
              <w:szCs w:val="24"/>
              <w:lang w:val="en-IN"/>
              <w14:ligatures w14:val="standardContextual"/>
            </w:rPr>
          </w:pPr>
          <w:hyperlink w:anchor="_Toc171102641" w:history="1">
            <w:r w:rsidRPr="00704994">
              <w:rPr>
                <w:rStyle w:val="Hyperlink"/>
                <w:rFonts w:ascii="Times New Roman" w:eastAsia="Times New Roman" w:hAnsi="Times New Roman" w:cs="Times New Roman"/>
                <w:noProof/>
                <w:sz w:val="24"/>
                <w:szCs w:val="24"/>
              </w:rPr>
              <w:t>8. References</w:t>
            </w:r>
            <w:r w:rsidRPr="00704994">
              <w:rPr>
                <w:rFonts w:ascii="Times New Roman" w:hAnsi="Times New Roman" w:cs="Times New Roman"/>
                <w:noProof/>
                <w:webHidden/>
                <w:sz w:val="24"/>
                <w:szCs w:val="24"/>
              </w:rPr>
              <w:tab/>
            </w:r>
            <w:r w:rsidRPr="00704994">
              <w:rPr>
                <w:rFonts w:ascii="Times New Roman" w:hAnsi="Times New Roman" w:cs="Times New Roman"/>
                <w:noProof/>
                <w:webHidden/>
                <w:sz w:val="24"/>
                <w:szCs w:val="24"/>
              </w:rPr>
              <w:fldChar w:fldCharType="begin"/>
            </w:r>
            <w:r w:rsidRPr="00704994">
              <w:rPr>
                <w:rFonts w:ascii="Times New Roman" w:hAnsi="Times New Roman" w:cs="Times New Roman"/>
                <w:noProof/>
                <w:webHidden/>
                <w:sz w:val="24"/>
                <w:szCs w:val="24"/>
              </w:rPr>
              <w:instrText xml:space="preserve"> PAGEREF _Toc171102641 \h </w:instrText>
            </w:r>
            <w:r w:rsidRPr="00704994">
              <w:rPr>
                <w:rFonts w:ascii="Times New Roman" w:hAnsi="Times New Roman" w:cs="Times New Roman"/>
                <w:noProof/>
                <w:webHidden/>
                <w:sz w:val="24"/>
                <w:szCs w:val="24"/>
              </w:rPr>
            </w:r>
            <w:r w:rsidRPr="00704994">
              <w:rPr>
                <w:rFonts w:ascii="Times New Roman" w:hAnsi="Times New Roman" w:cs="Times New Roman"/>
                <w:noProof/>
                <w:webHidden/>
                <w:sz w:val="24"/>
                <w:szCs w:val="24"/>
              </w:rPr>
              <w:fldChar w:fldCharType="separate"/>
            </w:r>
            <w:r w:rsidRPr="00704994">
              <w:rPr>
                <w:rFonts w:ascii="Times New Roman" w:hAnsi="Times New Roman" w:cs="Times New Roman"/>
                <w:noProof/>
                <w:webHidden/>
                <w:sz w:val="24"/>
                <w:szCs w:val="24"/>
              </w:rPr>
              <w:t>16</w:t>
            </w:r>
            <w:r w:rsidRPr="00704994">
              <w:rPr>
                <w:rFonts w:ascii="Times New Roman" w:hAnsi="Times New Roman" w:cs="Times New Roman"/>
                <w:noProof/>
                <w:webHidden/>
                <w:sz w:val="24"/>
                <w:szCs w:val="24"/>
              </w:rPr>
              <w:fldChar w:fldCharType="end"/>
            </w:r>
          </w:hyperlink>
        </w:p>
        <w:p w14:paraId="7848EA57" w14:textId="77777777" w:rsidR="00704994" w:rsidRPr="00704994" w:rsidRDefault="00D00D10" w:rsidP="00704994">
          <w:pPr>
            <w:pStyle w:val="TOC1"/>
            <w:tabs>
              <w:tab w:val="right" w:leader="dot" w:pos="9350"/>
            </w:tabs>
            <w:spacing w:line="480" w:lineRule="auto"/>
            <w:rPr>
              <w:rFonts w:ascii="Times New Roman" w:eastAsiaTheme="minorEastAsia" w:hAnsi="Times New Roman" w:cs="Times New Roman"/>
              <w:noProof/>
              <w:kern w:val="2"/>
              <w:sz w:val="24"/>
              <w:szCs w:val="24"/>
              <w:lang w:val="en-IN"/>
              <w14:ligatures w14:val="standardContextual"/>
            </w:rPr>
          </w:pPr>
          <w:hyperlink w:anchor="_Toc171102642" w:history="1">
            <w:r w:rsidRPr="00704994">
              <w:rPr>
                <w:rStyle w:val="Hyperlink"/>
                <w:rFonts w:ascii="Times New Roman" w:eastAsia="Times New Roman" w:hAnsi="Times New Roman" w:cs="Times New Roman"/>
                <w:noProof/>
                <w:sz w:val="24"/>
                <w:szCs w:val="24"/>
              </w:rPr>
              <w:t>9. Appendix</w:t>
            </w:r>
            <w:r w:rsidRPr="00704994">
              <w:rPr>
                <w:rFonts w:ascii="Times New Roman" w:hAnsi="Times New Roman" w:cs="Times New Roman"/>
                <w:noProof/>
                <w:webHidden/>
                <w:sz w:val="24"/>
                <w:szCs w:val="24"/>
              </w:rPr>
              <w:tab/>
            </w:r>
            <w:r w:rsidRPr="00704994">
              <w:rPr>
                <w:rFonts w:ascii="Times New Roman" w:hAnsi="Times New Roman" w:cs="Times New Roman"/>
                <w:noProof/>
                <w:webHidden/>
                <w:sz w:val="24"/>
                <w:szCs w:val="24"/>
              </w:rPr>
              <w:fldChar w:fldCharType="begin"/>
            </w:r>
            <w:r w:rsidRPr="00704994">
              <w:rPr>
                <w:rFonts w:ascii="Times New Roman" w:hAnsi="Times New Roman" w:cs="Times New Roman"/>
                <w:noProof/>
                <w:webHidden/>
                <w:sz w:val="24"/>
                <w:szCs w:val="24"/>
              </w:rPr>
              <w:instrText xml:space="preserve"> PAGEREF _Toc171102642 \h </w:instrText>
            </w:r>
            <w:r w:rsidRPr="00704994">
              <w:rPr>
                <w:rFonts w:ascii="Times New Roman" w:hAnsi="Times New Roman" w:cs="Times New Roman"/>
                <w:noProof/>
                <w:webHidden/>
                <w:sz w:val="24"/>
                <w:szCs w:val="24"/>
              </w:rPr>
            </w:r>
            <w:r w:rsidRPr="00704994">
              <w:rPr>
                <w:rFonts w:ascii="Times New Roman" w:hAnsi="Times New Roman" w:cs="Times New Roman"/>
                <w:noProof/>
                <w:webHidden/>
                <w:sz w:val="24"/>
                <w:szCs w:val="24"/>
              </w:rPr>
              <w:fldChar w:fldCharType="separate"/>
            </w:r>
            <w:r w:rsidRPr="00704994">
              <w:rPr>
                <w:rFonts w:ascii="Times New Roman" w:hAnsi="Times New Roman" w:cs="Times New Roman"/>
                <w:noProof/>
                <w:webHidden/>
                <w:sz w:val="24"/>
                <w:szCs w:val="24"/>
              </w:rPr>
              <w:t>20</w:t>
            </w:r>
            <w:r w:rsidRPr="00704994">
              <w:rPr>
                <w:rFonts w:ascii="Times New Roman" w:hAnsi="Times New Roman" w:cs="Times New Roman"/>
                <w:noProof/>
                <w:webHidden/>
                <w:sz w:val="24"/>
                <w:szCs w:val="24"/>
              </w:rPr>
              <w:fldChar w:fldCharType="end"/>
            </w:r>
          </w:hyperlink>
        </w:p>
        <w:p w14:paraId="2052F88E" w14:textId="77777777" w:rsidR="00AA3C55" w:rsidRDefault="00D00D10" w:rsidP="00704994">
          <w:pPr>
            <w:spacing w:line="480" w:lineRule="auto"/>
          </w:pPr>
          <w:r w:rsidRPr="00704994">
            <w:rPr>
              <w:rFonts w:ascii="Times New Roman" w:hAnsi="Times New Roman" w:cs="Times New Roman"/>
              <w:noProof/>
              <w:sz w:val="24"/>
              <w:szCs w:val="24"/>
            </w:rPr>
            <w:fldChar w:fldCharType="end"/>
          </w:r>
        </w:p>
      </w:sdtContent>
    </w:sdt>
    <w:p w14:paraId="2A161742" w14:textId="77777777" w:rsidR="00C92389" w:rsidRDefault="00D00D10" w:rsidP="00704994">
      <w:pPr>
        <w:spacing w:after="240" w:line="480" w:lineRule="auto"/>
        <w:jc w:val="both"/>
        <w:rPr>
          <w:rFonts w:ascii="Times New Roman" w:eastAsia="Times New Roman" w:hAnsi="Times New Roman" w:cs="Times New Roman"/>
          <w:sz w:val="24"/>
          <w:szCs w:val="24"/>
        </w:rPr>
      </w:pPr>
      <w:r>
        <w:br w:type="page"/>
      </w:r>
    </w:p>
    <w:p w14:paraId="2C87173E" w14:textId="77777777" w:rsidR="00C92389" w:rsidRDefault="00D00D10" w:rsidP="00704994">
      <w:pPr>
        <w:pStyle w:val="Heading1"/>
        <w:spacing w:after="240" w:line="480" w:lineRule="auto"/>
        <w:jc w:val="both"/>
        <w:rPr>
          <w:rFonts w:ascii="Times New Roman" w:eastAsia="Times New Roman" w:hAnsi="Times New Roman" w:cs="Times New Roman"/>
          <w:b/>
          <w:sz w:val="28"/>
          <w:szCs w:val="28"/>
        </w:rPr>
      </w:pPr>
      <w:bookmarkStart w:id="0" w:name="_l9eu6vj7f9ym" w:colFirst="0" w:colLast="0"/>
      <w:bookmarkStart w:id="1" w:name="_Toc171102634"/>
      <w:bookmarkEnd w:id="0"/>
      <w:r>
        <w:rPr>
          <w:rFonts w:ascii="Times New Roman" w:eastAsia="Times New Roman" w:hAnsi="Times New Roman" w:cs="Times New Roman"/>
          <w:b/>
          <w:sz w:val="28"/>
          <w:szCs w:val="28"/>
        </w:rPr>
        <w:lastRenderedPageBreak/>
        <w:t>1. Introduction</w:t>
      </w:r>
      <w:bookmarkEnd w:id="1"/>
    </w:p>
    <w:p w14:paraId="55937E50"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HSBC Holdings Plc is the world’s largest financial and banking services company, headquartered in the United Kingdom, London (hsbc.com, 2023). With effective operations across 60 nations and territories, this company serves approximately 40 million clients through its international networks. However, they offer a huge range of client services considering commercial banking, personal banking, and international banking along with markets and management of wealth. Apart from that HSBC is the core player in thi</w:t>
      </w:r>
      <w:r>
        <w:rPr>
          <w:rFonts w:ascii="Times New Roman" w:eastAsia="Times New Roman" w:hAnsi="Times New Roman" w:cs="Times New Roman"/>
          <w:sz w:val="24"/>
          <w:szCs w:val="24"/>
        </w:rPr>
        <w:t xml:space="preserve">s financial services sector, maintaining a specific market position with the necessary assets of over $3 trillion in 2023, despite experiencing issues such as international economic issues along with regulatory shifts, HSBC has dealt a strong financial performance along with a profit before the tax of $16.5 billion in 2023 (hsbc.com, 2024). </w:t>
      </w:r>
    </w:p>
    <w:p w14:paraId="1661A645"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in this highly competitive as well as dynamic financial services industry, strategic actions and choices are important for the success of HSBC. Also, the company need to identify a critical regulatory atmosphere, changing client expectations and technological advancements. Proper strategic planning helps this company in terms of capitalising on specific growth opportunities, preventing challenges as well as maintaining a competitive position (Barber, 2021). While making strategic decisions like in</w:t>
      </w:r>
      <w:r>
        <w:rPr>
          <w:rFonts w:ascii="Times New Roman" w:eastAsia="Times New Roman" w:hAnsi="Times New Roman" w:cs="Times New Roman"/>
          <w:sz w:val="24"/>
          <w:szCs w:val="24"/>
        </w:rPr>
        <w:t xml:space="preserve">vesting in proper digital transformation along with enhancing new markets, this company can boost its client satisfaction, and operational efficiency along with the entire market position. Furthermore, strategic actions ensure this bank in terms of adapting to shifting market conditions, confirming long-term profitability and sustainability. </w:t>
      </w:r>
    </w:p>
    <w:p w14:paraId="3B346B6D" w14:textId="77777777" w:rsidR="00C92389" w:rsidRDefault="00D00D10" w:rsidP="00704994">
      <w:pPr>
        <w:pStyle w:val="Heading1"/>
        <w:spacing w:after="240" w:line="480" w:lineRule="auto"/>
        <w:jc w:val="both"/>
        <w:rPr>
          <w:rFonts w:ascii="Times New Roman" w:eastAsia="Times New Roman" w:hAnsi="Times New Roman" w:cs="Times New Roman"/>
          <w:b/>
          <w:sz w:val="28"/>
          <w:szCs w:val="28"/>
        </w:rPr>
      </w:pPr>
      <w:bookmarkStart w:id="2" w:name="_qpsso8u8nkoi" w:colFirst="0" w:colLast="0"/>
      <w:bookmarkStart w:id="3" w:name="_Toc171102635"/>
      <w:bookmarkEnd w:id="2"/>
      <w:r>
        <w:rPr>
          <w:rFonts w:ascii="Times New Roman" w:eastAsia="Times New Roman" w:hAnsi="Times New Roman" w:cs="Times New Roman"/>
          <w:b/>
          <w:sz w:val="28"/>
          <w:szCs w:val="28"/>
        </w:rPr>
        <w:lastRenderedPageBreak/>
        <w:t>2. Key Business and Business Strategies</w:t>
      </w:r>
      <w:bookmarkEnd w:id="3"/>
      <w:r>
        <w:rPr>
          <w:rFonts w:ascii="Times New Roman" w:eastAsia="Times New Roman" w:hAnsi="Times New Roman" w:cs="Times New Roman"/>
          <w:b/>
          <w:sz w:val="28"/>
          <w:szCs w:val="28"/>
        </w:rPr>
        <w:t xml:space="preserve"> </w:t>
      </w:r>
    </w:p>
    <w:p w14:paraId="6509FD93"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HSBC Holding Plc employs a huge range of corporate and business approaches in terms of boosting its international presence, maximising market position as well as gaining sustainable enhancement (Henry, 2021). However, these approaches are focused on international integration, sustainable finance and digital transformation while maintaining evidence as well as strategic structures to discuss their rationale. </w:t>
      </w:r>
    </w:p>
    <w:p w14:paraId="4B51ED75"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International collaboration and localisation</w:t>
      </w:r>
      <w:r>
        <w:rPr>
          <w:rFonts w:ascii="Times New Roman" w:eastAsia="Times New Roman" w:hAnsi="Times New Roman" w:cs="Times New Roman"/>
          <w:sz w:val="24"/>
          <w:szCs w:val="24"/>
        </w:rPr>
        <w:t>: HSBC company’s approach illustrates balancing international collaboration with regional responsiveness. However, this strategy helps this bank in terms of utilising its huge global network in terms of offering smooth services for various clients while embracing domestic market requirements. For example, their presence in approximately 60 countries ensures it in terms of providing cross-border options that usually active the particular needs of various countries (gbm.hsbc.com, 2024). Hence, this approach h</w:t>
      </w:r>
      <w:r>
        <w:rPr>
          <w:rFonts w:ascii="Times New Roman" w:eastAsia="Times New Roman" w:hAnsi="Times New Roman" w:cs="Times New Roman"/>
          <w:sz w:val="24"/>
          <w:szCs w:val="24"/>
        </w:rPr>
        <w:t xml:space="preserve">elps this bak capitalise on international growth opportunities as well as comply with regional regulations, maximising client loyalty and satisfaction. </w:t>
      </w:r>
    </w:p>
    <w:p w14:paraId="210F816A"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Digital transformation</w:t>
      </w:r>
      <w:r>
        <w:rPr>
          <w:rFonts w:ascii="Times New Roman" w:eastAsia="Times New Roman" w:hAnsi="Times New Roman" w:cs="Times New Roman"/>
          <w:sz w:val="24"/>
          <w:szCs w:val="24"/>
        </w:rPr>
        <w:t>: This bank highly invests in digital transformation in terms of developing client experience and operational efficiency. Also, HSBC has allocated a huge amount of capital in terms of updating digital platforms, boosting cybersecurity and embracing new technologies like blockchain and artificial intelligence (Katerina, 2020). For instance, this company’s mobile application enhancements as well as consideration of real-time payment opinions have specifically developed service speed and user convenience. More</w:t>
      </w:r>
      <w:r>
        <w:rPr>
          <w:rFonts w:ascii="Times New Roman" w:eastAsia="Times New Roman" w:hAnsi="Times New Roman" w:cs="Times New Roman"/>
          <w:sz w:val="24"/>
          <w:szCs w:val="24"/>
        </w:rPr>
        <w:t xml:space="preserve">over, this digital push intends to boost processes, minimise costs as well as offer creative solutions for the clients, positioning this bank as a forward-thinking company. </w:t>
      </w:r>
    </w:p>
    <w:p w14:paraId="6AE4862A"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Sustainable Finance</w:t>
      </w:r>
      <w:r>
        <w:rPr>
          <w:rFonts w:ascii="Times New Roman" w:eastAsia="Times New Roman" w:hAnsi="Times New Roman" w:cs="Times New Roman"/>
          <w:sz w:val="24"/>
          <w:szCs w:val="24"/>
        </w:rPr>
        <w:t xml:space="preserve">: This banking company HSBC is focused as a leader in sustainable finance, intending to support the change to a low-carbon economy. However, this bank has maintained targets in terms of gaining net zero in supply chain and operations by 2030 as well as in its financial emissions through 2050 (csofutures.com, 2024). Another piece of evidence is the commitment to this company’s green financing approaches like challenging green bonds as well as investing in effective projects on renewable energy. Furthermore, </w:t>
      </w:r>
      <w:r>
        <w:rPr>
          <w:rFonts w:ascii="Times New Roman" w:eastAsia="Times New Roman" w:hAnsi="Times New Roman" w:cs="Times New Roman"/>
          <w:sz w:val="24"/>
          <w:szCs w:val="24"/>
        </w:rPr>
        <w:t xml:space="preserve">they offer sustainability-connected loans, that incentivise borrowers in terms of gaining particular atmospheric targets. Moreover, this approach combines with international sustainability demands and meets the increasing trends for responsible investment choices. </w:t>
      </w:r>
    </w:p>
    <w:p w14:paraId="5BFBDE1C" w14:textId="77777777" w:rsidR="00C92389" w:rsidRDefault="00D00D10" w:rsidP="00704994">
      <w:pPr>
        <w:spacing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Strategic Frameworks: </w:t>
      </w:r>
    </w:p>
    <w:p w14:paraId="6884C4E4"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 Ansoff Matrix</w:t>
      </w:r>
      <w:r>
        <w:rPr>
          <w:rFonts w:ascii="Times New Roman" w:eastAsia="Times New Roman" w:hAnsi="Times New Roman" w:cs="Times New Roman"/>
          <w:sz w:val="24"/>
          <w:szCs w:val="24"/>
        </w:rPr>
        <w:t>: It offers a structure for understanding the growth strategies of HSBC by market development, market penetration, diversification and product development.</w:t>
      </w:r>
    </w:p>
    <w:p w14:paraId="48824E2C"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development</w:t>
      </w:r>
      <w:r>
        <w:rPr>
          <w:rFonts w:ascii="Times New Roman" w:eastAsia="Times New Roman" w:hAnsi="Times New Roman" w:cs="Times New Roman"/>
          <w:sz w:val="24"/>
          <w:szCs w:val="24"/>
        </w:rPr>
        <w:t xml:space="preserve">: This bank highlights new geographical markets specifically in Asia as well as the Middle East (Henry, 2021). For instance, this company’s expansion in India and China taps into specific growth potential in emerging markets. </w:t>
      </w:r>
    </w:p>
    <w:p w14:paraId="49FDC4AD"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Penetration</w:t>
      </w:r>
      <w:r>
        <w:rPr>
          <w:rFonts w:ascii="Times New Roman" w:eastAsia="Times New Roman" w:hAnsi="Times New Roman" w:cs="Times New Roman"/>
          <w:sz w:val="24"/>
          <w:szCs w:val="24"/>
        </w:rPr>
        <w:t xml:space="preserve">: Apart from that, this bank maximises its market share in new markets through the enhancement of client service, expanding digital products and competitive pricing, as observed in intensified services of digital banking in main markets such as Hong Kong and the UK. </w:t>
      </w:r>
    </w:p>
    <w:p w14:paraId="276F00C2"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Product development:</w:t>
      </w:r>
      <w:r>
        <w:rPr>
          <w:rFonts w:ascii="Times New Roman" w:eastAsia="Times New Roman" w:hAnsi="Times New Roman" w:cs="Times New Roman"/>
          <w:sz w:val="24"/>
          <w:szCs w:val="24"/>
        </w:rPr>
        <w:t xml:space="preserve"> They develop various new financial items like green finance items and digital banking options, responding to changing client demands as well as regulatory changes (studocu.com, 2021). </w:t>
      </w:r>
    </w:p>
    <w:p w14:paraId="687CD922"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Diversification</w:t>
      </w:r>
      <w:r>
        <w:rPr>
          <w:rFonts w:ascii="Times New Roman" w:eastAsia="Times New Roman" w:hAnsi="Times New Roman" w:cs="Times New Roman"/>
          <w:sz w:val="24"/>
          <w:szCs w:val="24"/>
        </w:rPr>
        <w:t xml:space="preserve">: HSBC usually diversifies its profit streams while venturing into relevant industries such as asset management and insurance, minimising risk exposure along with maximising financial stability. </w:t>
      </w:r>
    </w:p>
    <w:p w14:paraId="18A2D235"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ii. Porter’s Generic Approaches</w:t>
      </w:r>
      <w:r>
        <w:rPr>
          <w:rFonts w:ascii="Times New Roman" w:eastAsia="Times New Roman" w:hAnsi="Times New Roman" w:cs="Times New Roman"/>
          <w:sz w:val="24"/>
          <w:szCs w:val="24"/>
        </w:rPr>
        <w:t xml:space="preserve">:  HSBC typically employs an effective differentiation approach, providing specific services as well as products that command exclusive prices. Moreover, this includes: </w:t>
      </w:r>
    </w:p>
    <w:p w14:paraId="39670176"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Innovation</w:t>
      </w:r>
      <w:r>
        <w:rPr>
          <w:rFonts w:ascii="Times New Roman" w:eastAsia="Times New Roman" w:hAnsi="Times New Roman" w:cs="Times New Roman"/>
          <w:sz w:val="24"/>
          <w:szCs w:val="24"/>
        </w:rPr>
        <w:t xml:space="preserve">: Investing in updated technology to provide effective digital banking and creative financial items (mindtools.com, 2022). </w:t>
      </w:r>
    </w:p>
    <w:p w14:paraId="3FAFED46"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Quality service</w:t>
      </w:r>
      <w:r>
        <w:rPr>
          <w:rFonts w:ascii="Times New Roman" w:eastAsia="Times New Roman" w:hAnsi="Times New Roman" w:cs="Times New Roman"/>
          <w:sz w:val="24"/>
          <w:szCs w:val="24"/>
        </w:rPr>
        <w:t xml:space="preserve">: Offering high-quality, customised financial services in terms of commercial, personal as well as institutional consumers. </w:t>
      </w:r>
    </w:p>
    <w:p w14:paraId="5B2E755D"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Brand reputation</w:t>
      </w:r>
      <w:r>
        <w:rPr>
          <w:rFonts w:ascii="Times New Roman" w:eastAsia="Times New Roman" w:hAnsi="Times New Roman" w:cs="Times New Roman"/>
          <w:sz w:val="24"/>
          <w:szCs w:val="24"/>
        </w:rPr>
        <w:t xml:space="preserve">: Utilising its huge international brand recognition to appeal to as well as retain clients generally who value trustworthiness along with stability (mindtools.com, 2022). </w:t>
      </w:r>
    </w:p>
    <w:p w14:paraId="20594FF2" w14:textId="77777777" w:rsidR="00C92389" w:rsidRDefault="00D00D10" w:rsidP="00704994">
      <w:pPr>
        <w:pStyle w:val="Heading1"/>
        <w:spacing w:after="240" w:line="480" w:lineRule="auto"/>
        <w:jc w:val="both"/>
        <w:rPr>
          <w:rFonts w:ascii="Times New Roman" w:eastAsia="Times New Roman" w:hAnsi="Times New Roman" w:cs="Times New Roman"/>
          <w:b/>
          <w:sz w:val="28"/>
          <w:szCs w:val="28"/>
        </w:rPr>
      </w:pPr>
      <w:bookmarkStart w:id="4" w:name="_sdqmum7nvphd" w:colFirst="0" w:colLast="0"/>
      <w:bookmarkStart w:id="5" w:name="_Toc171102636"/>
      <w:bookmarkEnd w:id="4"/>
      <w:r>
        <w:rPr>
          <w:rFonts w:ascii="Times New Roman" w:eastAsia="Times New Roman" w:hAnsi="Times New Roman" w:cs="Times New Roman"/>
          <w:b/>
          <w:sz w:val="28"/>
          <w:szCs w:val="28"/>
        </w:rPr>
        <w:t>3. Capabilities and Resource</w:t>
      </w:r>
      <w:bookmarkEnd w:id="5"/>
      <w:r>
        <w:rPr>
          <w:rFonts w:ascii="Times New Roman" w:eastAsia="Times New Roman" w:hAnsi="Times New Roman" w:cs="Times New Roman"/>
          <w:b/>
          <w:sz w:val="28"/>
          <w:szCs w:val="28"/>
        </w:rPr>
        <w:t xml:space="preserve"> </w:t>
      </w:r>
    </w:p>
    <w:p w14:paraId="1D5CC49E"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HSBC boasts a huge range of capabilities and resources that usually contribute to this company’s strategic success. However, these resources may be highly categorised into intangible as well as tangible assets, all playing a vital role in maintaining a competitive advantage for this company. </w:t>
      </w:r>
    </w:p>
    <w:p w14:paraId="0AEFA2BD"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Tangible resources and capabilities</w:t>
      </w:r>
      <w:r>
        <w:rPr>
          <w:rFonts w:ascii="Times New Roman" w:eastAsia="Times New Roman" w:hAnsi="Times New Roman" w:cs="Times New Roman"/>
          <w:sz w:val="24"/>
          <w:szCs w:val="24"/>
        </w:rPr>
        <w:t xml:space="preserve">: </w:t>
      </w:r>
    </w:p>
    <w:p w14:paraId="2642EF20"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i. Financial assets</w:t>
      </w:r>
      <w:r>
        <w:rPr>
          <w:rFonts w:ascii="Times New Roman" w:eastAsia="Times New Roman" w:hAnsi="Times New Roman" w:cs="Times New Roman"/>
          <w:sz w:val="24"/>
          <w:szCs w:val="24"/>
        </w:rPr>
        <w:t xml:space="preserve">: The strong financial position of HSBC is important from its core capital reserves as well as various revenue streams. Also, the huge international network of this bank, comprising 4000 offices in more than 65 countries, reflects particular revenue, confirming growth potential and financial stability (Yu, 2023). </w:t>
      </w:r>
    </w:p>
    <w:p w14:paraId="70DC5685"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ii. Technological atmosphere</w:t>
      </w:r>
      <w:r>
        <w:rPr>
          <w:rFonts w:ascii="Times New Roman" w:eastAsia="Times New Roman" w:hAnsi="Times New Roman" w:cs="Times New Roman"/>
          <w:sz w:val="24"/>
          <w:szCs w:val="24"/>
        </w:rPr>
        <w:t xml:space="preserve">: This bank invests a high amount in modern technology, considering digital banking, cybersecurity measures as well as data analytics. Hence, such investments boost client service, operational efficacy and security. </w:t>
      </w:r>
    </w:p>
    <w:p w14:paraId="4FF0197C"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iii. Physical assets</w:t>
      </w:r>
      <w:r>
        <w:rPr>
          <w:rFonts w:ascii="Times New Roman" w:eastAsia="Times New Roman" w:hAnsi="Times New Roman" w:cs="Times New Roman"/>
          <w:sz w:val="24"/>
          <w:szCs w:val="24"/>
        </w:rPr>
        <w:t xml:space="preserve">: The huge network of ATMs and branches of this organisation, combined with advanced office building, helps this company’s operational efficiency. Also, physical presence in the core financial hubs such as Hong Kong, London, as well as New York, enhances its market position (Yu, 2023). </w:t>
      </w:r>
    </w:p>
    <w:p w14:paraId="490E9CE9"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Intangible resources and capabilities</w:t>
      </w:r>
      <w:r>
        <w:rPr>
          <w:rFonts w:ascii="Times New Roman" w:eastAsia="Times New Roman" w:hAnsi="Times New Roman" w:cs="Times New Roman"/>
          <w:sz w:val="24"/>
          <w:szCs w:val="24"/>
        </w:rPr>
        <w:t>:</w:t>
      </w:r>
    </w:p>
    <w:p w14:paraId="50A681F1"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 Brand </w:t>
      </w:r>
      <w:r>
        <w:rPr>
          <w:rFonts w:ascii="Times New Roman" w:eastAsia="Times New Roman" w:hAnsi="Times New Roman" w:cs="Times New Roman"/>
          <w:b/>
          <w:sz w:val="24"/>
          <w:szCs w:val="24"/>
        </w:rPr>
        <w:t>Reputation</w:t>
      </w:r>
      <w:r>
        <w:rPr>
          <w:rFonts w:ascii="Times New Roman" w:eastAsia="Times New Roman" w:hAnsi="Times New Roman" w:cs="Times New Roman"/>
          <w:sz w:val="24"/>
          <w:szCs w:val="24"/>
        </w:rPr>
        <w:t>: This banking brand is internally respected and famous, symbolising reliability and trust in this financial atmosphere. Also, the reputation of HSBC attracts as well as retains clients by offering a competitive position over the competitors (Tahri, 2023).</w:t>
      </w:r>
    </w:p>
    <w:p w14:paraId="1ED3D897"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ii. Client relationships</w:t>
      </w:r>
      <w:r>
        <w:rPr>
          <w:rFonts w:ascii="Times New Roman" w:eastAsia="Times New Roman" w:hAnsi="Times New Roman" w:cs="Times New Roman"/>
          <w:sz w:val="24"/>
          <w:szCs w:val="24"/>
        </w:rPr>
        <w:t xml:space="preserve">: Sustained relationships with corporate and individual clients are pillars of this banking’s business model. Also, the customised client service of HSBC and personalised financial options promote strong loyalty. </w:t>
      </w:r>
    </w:p>
    <w:p w14:paraId="4028CAC2"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iii. Human capital</w:t>
      </w:r>
      <w:r>
        <w:rPr>
          <w:rFonts w:ascii="Times New Roman" w:eastAsia="Times New Roman" w:hAnsi="Times New Roman" w:cs="Times New Roman"/>
          <w:sz w:val="24"/>
          <w:szCs w:val="24"/>
        </w:rPr>
        <w:t xml:space="preserve">: The workforce of this bank is diverse and highly skilled with professionals in several areas of finance and banking (Tahri, 2023). Also, the commitment of this company to staff training along development confirms a capable and knowledgeable workforce. </w:t>
      </w:r>
    </w:p>
    <w:p w14:paraId="77F74D43"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iv. Intellectual property</w:t>
      </w:r>
      <w:r>
        <w:rPr>
          <w:rFonts w:ascii="Times New Roman" w:eastAsia="Times New Roman" w:hAnsi="Times New Roman" w:cs="Times New Roman"/>
          <w:sz w:val="24"/>
          <w:szCs w:val="24"/>
        </w:rPr>
        <w:t xml:space="preserve">: Proprietary financial items, patents along with creative financial options constitute the intellectual property of HSBC, ensuring differentiation across the competitive marketplace. </w:t>
      </w:r>
    </w:p>
    <w:p w14:paraId="655C0CE8"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VRIO Analysis</w:t>
      </w:r>
      <w:r>
        <w:rPr>
          <w:rFonts w:ascii="Times New Roman" w:eastAsia="Times New Roman" w:hAnsi="Times New Roman" w:cs="Times New Roman"/>
          <w:sz w:val="24"/>
          <w:szCs w:val="24"/>
        </w:rP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1410"/>
        <w:gridCol w:w="1305"/>
        <w:gridCol w:w="1305"/>
        <w:gridCol w:w="1395"/>
        <w:gridCol w:w="1980"/>
      </w:tblGrid>
      <w:tr w:rsidR="0089790D" w14:paraId="3EBBCC32" w14:textId="77777777">
        <w:tc>
          <w:tcPr>
            <w:tcW w:w="1965" w:type="dxa"/>
            <w:shd w:val="clear" w:color="auto" w:fill="auto"/>
            <w:tcMar>
              <w:top w:w="100" w:type="dxa"/>
              <w:left w:w="100" w:type="dxa"/>
              <w:bottom w:w="100" w:type="dxa"/>
              <w:right w:w="100" w:type="dxa"/>
            </w:tcMar>
          </w:tcPr>
          <w:p w14:paraId="17680D01" w14:textId="77777777" w:rsidR="00C92389" w:rsidRDefault="00D00D10" w:rsidP="00704994">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Resources/ Capability </w:t>
            </w:r>
          </w:p>
        </w:tc>
        <w:tc>
          <w:tcPr>
            <w:tcW w:w="1410" w:type="dxa"/>
            <w:shd w:val="clear" w:color="auto" w:fill="auto"/>
            <w:tcMar>
              <w:top w:w="100" w:type="dxa"/>
              <w:left w:w="100" w:type="dxa"/>
              <w:bottom w:w="100" w:type="dxa"/>
              <w:right w:w="100" w:type="dxa"/>
            </w:tcMar>
          </w:tcPr>
          <w:p w14:paraId="0DC7A859" w14:textId="77777777" w:rsidR="00C92389" w:rsidRDefault="00D00D10" w:rsidP="00704994">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Valuable </w:t>
            </w:r>
          </w:p>
        </w:tc>
        <w:tc>
          <w:tcPr>
            <w:tcW w:w="1305" w:type="dxa"/>
            <w:shd w:val="clear" w:color="auto" w:fill="auto"/>
            <w:tcMar>
              <w:top w:w="100" w:type="dxa"/>
              <w:left w:w="100" w:type="dxa"/>
              <w:bottom w:w="100" w:type="dxa"/>
              <w:right w:w="100" w:type="dxa"/>
            </w:tcMar>
          </w:tcPr>
          <w:p w14:paraId="3F920EA9" w14:textId="77777777" w:rsidR="00C92389" w:rsidRDefault="00D00D10" w:rsidP="00704994">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Rare</w:t>
            </w:r>
          </w:p>
        </w:tc>
        <w:tc>
          <w:tcPr>
            <w:tcW w:w="1305" w:type="dxa"/>
            <w:shd w:val="clear" w:color="auto" w:fill="auto"/>
            <w:tcMar>
              <w:top w:w="100" w:type="dxa"/>
              <w:left w:w="100" w:type="dxa"/>
              <w:bottom w:w="100" w:type="dxa"/>
              <w:right w:w="100" w:type="dxa"/>
            </w:tcMar>
          </w:tcPr>
          <w:p w14:paraId="6149494D" w14:textId="77777777" w:rsidR="00C92389" w:rsidRDefault="00D00D10" w:rsidP="00704994">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Inimitable </w:t>
            </w:r>
          </w:p>
        </w:tc>
        <w:tc>
          <w:tcPr>
            <w:tcW w:w="1395" w:type="dxa"/>
            <w:shd w:val="clear" w:color="auto" w:fill="auto"/>
            <w:tcMar>
              <w:top w:w="100" w:type="dxa"/>
              <w:left w:w="100" w:type="dxa"/>
              <w:bottom w:w="100" w:type="dxa"/>
              <w:right w:w="100" w:type="dxa"/>
            </w:tcMar>
          </w:tcPr>
          <w:p w14:paraId="538DFBFE" w14:textId="77777777" w:rsidR="00C92389" w:rsidRDefault="00D00D10" w:rsidP="00704994">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Organised</w:t>
            </w:r>
          </w:p>
        </w:tc>
        <w:tc>
          <w:tcPr>
            <w:tcW w:w="1980" w:type="dxa"/>
            <w:shd w:val="clear" w:color="auto" w:fill="auto"/>
            <w:tcMar>
              <w:top w:w="100" w:type="dxa"/>
              <w:left w:w="100" w:type="dxa"/>
              <w:bottom w:w="100" w:type="dxa"/>
              <w:right w:w="100" w:type="dxa"/>
            </w:tcMar>
          </w:tcPr>
          <w:p w14:paraId="09092421" w14:textId="77777777" w:rsidR="00C92389" w:rsidRDefault="00D00D10" w:rsidP="00704994">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Competitive Advantage</w:t>
            </w:r>
          </w:p>
        </w:tc>
      </w:tr>
      <w:tr w:rsidR="0089790D" w14:paraId="0560FBF3" w14:textId="77777777">
        <w:tc>
          <w:tcPr>
            <w:tcW w:w="1965" w:type="dxa"/>
            <w:shd w:val="clear" w:color="auto" w:fill="auto"/>
            <w:tcMar>
              <w:top w:w="100" w:type="dxa"/>
              <w:left w:w="100" w:type="dxa"/>
              <w:bottom w:w="100" w:type="dxa"/>
              <w:right w:w="100" w:type="dxa"/>
            </w:tcMar>
          </w:tcPr>
          <w:p w14:paraId="45957B92" w14:textId="77777777" w:rsidR="00C92389" w:rsidRDefault="00D00D10" w:rsidP="00704994">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Financial Assets</w:t>
            </w:r>
          </w:p>
        </w:tc>
        <w:tc>
          <w:tcPr>
            <w:tcW w:w="1410" w:type="dxa"/>
            <w:shd w:val="clear" w:color="auto" w:fill="auto"/>
            <w:tcMar>
              <w:top w:w="100" w:type="dxa"/>
              <w:left w:w="100" w:type="dxa"/>
              <w:bottom w:w="100" w:type="dxa"/>
              <w:right w:w="100" w:type="dxa"/>
            </w:tcMar>
          </w:tcPr>
          <w:p w14:paraId="12B26EFA" w14:textId="77777777" w:rsidR="00C92389" w:rsidRDefault="00D00D10" w:rsidP="00704994">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hyperlink r:id="rId8">
              <w:r>
                <w:rPr>
                  <w:sz w:val="32"/>
                  <w:szCs w:val="32"/>
                  <w:highlight w:val="white"/>
                </w:rPr>
                <w:t>✔</w:t>
              </w:r>
            </w:hyperlink>
          </w:p>
        </w:tc>
        <w:tc>
          <w:tcPr>
            <w:tcW w:w="1305" w:type="dxa"/>
            <w:shd w:val="clear" w:color="auto" w:fill="auto"/>
            <w:tcMar>
              <w:top w:w="100" w:type="dxa"/>
              <w:left w:w="100" w:type="dxa"/>
              <w:bottom w:w="100" w:type="dxa"/>
              <w:right w:w="100" w:type="dxa"/>
            </w:tcMar>
          </w:tcPr>
          <w:p w14:paraId="6258259D" w14:textId="77777777" w:rsidR="00C92389" w:rsidRDefault="00D00D10" w:rsidP="00704994">
            <w:pPr>
              <w:spacing w:line="480" w:lineRule="auto"/>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305" w:type="dxa"/>
            <w:shd w:val="clear" w:color="auto" w:fill="auto"/>
            <w:tcMar>
              <w:top w:w="100" w:type="dxa"/>
              <w:left w:w="100" w:type="dxa"/>
              <w:bottom w:w="100" w:type="dxa"/>
              <w:right w:w="100" w:type="dxa"/>
            </w:tcMar>
          </w:tcPr>
          <w:p w14:paraId="6AA7EC19" w14:textId="77777777" w:rsidR="00C92389" w:rsidRDefault="00D00D10" w:rsidP="00704994">
            <w:pPr>
              <w:spacing w:line="480" w:lineRule="auto"/>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395" w:type="dxa"/>
            <w:shd w:val="clear" w:color="auto" w:fill="auto"/>
            <w:tcMar>
              <w:top w:w="100" w:type="dxa"/>
              <w:left w:w="100" w:type="dxa"/>
              <w:bottom w:w="100" w:type="dxa"/>
              <w:right w:w="100" w:type="dxa"/>
            </w:tcMar>
          </w:tcPr>
          <w:p w14:paraId="471962C8"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9">
              <w:r>
                <w:rPr>
                  <w:sz w:val="32"/>
                  <w:szCs w:val="32"/>
                  <w:highlight w:val="white"/>
                </w:rPr>
                <w:t>✔</w:t>
              </w:r>
            </w:hyperlink>
          </w:p>
        </w:tc>
        <w:tc>
          <w:tcPr>
            <w:tcW w:w="1980" w:type="dxa"/>
            <w:shd w:val="clear" w:color="auto" w:fill="auto"/>
            <w:tcMar>
              <w:top w:w="100" w:type="dxa"/>
              <w:left w:w="100" w:type="dxa"/>
              <w:bottom w:w="100" w:type="dxa"/>
              <w:right w:w="100" w:type="dxa"/>
            </w:tcMar>
          </w:tcPr>
          <w:p w14:paraId="33EF7B7B" w14:textId="77777777" w:rsidR="00C92389" w:rsidRDefault="00D00D10" w:rsidP="00704994">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Temporary Competitive Advantage </w:t>
            </w:r>
          </w:p>
        </w:tc>
      </w:tr>
      <w:tr w:rsidR="0089790D" w14:paraId="3CE3AFDD" w14:textId="77777777">
        <w:tc>
          <w:tcPr>
            <w:tcW w:w="1965" w:type="dxa"/>
            <w:shd w:val="clear" w:color="auto" w:fill="auto"/>
            <w:tcMar>
              <w:top w:w="100" w:type="dxa"/>
              <w:left w:w="100" w:type="dxa"/>
              <w:bottom w:w="100" w:type="dxa"/>
              <w:right w:w="100" w:type="dxa"/>
            </w:tcMar>
          </w:tcPr>
          <w:p w14:paraId="74AE39B8" w14:textId="77777777" w:rsidR="00C92389" w:rsidRDefault="00D00D10" w:rsidP="00704994">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Physical Assets </w:t>
            </w:r>
          </w:p>
        </w:tc>
        <w:tc>
          <w:tcPr>
            <w:tcW w:w="1410" w:type="dxa"/>
            <w:shd w:val="clear" w:color="auto" w:fill="auto"/>
            <w:tcMar>
              <w:top w:w="100" w:type="dxa"/>
              <w:left w:w="100" w:type="dxa"/>
              <w:bottom w:w="100" w:type="dxa"/>
              <w:right w:w="100" w:type="dxa"/>
            </w:tcMar>
          </w:tcPr>
          <w:p w14:paraId="5AE93AA2"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10">
              <w:r>
                <w:rPr>
                  <w:sz w:val="32"/>
                  <w:szCs w:val="32"/>
                  <w:highlight w:val="white"/>
                </w:rPr>
                <w:t>✔</w:t>
              </w:r>
            </w:hyperlink>
          </w:p>
        </w:tc>
        <w:tc>
          <w:tcPr>
            <w:tcW w:w="1305" w:type="dxa"/>
            <w:shd w:val="clear" w:color="auto" w:fill="auto"/>
            <w:tcMar>
              <w:top w:w="100" w:type="dxa"/>
              <w:left w:w="100" w:type="dxa"/>
              <w:bottom w:w="100" w:type="dxa"/>
              <w:right w:w="100" w:type="dxa"/>
            </w:tcMar>
          </w:tcPr>
          <w:p w14:paraId="407B3D2E" w14:textId="77777777" w:rsidR="00C92389" w:rsidRDefault="00D00D10" w:rsidP="00704994">
            <w:pPr>
              <w:spacing w:line="480" w:lineRule="auto"/>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305" w:type="dxa"/>
            <w:shd w:val="clear" w:color="auto" w:fill="auto"/>
            <w:tcMar>
              <w:top w:w="100" w:type="dxa"/>
              <w:left w:w="100" w:type="dxa"/>
              <w:bottom w:w="100" w:type="dxa"/>
              <w:right w:w="100" w:type="dxa"/>
            </w:tcMar>
          </w:tcPr>
          <w:p w14:paraId="52E6EFDE" w14:textId="77777777" w:rsidR="00C92389" w:rsidRDefault="00D00D10" w:rsidP="00704994">
            <w:pPr>
              <w:spacing w:line="480" w:lineRule="auto"/>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395" w:type="dxa"/>
            <w:shd w:val="clear" w:color="auto" w:fill="auto"/>
            <w:tcMar>
              <w:top w:w="100" w:type="dxa"/>
              <w:left w:w="100" w:type="dxa"/>
              <w:bottom w:w="100" w:type="dxa"/>
              <w:right w:w="100" w:type="dxa"/>
            </w:tcMar>
          </w:tcPr>
          <w:p w14:paraId="008CEF8B"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11">
              <w:r>
                <w:rPr>
                  <w:sz w:val="32"/>
                  <w:szCs w:val="32"/>
                  <w:highlight w:val="white"/>
                </w:rPr>
                <w:t>✔</w:t>
              </w:r>
            </w:hyperlink>
          </w:p>
        </w:tc>
        <w:tc>
          <w:tcPr>
            <w:tcW w:w="1980" w:type="dxa"/>
            <w:shd w:val="clear" w:color="auto" w:fill="auto"/>
            <w:tcMar>
              <w:top w:w="100" w:type="dxa"/>
              <w:left w:w="100" w:type="dxa"/>
              <w:bottom w:w="100" w:type="dxa"/>
              <w:right w:w="100" w:type="dxa"/>
            </w:tcMar>
          </w:tcPr>
          <w:p w14:paraId="39CE5D72" w14:textId="77777777" w:rsidR="00C92389" w:rsidRDefault="00D00D10" w:rsidP="00704994">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Temporary Competitive Advantage </w:t>
            </w:r>
          </w:p>
        </w:tc>
      </w:tr>
      <w:tr w:rsidR="0089790D" w14:paraId="60858A21" w14:textId="77777777">
        <w:tc>
          <w:tcPr>
            <w:tcW w:w="1965" w:type="dxa"/>
            <w:shd w:val="clear" w:color="auto" w:fill="auto"/>
            <w:tcMar>
              <w:top w:w="100" w:type="dxa"/>
              <w:left w:w="100" w:type="dxa"/>
              <w:bottom w:w="100" w:type="dxa"/>
              <w:right w:w="100" w:type="dxa"/>
            </w:tcMar>
          </w:tcPr>
          <w:p w14:paraId="05DE813D" w14:textId="77777777" w:rsidR="00C92389" w:rsidRDefault="00D00D10" w:rsidP="00704994">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Technological Infrastructure </w:t>
            </w:r>
          </w:p>
        </w:tc>
        <w:tc>
          <w:tcPr>
            <w:tcW w:w="1410" w:type="dxa"/>
            <w:shd w:val="clear" w:color="auto" w:fill="auto"/>
            <w:tcMar>
              <w:top w:w="100" w:type="dxa"/>
              <w:left w:w="100" w:type="dxa"/>
              <w:bottom w:w="100" w:type="dxa"/>
              <w:right w:w="100" w:type="dxa"/>
            </w:tcMar>
          </w:tcPr>
          <w:p w14:paraId="4410AD5E"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12">
              <w:r>
                <w:rPr>
                  <w:sz w:val="32"/>
                  <w:szCs w:val="32"/>
                  <w:highlight w:val="white"/>
                </w:rPr>
                <w:t>✔</w:t>
              </w:r>
            </w:hyperlink>
          </w:p>
        </w:tc>
        <w:tc>
          <w:tcPr>
            <w:tcW w:w="1305" w:type="dxa"/>
            <w:shd w:val="clear" w:color="auto" w:fill="auto"/>
            <w:tcMar>
              <w:top w:w="100" w:type="dxa"/>
              <w:left w:w="100" w:type="dxa"/>
              <w:bottom w:w="100" w:type="dxa"/>
              <w:right w:w="100" w:type="dxa"/>
            </w:tcMar>
          </w:tcPr>
          <w:p w14:paraId="4ED7CF6E"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13">
              <w:r>
                <w:rPr>
                  <w:sz w:val="32"/>
                  <w:szCs w:val="32"/>
                  <w:highlight w:val="white"/>
                </w:rPr>
                <w:t>✔</w:t>
              </w:r>
            </w:hyperlink>
          </w:p>
        </w:tc>
        <w:tc>
          <w:tcPr>
            <w:tcW w:w="1305" w:type="dxa"/>
            <w:shd w:val="clear" w:color="auto" w:fill="auto"/>
            <w:tcMar>
              <w:top w:w="100" w:type="dxa"/>
              <w:left w:w="100" w:type="dxa"/>
              <w:bottom w:w="100" w:type="dxa"/>
              <w:right w:w="100" w:type="dxa"/>
            </w:tcMar>
          </w:tcPr>
          <w:p w14:paraId="483D9876"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14">
              <w:r>
                <w:rPr>
                  <w:sz w:val="32"/>
                  <w:szCs w:val="32"/>
                  <w:highlight w:val="white"/>
                </w:rPr>
                <w:t>✔</w:t>
              </w:r>
            </w:hyperlink>
          </w:p>
        </w:tc>
        <w:tc>
          <w:tcPr>
            <w:tcW w:w="1395" w:type="dxa"/>
            <w:shd w:val="clear" w:color="auto" w:fill="auto"/>
            <w:tcMar>
              <w:top w:w="100" w:type="dxa"/>
              <w:left w:w="100" w:type="dxa"/>
              <w:bottom w:w="100" w:type="dxa"/>
              <w:right w:w="100" w:type="dxa"/>
            </w:tcMar>
          </w:tcPr>
          <w:p w14:paraId="7E0EB71D"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15">
              <w:r>
                <w:rPr>
                  <w:sz w:val="32"/>
                  <w:szCs w:val="32"/>
                  <w:highlight w:val="white"/>
                </w:rPr>
                <w:t>✔</w:t>
              </w:r>
            </w:hyperlink>
          </w:p>
        </w:tc>
        <w:tc>
          <w:tcPr>
            <w:tcW w:w="1980" w:type="dxa"/>
            <w:shd w:val="clear" w:color="auto" w:fill="auto"/>
            <w:tcMar>
              <w:top w:w="100" w:type="dxa"/>
              <w:left w:w="100" w:type="dxa"/>
              <w:bottom w:w="100" w:type="dxa"/>
              <w:right w:w="100" w:type="dxa"/>
            </w:tcMar>
          </w:tcPr>
          <w:p w14:paraId="1593C1FB" w14:textId="77777777" w:rsidR="00C92389" w:rsidRDefault="00D00D10" w:rsidP="00704994">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Sustained Competitive Advantage </w:t>
            </w:r>
          </w:p>
        </w:tc>
      </w:tr>
      <w:tr w:rsidR="0089790D" w14:paraId="4C6B299F" w14:textId="77777777">
        <w:tc>
          <w:tcPr>
            <w:tcW w:w="1965" w:type="dxa"/>
            <w:shd w:val="clear" w:color="auto" w:fill="auto"/>
            <w:tcMar>
              <w:top w:w="100" w:type="dxa"/>
              <w:left w:w="100" w:type="dxa"/>
              <w:bottom w:w="100" w:type="dxa"/>
              <w:right w:w="100" w:type="dxa"/>
            </w:tcMar>
          </w:tcPr>
          <w:p w14:paraId="7E110CEB" w14:textId="77777777" w:rsidR="00C92389" w:rsidRDefault="00D00D10" w:rsidP="00704994">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Brand Reputation </w:t>
            </w:r>
          </w:p>
        </w:tc>
        <w:tc>
          <w:tcPr>
            <w:tcW w:w="1410" w:type="dxa"/>
            <w:shd w:val="clear" w:color="auto" w:fill="auto"/>
            <w:tcMar>
              <w:top w:w="100" w:type="dxa"/>
              <w:left w:w="100" w:type="dxa"/>
              <w:bottom w:w="100" w:type="dxa"/>
              <w:right w:w="100" w:type="dxa"/>
            </w:tcMar>
          </w:tcPr>
          <w:p w14:paraId="6F299A04"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16">
              <w:r>
                <w:rPr>
                  <w:sz w:val="32"/>
                  <w:szCs w:val="32"/>
                  <w:highlight w:val="white"/>
                </w:rPr>
                <w:t>✔</w:t>
              </w:r>
            </w:hyperlink>
          </w:p>
        </w:tc>
        <w:tc>
          <w:tcPr>
            <w:tcW w:w="1305" w:type="dxa"/>
            <w:shd w:val="clear" w:color="auto" w:fill="auto"/>
            <w:tcMar>
              <w:top w:w="100" w:type="dxa"/>
              <w:left w:w="100" w:type="dxa"/>
              <w:bottom w:w="100" w:type="dxa"/>
              <w:right w:w="100" w:type="dxa"/>
            </w:tcMar>
          </w:tcPr>
          <w:p w14:paraId="2A067507"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17">
              <w:r>
                <w:rPr>
                  <w:sz w:val="32"/>
                  <w:szCs w:val="32"/>
                  <w:highlight w:val="white"/>
                </w:rPr>
                <w:t>✔</w:t>
              </w:r>
            </w:hyperlink>
          </w:p>
        </w:tc>
        <w:tc>
          <w:tcPr>
            <w:tcW w:w="1305" w:type="dxa"/>
            <w:shd w:val="clear" w:color="auto" w:fill="auto"/>
            <w:tcMar>
              <w:top w:w="100" w:type="dxa"/>
              <w:left w:w="100" w:type="dxa"/>
              <w:bottom w:w="100" w:type="dxa"/>
              <w:right w:w="100" w:type="dxa"/>
            </w:tcMar>
          </w:tcPr>
          <w:p w14:paraId="54C464D5"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18">
              <w:r>
                <w:rPr>
                  <w:sz w:val="32"/>
                  <w:szCs w:val="32"/>
                  <w:highlight w:val="white"/>
                </w:rPr>
                <w:t>✔</w:t>
              </w:r>
            </w:hyperlink>
          </w:p>
        </w:tc>
        <w:tc>
          <w:tcPr>
            <w:tcW w:w="1395" w:type="dxa"/>
            <w:shd w:val="clear" w:color="auto" w:fill="auto"/>
            <w:tcMar>
              <w:top w:w="100" w:type="dxa"/>
              <w:left w:w="100" w:type="dxa"/>
              <w:bottom w:w="100" w:type="dxa"/>
              <w:right w:w="100" w:type="dxa"/>
            </w:tcMar>
          </w:tcPr>
          <w:p w14:paraId="0D5D30AD"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19">
              <w:r>
                <w:rPr>
                  <w:sz w:val="32"/>
                  <w:szCs w:val="32"/>
                  <w:highlight w:val="white"/>
                </w:rPr>
                <w:t>✔</w:t>
              </w:r>
            </w:hyperlink>
          </w:p>
        </w:tc>
        <w:tc>
          <w:tcPr>
            <w:tcW w:w="1980" w:type="dxa"/>
            <w:shd w:val="clear" w:color="auto" w:fill="auto"/>
            <w:tcMar>
              <w:top w:w="100" w:type="dxa"/>
              <w:left w:w="100" w:type="dxa"/>
              <w:bottom w:w="100" w:type="dxa"/>
              <w:right w:w="100" w:type="dxa"/>
            </w:tcMar>
          </w:tcPr>
          <w:p w14:paraId="4B210289" w14:textId="77777777" w:rsidR="00C92389" w:rsidRDefault="00D00D10" w:rsidP="00704994">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Sustained Competitive Advantage </w:t>
            </w:r>
          </w:p>
        </w:tc>
      </w:tr>
      <w:tr w:rsidR="0089790D" w14:paraId="273EB99B" w14:textId="77777777">
        <w:tc>
          <w:tcPr>
            <w:tcW w:w="1965" w:type="dxa"/>
            <w:shd w:val="clear" w:color="auto" w:fill="auto"/>
            <w:tcMar>
              <w:top w:w="100" w:type="dxa"/>
              <w:left w:w="100" w:type="dxa"/>
              <w:bottom w:w="100" w:type="dxa"/>
              <w:right w:w="100" w:type="dxa"/>
            </w:tcMar>
          </w:tcPr>
          <w:p w14:paraId="46288929" w14:textId="77777777" w:rsidR="00C92389" w:rsidRDefault="00D00D10" w:rsidP="00704994">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Human Capital</w:t>
            </w:r>
          </w:p>
        </w:tc>
        <w:tc>
          <w:tcPr>
            <w:tcW w:w="1410" w:type="dxa"/>
            <w:shd w:val="clear" w:color="auto" w:fill="auto"/>
            <w:tcMar>
              <w:top w:w="100" w:type="dxa"/>
              <w:left w:w="100" w:type="dxa"/>
              <w:bottom w:w="100" w:type="dxa"/>
              <w:right w:w="100" w:type="dxa"/>
            </w:tcMar>
          </w:tcPr>
          <w:p w14:paraId="1C22BFEA"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20">
              <w:r>
                <w:rPr>
                  <w:sz w:val="32"/>
                  <w:szCs w:val="32"/>
                  <w:highlight w:val="white"/>
                </w:rPr>
                <w:t>✔</w:t>
              </w:r>
            </w:hyperlink>
          </w:p>
        </w:tc>
        <w:tc>
          <w:tcPr>
            <w:tcW w:w="1305" w:type="dxa"/>
            <w:shd w:val="clear" w:color="auto" w:fill="auto"/>
            <w:tcMar>
              <w:top w:w="100" w:type="dxa"/>
              <w:left w:w="100" w:type="dxa"/>
              <w:bottom w:w="100" w:type="dxa"/>
              <w:right w:w="100" w:type="dxa"/>
            </w:tcMar>
          </w:tcPr>
          <w:p w14:paraId="7C293B90" w14:textId="77777777" w:rsidR="00C92389" w:rsidRDefault="00D00D10" w:rsidP="00704994">
            <w:pPr>
              <w:spacing w:line="480" w:lineRule="auto"/>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305" w:type="dxa"/>
            <w:shd w:val="clear" w:color="auto" w:fill="auto"/>
            <w:tcMar>
              <w:top w:w="100" w:type="dxa"/>
              <w:left w:w="100" w:type="dxa"/>
              <w:bottom w:w="100" w:type="dxa"/>
              <w:right w:w="100" w:type="dxa"/>
            </w:tcMar>
          </w:tcPr>
          <w:p w14:paraId="54DEEF0F" w14:textId="77777777" w:rsidR="00C92389" w:rsidRDefault="00D00D10" w:rsidP="00704994">
            <w:pPr>
              <w:spacing w:line="480" w:lineRule="auto"/>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395" w:type="dxa"/>
            <w:shd w:val="clear" w:color="auto" w:fill="auto"/>
            <w:tcMar>
              <w:top w:w="100" w:type="dxa"/>
              <w:left w:w="100" w:type="dxa"/>
              <w:bottom w:w="100" w:type="dxa"/>
              <w:right w:w="100" w:type="dxa"/>
            </w:tcMar>
          </w:tcPr>
          <w:p w14:paraId="0785F416"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21">
              <w:r>
                <w:rPr>
                  <w:sz w:val="32"/>
                  <w:szCs w:val="32"/>
                  <w:highlight w:val="white"/>
                </w:rPr>
                <w:t>✔</w:t>
              </w:r>
            </w:hyperlink>
          </w:p>
        </w:tc>
        <w:tc>
          <w:tcPr>
            <w:tcW w:w="1980" w:type="dxa"/>
            <w:shd w:val="clear" w:color="auto" w:fill="auto"/>
            <w:tcMar>
              <w:top w:w="100" w:type="dxa"/>
              <w:left w:w="100" w:type="dxa"/>
              <w:bottom w:w="100" w:type="dxa"/>
              <w:right w:w="100" w:type="dxa"/>
            </w:tcMar>
          </w:tcPr>
          <w:p w14:paraId="38F1971B" w14:textId="77777777" w:rsidR="00C92389" w:rsidRDefault="00D00D10" w:rsidP="00704994">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Temporary Competitive </w:t>
            </w:r>
            <w:r>
              <w:rPr>
                <w:rFonts w:ascii="Times New Roman" w:eastAsia="Times New Roman" w:hAnsi="Times New Roman" w:cs="Times New Roman"/>
                <w:sz w:val="24"/>
                <w:szCs w:val="24"/>
              </w:rPr>
              <w:lastRenderedPageBreak/>
              <w:t xml:space="preserve">Advantage </w:t>
            </w:r>
          </w:p>
        </w:tc>
      </w:tr>
      <w:tr w:rsidR="0089790D" w14:paraId="3DA9A06B" w14:textId="77777777">
        <w:tc>
          <w:tcPr>
            <w:tcW w:w="1965" w:type="dxa"/>
            <w:shd w:val="clear" w:color="auto" w:fill="auto"/>
            <w:tcMar>
              <w:top w:w="100" w:type="dxa"/>
              <w:left w:w="100" w:type="dxa"/>
              <w:bottom w:w="100" w:type="dxa"/>
              <w:right w:w="100" w:type="dxa"/>
            </w:tcMar>
          </w:tcPr>
          <w:p w14:paraId="2C633E22" w14:textId="77777777" w:rsidR="00C92389" w:rsidRDefault="00D00D10" w:rsidP="00704994">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Client Relationships</w:t>
            </w:r>
          </w:p>
        </w:tc>
        <w:tc>
          <w:tcPr>
            <w:tcW w:w="1410" w:type="dxa"/>
            <w:shd w:val="clear" w:color="auto" w:fill="auto"/>
            <w:tcMar>
              <w:top w:w="100" w:type="dxa"/>
              <w:left w:w="100" w:type="dxa"/>
              <w:bottom w:w="100" w:type="dxa"/>
              <w:right w:w="100" w:type="dxa"/>
            </w:tcMar>
          </w:tcPr>
          <w:p w14:paraId="76537B7C"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22">
              <w:r>
                <w:rPr>
                  <w:sz w:val="32"/>
                  <w:szCs w:val="32"/>
                  <w:highlight w:val="white"/>
                </w:rPr>
                <w:t>✔</w:t>
              </w:r>
            </w:hyperlink>
          </w:p>
        </w:tc>
        <w:tc>
          <w:tcPr>
            <w:tcW w:w="1305" w:type="dxa"/>
            <w:shd w:val="clear" w:color="auto" w:fill="auto"/>
            <w:tcMar>
              <w:top w:w="100" w:type="dxa"/>
              <w:left w:w="100" w:type="dxa"/>
              <w:bottom w:w="100" w:type="dxa"/>
              <w:right w:w="100" w:type="dxa"/>
            </w:tcMar>
          </w:tcPr>
          <w:p w14:paraId="7BB53BC7"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23">
              <w:r>
                <w:rPr>
                  <w:sz w:val="32"/>
                  <w:szCs w:val="32"/>
                  <w:highlight w:val="white"/>
                </w:rPr>
                <w:t>✔</w:t>
              </w:r>
            </w:hyperlink>
          </w:p>
        </w:tc>
        <w:tc>
          <w:tcPr>
            <w:tcW w:w="1305" w:type="dxa"/>
            <w:shd w:val="clear" w:color="auto" w:fill="auto"/>
            <w:tcMar>
              <w:top w:w="100" w:type="dxa"/>
              <w:left w:w="100" w:type="dxa"/>
              <w:bottom w:w="100" w:type="dxa"/>
              <w:right w:w="100" w:type="dxa"/>
            </w:tcMar>
          </w:tcPr>
          <w:p w14:paraId="72C34BAF"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24">
              <w:r>
                <w:rPr>
                  <w:sz w:val="32"/>
                  <w:szCs w:val="32"/>
                  <w:highlight w:val="white"/>
                </w:rPr>
                <w:t>✔</w:t>
              </w:r>
            </w:hyperlink>
          </w:p>
        </w:tc>
        <w:tc>
          <w:tcPr>
            <w:tcW w:w="1395" w:type="dxa"/>
            <w:shd w:val="clear" w:color="auto" w:fill="auto"/>
            <w:tcMar>
              <w:top w:w="100" w:type="dxa"/>
              <w:left w:w="100" w:type="dxa"/>
              <w:bottom w:w="100" w:type="dxa"/>
              <w:right w:w="100" w:type="dxa"/>
            </w:tcMar>
          </w:tcPr>
          <w:p w14:paraId="493B654C"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25">
              <w:r>
                <w:rPr>
                  <w:sz w:val="32"/>
                  <w:szCs w:val="32"/>
                  <w:highlight w:val="white"/>
                </w:rPr>
                <w:t>✔</w:t>
              </w:r>
            </w:hyperlink>
          </w:p>
        </w:tc>
        <w:tc>
          <w:tcPr>
            <w:tcW w:w="1980" w:type="dxa"/>
            <w:shd w:val="clear" w:color="auto" w:fill="auto"/>
            <w:tcMar>
              <w:top w:w="100" w:type="dxa"/>
              <w:left w:w="100" w:type="dxa"/>
              <w:bottom w:w="100" w:type="dxa"/>
              <w:right w:w="100" w:type="dxa"/>
            </w:tcMar>
          </w:tcPr>
          <w:p w14:paraId="06A9DDAB" w14:textId="77777777" w:rsidR="00C92389" w:rsidRDefault="00D00D10" w:rsidP="00704994">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Sustained Competitive Advantage </w:t>
            </w:r>
          </w:p>
        </w:tc>
      </w:tr>
      <w:tr w:rsidR="0089790D" w14:paraId="5E5983D1" w14:textId="77777777">
        <w:tc>
          <w:tcPr>
            <w:tcW w:w="1965" w:type="dxa"/>
            <w:shd w:val="clear" w:color="auto" w:fill="auto"/>
            <w:tcMar>
              <w:top w:w="100" w:type="dxa"/>
              <w:left w:w="100" w:type="dxa"/>
              <w:bottom w:w="100" w:type="dxa"/>
              <w:right w:w="100" w:type="dxa"/>
            </w:tcMar>
          </w:tcPr>
          <w:p w14:paraId="2F7C04A9" w14:textId="77777777" w:rsidR="00C92389" w:rsidRDefault="00D00D10" w:rsidP="00704994">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Intellectual Property </w:t>
            </w:r>
          </w:p>
        </w:tc>
        <w:tc>
          <w:tcPr>
            <w:tcW w:w="1410" w:type="dxa"/>
            <w:shd w:val="clear" w:color="auto" w:fill="auto"/>
            <w:tcMar>
              <w:top w:w="100" w:type="dxa"/>
              <w:left w:w="100" w:type="dxa"/>
              <w:bottom w:w="100" w:type="dxa"/>
              <w:right w:w="100" w:type="dxa"/>
            </w:tcMar>
          </w:tcPr>
          <w:p w14:paraId="43CB8E6D"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26">
              <w:r>
                <w:rPr>
                  <w:sz w:val="32"/>
                  <w:szCs w:val="32"/>
                  <w:highlight w:val="white"/>
                </w:rPr>
                <w:t>✔</w:t>
              </w:r>
            </w:hyperlink>
          </w:p>
        </w:tc>
        <w:tc>
          <w:tcPr>
            <w:tcW w:w="1305" w:type="dxa"/>
            <w:shd w:val="clear" w:color="auto" w:fill="auto"/>
            <w:tcMar>
              <w:top w:w="100" w:type="dxa"/>
              <w:left w:w="100" w:type="dxa"/>
              <w:bottom w:w="100" w:type="dxa"/>
              <w:right w:w="100" w:type="dxa"/>
            </w:tcMar>
          </w:tcPr>
          <w:p w14:paraId="7323CCED"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27">
              <w:r>
                <w:rPr>
                  <w:sz w:val="32"/>
                  <w:szCs w:val="32"/>
                  <w:highlight w:val="white"/>
                </w:rPr>
                <w:t>✔</w:t>
              </w:r>
            </w:hyperlink>
          </w:p>
        </w:tc>
        <w:tc>
          <w:tcPr>
            <w:tcW w:w="1305" w:type="dxa"/>
            <w:shd w:val="clear" w:color="auto" w:fill="auto"/>
            <w:tcMar>
              <w:top w:w="100" w:type="dxa"/>
              <w:left w:w="100" w:type="dxa"/>
              <w:bottom w:w="100" w:type="dxa"/>
              <w:right w:w="100" w:type="dxa"/>
            </w:tcMar>
          </w:tcPr>
          <w:p w14:paraId="3F799E6D"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28">
              <w:r>
                <w:rPr>
                  <w:sz w:val="32"/>
                  <w:szCs w:val="32"/>
                  <w:highlight w:val="white"/>
                </w:rPr>
                <w:t>✔</w:t>
              </w:r>
            </w:hyperlink>
          </w:p>
        </w:tc>
        <w:tc>
          <w:tcPr>
            <w:tcW w:w="1395" w:type="dxa"/>
            <w:shd w:val="clear" w:color="auto" w:fill="auto"/>
            <w:tcMar>
              <w:top w:w="100" w:type="dxa"/>
              <w:left w:w="100" w:type="dxa"/>
              <w:bottom w:w="100" w:type="dxa"/>
              <w:right w:w="100" w:type="dxa"/>
            </w:tcMar>
          </w:tcPr>
          <w:p w14:paraId="37BF9F07" w14:textId="77777777" w:rsidR="00C92389" w:rsidRDefault="00D00D10" w:rsidP="00704994">
            <w:pPr>
              <w:widowControl w:val="0"/>
              <w:spacing w:line="480" w:lineRule="auto"/>
              <w:rPr>
                <w:rFonts w:ascii="Times New Roman" w:eastAsia="Times New Roman" w:hAnsi="Times New Roman" w:cs="Times New Roman"/>
                <w:sz w:val="24"/>
                <w:szCs w:val="24"/>
              </w:rPr>
            </w:pPr>
            <w:hyperlink r:id="rId29">
              <w:r>
                <w:rPr>
                  <w:sz w:val="32"/>
                  <w:szCs w:val="32"/>
                  <w:highlight w:val="white"/>
                </w:rPr>
                <w:t>✔</w:t>
              </w:r>
            </w:hyperlink>
          </w:p>
        </w:tc>
        <w:tc>
          <w:tcPr>
            <w:tcW w:w="1980" w:type="dxa"/>
            <w:shd w:val="clear" w:color="auto" w:fill="auto"/>
            <w:tcMar>
              <w:top w:w="100" w:type="dxa"/>
              <w:left w:w="100" w:type="dxa"/>
              <w:bottom w:w="100" w:type="dxa"/>
              <w:right w:w="100" w:type="dxa"/>
            </w:tcMar>
          </w:tcPr>
          <w:p w14:paraId="4D44AACE" w14:textId="77777777" w:rsidR="00C92389" w:rsidRDefault="00D00D10" w:rsidP="00704994">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Sustained Competitive Advantage </w:t>
            </w:r>
          </w:p>
        </w:tc>
      </w:tr>
    </w:tbl>
    <w:p w14:paraId="2B22C0BE" w14:textId="77777777" w:rsidR="00C92389" w:rsidRDefault="00D00D10" w:rsidP="00704994">
      <w:pPr>
        <w:spacing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VRIO Analysis of HSBC</w:t>
      </w:r>
    </w:p>
    <w:p w14:paraId="6F490E5D" w14:textId="77777777" w:rsidR="00C92389" w:rsidRDefault="00D00D10" w:rsidP="00704994">
      <w:pPr>
        <w:spacing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w:t>
      </w:r>
      <w:r>
        <w:rPr>
          <w:rFonts w:ascii="Times New Roman" w:eastAsia="Times New Roman" w:hAnsi="Times New Roman" w:cs="Times New Roman"/>
          <w:sz w:val="24"/>
          <w:szCs w:val="24"/>
        </w:rPr>
        <w:t>Created by Author</w:t>
      </w:r>
      <w:r>
        <w:rPr>
          <w:rFonts w:ascii="Times New Roman" w:eastAsia="Times New Roman" w:hAnsi="Times New Roman" w:cs="Times New Roman"/>
          <w:b/>
          <w:sz w:val="24"/>
          <w:szCs w:val="24"/>
        </w:rPr>
        <w:t>)</w:t>
      </w:r>
    </w:p>
    <w:p w14:paraId="60B901B7"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above-mentioned VRIO analysis shows that technological infrastructure, brand reputation, intellectual property and client relationships offer a long-term competitive advantage. However, such capability and resources are valuable, rare, properly organised and costly in terms of imitation, which positions this banking company strongly across the dynamic financial sector (Morris, 2019). Also, physical and financial assets, that are valuable as well as properly organised are not inimitable or rare, so that</w:t>
      </w:r>
      <w:r>
        <w:rPr>
          <w:rFonts w:ascii="Times New Roman" w:eastAsia="Times New Roman" w:hAnsi="Times New Roman" w:cs="Times New Roman"/>
          <w:sz w:val="24"/>
          <w:szCs w:val="24"/>
        </w:rPr>
        <w:t xml:space="preserve"> offering a temporary competitive benefit. Apart from that, the strategic focus of HSBC on maximising its technological atmosphere, nurturing client bondings as well as dealing with its huge brand reputation confirms its sustained success as well as competitiveness in the international market. </w:t>
      </w:r>
    </w:p>
    <w:p w14:paraId="3483B41B" w14:textId="77777777" w:rsidR="00C92389" w:rsidRDefault="00D00D10" w:rsidP="00704994">
      <w:pPr>
        <w:pStyle w:val="Heading1"/>
        <w:spacing w:after="240" w:line="480" w:lineRule="auto"/>
        <w:jc w:val="both"/>
        <w:rPr>
          <w:rFonts w:ascii="Times New Roman" w:eastAsia="Times New Roman" w:hAnsi="Times New Roman" w:cs="Times New Roman"/>
          <w:b/>
          <w:sz w:val="28"/>
          <w:szCs w:val="28"/>
        </w:rPr>
      </w:pPr>
      <w:bookmarkStart w:id="6" w:name="_j3wcqx699qib" w:colFirst="0" w:colLast="0"/>
      <w:bookmarkStart w:id="7" w:name="_Toc171102637"/>
      <w:bookmarkEnd w:id="6"/>
      <w:r>
        <w:rPr>
          <w:rFonts w:ascii="Times New Roman" w:eastAsia="Times New Roman" w:hAnsi="Times New Roman" w:cs="Times New Roman"/>
          <w:b/>
          <w:sz w:val="28"/>
          <w:szCs w:val="28"/>
        </w:rPr>
        <w:lastRenderedPageBreak/>
        <w:t>4. Competitive advantage and strategy implementation</w:t>
      </w:r>
      <w:bookmarkEnd w:id="7"/>
      <w:r>
        <w:rPr>
          <w:rFonts w:ascii="Times New Roman" w:eastAsia="Times New Roman" w:hAnsi="Times New Roman" w:cs="Times New Roman"/>
          <w:b/>
          <w:sz w:val="28"/>
          <w:szCs w:val="28"/>
        </w:rPr>
        <w:t xml:space="preserve"> </w:t>
      </w:r>
    </w:p>
    <w:p w14:paraId="3BA1357E"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Success evaluation</w:t>
      </w:r>
      <w:r>
        <w:rPr>
          <w:rFonts w:ascii="Times New Roman" w:eastAsia="Times New Roman" w:hAnsi="Times New Roman" w:cs="Times New Roman"/>
          <w:sz w:val="24"/>
          <w:szCs w:val="24"/>
        </w:rPr>
        <w:t xml:space="preserve">: HSBC has properly developed its strategic approaches as discussed in its financial performance, strategic milestones and market positions. </w:t>
      </w:r>
    </w:p>
    <w:p w14:paraId="328DF9C4"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 Financial performance</w:t>
      </w:r>
      <w:r>
        <w:rPr>
          <w:rFonts w:ascii="Times New Roman" w:eastAsia="Times New Roman" w:hAnsi="Times New Roman" w:cs="Times New Roman"/>
          <w:sz w:val="24"/>
          <w:szCs w:val="24"/>
        </w:rPr>
        <w:t xml:space="preserve">: </w:t>
      </w:r>
    </w:p>
    <w:p w14:paraId="0BB3A9A0"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Profitability and revenue</w:t>
      </w:r>
      <w:r>
        <w:rPr>
          <w:rFonts w:ascii="Times New Roman" w:eastAsia="Times New Roman" w:hAnsi="Times New Roman" w:cs="Times New Roman"/>
          <w:sz w:val="24"/>
          <w:szCs w:val="24"/>
        </w:rPr>
        <w:t xml:space="preserve">: HSBC reported a profit of $65 billion in 2022, highlighting its capability in terms of generating huge income despite international economic issues (Lele, 2024). </w:t>
      </w:r>
    </w:p>
    <w:p w14:paraId="067F154D"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The efficiency of cost</w:t>
      </w:r>
      <w:r>
        <w:rPr>
          <w:rFonts w:ascii="Times New Roman" w:eastAsia="Times New Roman" w:hAnsi="Times New Roman" w:cs="Times New Roman"/>
          <w:sz w:val="24"/>
          <w:szCs w:val="24"/>
        </w:rPr>
        <w:t xml:space="preserve">: This bank has concentrated on the management of cost, gaining an efficiency of cost ratio of 59% in 2022, which is a development from earlier years, considering proper operational efficiency (Lele, 2024). </w:t>
      </w:r>
    </w:p>
    <w:p w14:paraId="5460EAF6"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ROE or Return on Equity</w:t>
      </w:r>
      <w:r>
        <w:rPr>
          <w:rFonts w:ascii="Times New Roman" w:eastAsia="Times New Roman" w:hAnsi="Times New Roman" w:cs="Times New Roman"/>
          <w:sz w:val="24"/>
          <w:szCs w:val="24"/>
        </w:rPr>
        <w:t xml:space="preserve">: Their return on equity stood at 7.9% in 2022, highlighting solid portability relevant to its base of equity (markets.ft.com, 2024). </w:t>
      </w:r>
    </w:p>
    <w:p w14:paraId="2522BDDB"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ii. Market position and share</w:t>
      </w:r>
      <w:r>
        <w:rPr>
          <w:rFonts w:ascii="Times New Roman" w:eastAsia="Times New Roman" w:hAnsi="Times New Roman" w:cs="Times New Roman"/>
          <w:sz w:val="24"/>
          <w:szCs w:val="24"/>
        </w:rPr>
        <w:t xml:space="preserve">: </w:t>
      </w:r>
    </w:p>
    <w:p w14:paraId="40DA2FE8"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Asia approach impact</w:t>
      </w:r>
      <w:r>
        <w:rPr>
          <w:rFonts w:ascii="Times New Roman" w:eastAsia="Times New Roman" w:hAnsi="Times New Roman" w:cs="Times New Roman"/>
          <w:sz w:val="24"/>
          <w:szCs w:val="24"/>
        </w:rPr>
        <w:t xml:space="preserve">: The Focus of HSBC on Asia has strengthened its position in the market in the various regions. Also, it remains a leading player across Hong Kong along with continues to enhance its footprint in China (Li and Cheong, 2024). </w:t>
      </w:r>
    </w:p>
    <w:p w14:paraId="0D6CBDB6"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International presence</w:t>
      </w:r>
      <w:r>
        <w:rPr>
          <w:rFonts w:ascii="Times New Roman" w:eastAsia="Times New Roman" w:hAnsi="Times New Roman" w:cs="Times New Roman"/>
          <w:sz w:val="24"/>
          <w:szCs w:val="24"/>
        </w:rPr>
        <w:t xml:space="preserve">: Scaling back some markets, this banking organisation has a huge international presence, specifically in the Middle East and Europe, utilising its global network to serve international consumers properly. </w:t>
      </w:r>
    </w:p>
    <w:p w14:paraId="1FB6AE36"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iii. Competitive advantage</w:t>
      </w:r>
      <w:r>
        <w:rPr>
          <w:rFonts w:ascii="Times New Roman" w:eastAsia="Times New Roman" w:hAnsi="Times New Roman" w:cs="Times New Roman"/>
          <w:sz w:val="24"/>
          <w:szCs w:val="24"/>
        </w:rPr>
        <w:t xml:space="preserve">: The strategies of HSBC have conferred multiple competitive advantages, considering it preferably against competitors across the financial and banking services sector (Li and Cheong, 2024). </w:t>
      </w:r>
    </w:p>
    <w:p w14:paraId="3E45FED8"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Asia focus</w:t>
      </w:r>
      <w:r>
        <w:rPr>
          <w:rFonts w:ascii="Times New Roman" w:eastAsia="Times New Roman" w:hAnsi="Times New Roman" w:cs="Times New Roman"/>
          <w:sz w:val="24"/>
          <w:szCs w:val="24"/>
        </w:rPr>
        <w:t xml:space="preserve">: HSBC’s strong rooted presence across Asia, generally in China and Hong Kong offers a specific competitive advantage. However, this strategic concentration has helped HSBC in terms of capitalising on the country’s economic growth as well as new opportunities, outperforming competitors who may be absent comparable countries' expertise (euromoney.com, 2023). </w:t>
      </w:r>
    </w:p>
    <w:p w14:paraId="1E4E8B46"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Digital transformation</w:t>
      </w:r>
      <w:r>
        <w:rPr>
          <w:rFonts w:ascii="Times New Roman" w:eastAsia="Times New Roman" w:hAnsi="Times New Roman" w:cs="Times New Roman"/>
          <w:sz w:val="24"/>
          <w:szCs w:val="24"/>
        </w:rPr>
        <w:t xml:space="preserve">: Investment of HSBC in digital platforms such as Kinetic HSBC as well as mobile applications of banking have maximised client engagement along with operational efficiency. However, this digital change has ensured this bank in terms of providing huge digital banking experiences, appealing to tech-savvy clients along with achieving a competitive position with digital and traditional competitors (Ahangar and Salman, 2021). </w:t>
      </w:r>
    </w:p>
    <w:p w14:paraId="4641B7FF"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Sustainable finance effort</w:t>
      </w:r>
      <w:r>
        <w:rPr>
          <w:rFonts w:ascii="Times New Roman" w:eastAsia="Times New Roman" w:hAnsi="Times New Roman" w:cs="Times New Roman"/>
          <w:sz w:val="24"/>
          <w:szCs w:val="24"/>
        </w:rPr>
        <w:t xml:space="preserve">: The leadership of HSBC is sustainable finance combined with increasing investor along with client expectations for practices of ethical banking. While committing to sustainable financial objectives and net-zero emissions, this bank differentiates itself as a responsible business citizen, maximising its brand reputation along with appealing to environmentally aware consumers (Paliampelou, 2024). </w:t>
      </w:r>
    </w:p>
    <w:p w14:paraId="623C9AFC" w14:textId="77777777" w:rsidR="00C92389" w:rsidRDefault="00D00D10" w:rsidP="00704994">
      <w:pPr>
        <w:pStyle w:val="Heading1"/>
        <w:spacing w:after="240" w:line="480" w:lineRule="auto"/>
        <w:jc w:val="both"/>
        <w:rPr>
          <w:rFonts w:ascii="Times New Roman" w:eastAsia="Times New Roman" w:hAnsi="Times New Roman" w:cs="Times New Roman"/>
          <w:b/>
          <w:sz w:val="28"/>
          <w:szCs w:val="28"/>
        </w:rPr>
      </w:pPr>
      <w:bookmarkStart w:id="8" w:name="_3h2w5ianunq2" w:colFirst="0" w:colLast="0"/>
      <w:bookmarkStart w:id="9" w:name="_Toc171102638"/>
      <w:bookmarkEnd w:id="8"/>
      <w:r>
        <w:rPr>
          <w:rFonts w:ascii="Times New Roman" w:eastAsia="Times New Roman" w:hAnsi="Times New Roman" w:cs="Times New Roman"/>
          <w:b/>
          <w:sz w:val="28"/>
          <w:szCs w:val="28"/>
        </w:rPr>
        <w:t>5. Sustainability and environmental considerations</w:t>
      </w:r>
      <w:bookmarkEnd w:id="9"/>
      <w:r>
        <w:rPr>
          <w:rFonts w:ascii="Times New Roman" w:eastAsia="Times New Roman" w:hAnsi="Times New Roman" w:cs="Times New Roman"/>
          <w:b/>
          <w:sz w:val="28"/>
          <w:szCs w:val="28"/>
        </w:rPr>
        <w:t xml:space="preserve"> </w:t>
      </w:r>
    </w:p>
    <w:p w14:paraId="4A129E39"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HSBC has made specific strides in incorporating sustainability into its business operations, highlighting a strong effort to business responsibility and environmental stewardship. However, they have developed various core initiatives focused on minimising their atmospheric footprint </w:t>
      </w:r>
      <w:r>
        <w:rPr>
          <w:rFonts w:ascii="Times New Roman" w:eastAsia="Times New Roman" w:hAnsi="Times New Roman" w:cs="Times New Roman"/>
          <w:sz w:val="24"/>
          <w:szCs w:val="24"/>
        </w:rPr>
        <w:lastRenderedPageBreak/>
        <w:t>along with boosting sustainability practices. It is noteworthy that, one of the core sustainability objectives of HSBC is to gain net-zero emissions of carbon across its supply chain and operations by 2030 (Grijalvo and García-Wang, 2023). In terms of gaining this, HSBC has concentrated on minimising its operational footprint of carbon by energy-efficient measures as well as sourcing renewable energy. Also, HSBC has developed initiatives in terms of fostering sustainable finance, considering committing to o</w:t>
      </w:r>
      <w:r>
        <w:rPr>
          <w:rFonts w:ascii="Times New Roman" w:eastAsia="Times New Roman" w:hAnsi="Times New Roman" w:cs="Times New Roman"/>
          <w:sz w:val="24"/>
          <w:szCs w:val="24"/>
        </w:rPr>
        <w:t xml:space="preserve">ffer $1 trillion on sustainable financing as well as investment throughout the year 2030 (Shahrom and Kunhibava, 2023). Hence, this approach aims in terms of supporting projects that offer positive environmental goals like green buildings, sustainable agriculture and renewable energy. </w:t>
      </w:r>
    </w:p>
    <w:p w14:paraId="474CC108"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with its operational objectives, HSBC has developed strong social, and environmental along with governance and ESG risk management structures. Entire structures confirm that considerations of sustainability are collaborated into decision-making procedures across the company, including investment and leading activities. By collaborating ESG aspects into assessments of risk, this banking company prevents social and environmental challenges along with recognises for innovation and sustainable grow</w:t>
      </w:r>
      <w:r>
        <w:rPr>
          <w:rFonts w:ascii="Times New Roman" w:eastAsia="Times New Roman" w:hAnsi="Times New Roman" w:cs="Times New Roman"/>
          <w:sz w:val="24"/>
          <w:szCs w:val="24"/>
        </w:rPr>
        <w:t>th (Saxena et al., 2021). Also, the importance of HSBC’s sustainability commitment to maximising competitiveness is important in various aspects. Initially, the commitment of this bank to sustainable finance has strengthened its brand reputation as the leader in effective banking approaches, engaging environmentally aware investors along with consumers. Moreover, this has allowed this company to differentiate itself across the competitive environment of the market where ESG is highly prioritised through pot</w:t>
      </w:r>
      <w:r>
        <w:rPr>
          <w:rFonts w:ascii="Times New Roman" w:eastAsia="Times New Roman" w:hAnsi="Times New Roman" w:cs="Times New Roman"/>
          <w:sz w:val="24"/>
          <w:szCs w:val="24"/>
        </w:rPr>
        <w:t xml:space="preserve">ential stakeholders. </w:t>
      </w:r>
    </w:p>
    <w:p w14:paraId="66961EF4"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that, collaborating sustainability into the company’s strategy has ensured HSBC in terms of combining with expectations on regulations as well as anticipating changing market </w:t>
      </w:r>
      <w:r>
        <w:rPr>
          <w:rFonts w:ascii="Times New Roman" w:eastAsia="Times New Roman" w:hAnsi="Times New Roman" w:cs="Times New Roman"/>
          <w:sz w:val="24"/>
          <w:szCs w:val="24"/>
        </w:rPr>
        <w:lastRenderedPageBreak/>
        <w:t>demands. Through the identification of environmental opportunities and risks proactively, this bank maximises its resilience along with sustained profitability. Moreover, this strategic foresight prevents potential reputational challenges connected to environmental controversies and positions this company as an effective partner for long-term finance solutions (Saxena et al., 2021). Therefore, this company’s thorough strategy for sustainability highlights its effort to business responsibility along with env</w:t>
      </w:r>
      <w:r>
        <w:rPr>
          <w:rFonts w:ascii="Times New Roman" w:eastAsia="Times New Roman" w:hAnsi="Times New Roman" w:cs="Times New Roman"/>
          <w:sz w:val="24"/>
          <w:szCs w:val="24"/>
        </w:rPr>
        <w:t xml:space="preserve">ironmental stewardship. While setting specific objectives, developing strong sustainability approaches as well as collaborating ESG considerations to its proper business strategy, this banking company contributes to international environmental goals and maximises its competitiveness across the dynamic financial services sector. </w:t>
      </w:r>
    </w:p>
    <w:p w14:paraId="282E68AF" w14:textId="77777777" w:rsidR="00C92389" w:rsidRDefault="00D00D10" w:rsidP="00704994">
      <w:pPr>
        <w:pStyle w:val="Heading1"/>
        <w:spacing w:after="240" w:line="480" w:lineRule="auto"/>
        <w:jc w:val="both"/>
        <w:rPr>
          <w:rFonts w:ascii="Times New Roman" w:eastAsia="Times New Roman" w:hAnsi="Times New Roman" w:cs="Times New Roman"/>
          <w:b/>
          <w:sz w:val="28"/>
          <w:szCs w:val="28"/>
        </w:rPr>
      </w:pPr>
      <w:bookmarkStart w:id="10" w:name="_9mt5uzf1cbk5" w:colFirst="0" w:colLast="0"/>
      <w:bookmarkStart w:id="11" w:name="_Toc171102639"/>
      <w:bookmarkEnd w:id="10"/>
      <w:r>
        <w:rPr>
          <w:rFonts w:ascii="Times New Roman" w:eastAsia="Times New Roman" w:hAnsi="Times New Roman" w:cs="Times New Roman"/>
          <w:b/>
          <w:sz w:val="28"/>
          <w:szCs w:val="28"/>
        </w:rPr>
        <w:t>6. Future strategic directions</w:t>
      </w:r>
      <w:bookmarkEnd w:id="11"/>
      <w:r>
        <w:rPr>
          <w:rFonts w:ascii="Times New Roman" w:eastAsia="Times New Roman" w:hAnsi="Times New Roman" w:cs="Times New Roman"/>
          <w:b/>
          <w:sz w:val="28"/>
          <w:szCs w:val="28"/>
        </w:rPr>
        <w:t xml:space="preserve"> </w:t>
      </w:r>
    </w:p>
    <w:p w14:paraId="1772C696"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Strategic choices</w:t>
      </w:r>
      <w:r>
        <w:rPr>
          <w:rFonts w:ascii="Times New Roman" w:eastAsia="Times New Roman" w:hAnsi="Times New Roman" w:cs="Times New Roman"/>
          <w:sz w:val="24"/>
          <w:szCs w:val="24"/>
        </w:rPr>
        <w:t>: HSBC experiences various strategic choices for future direction. However, one of the main considerations is maximising its services of digital banking in terms of boosting client experience as well as operational efficiency. Accepting fintech partnerships along with investing in modern digital technologies may help this company in terms of serving changing client preferences as well as boost its competitive position across the digital banking environment (business.hsbc.com, 2022). Apart from that other st</w:t>
      </w:r>
      <w:r>
        <w:rPr>
          <w:rFonts w:ascii="Times New Roman" w:eastAsia="Times New Roman" w:hAnsi="Times New Roman" w:cs="Times New Roman"/>
          <w:sz w:val="24"/>
          <w:szCs w:val="24"/>
        </w:rPr>
        <w:t>rategies include geographic diversification along with market expansion, specifically in new markets such as Asia. also, the historical strength of HSBC in Asia usually positions it properly in terms of boosting the economic growth of the region and burgeoning populations of middle-class families (business.hsbc.com, 2022). Utilising its developed brand presence and network, this company can additionally penetrate such markets by customised financial items along with services that serve regional people's req</w:t>
      </w:r>
      <w:r>
        <w:rPr>
          <w:rFonts w:ascii="Times New Roman" w:eastAsia="Times New Roman" w:hAnsi="Times New Roman" w:cs="Times New Roman"/>
          <w:sz w:val="24"/>
          <w:szCs w:val="24"/>
        </w:rPr>
        <w:t xml:space="preserve">uirements. </w:t>
      </w:r>
    </w:p>
    <w:p w14:paraId="29392722"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Recommendations</w:t>
      </w:r>
      <w:r>
        <w:rPr>
          <w:rFonts w:ascii="Times New Roman" w:eastAsia="Times New Roman" w:hAnsi="Times New Roman" w:cs="Times New Roman"/>
          <w:sz w:val="24"/>
          <w:szCs w:val="24"/>
        </w:rPr>
        <w:t xml:space="preserve">: In terms of boosting its competitive benefit through sustainability approaches, this company need to prioritise social, environmental and governance which is the ESG method in its corporate operations. Collaborating suitability into main business approaches can prevent challenges connected to climate change as well as regulatory pressures along with appeal to socially responsible clients and investors. Particular recommendations are discussed below: </w:t>
      </w:r>
    </w:p>
    <w:p w14:paraId="109F1780"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Carbon neutrality effort</w:t>
      </w:r>
      <w:r>
        <w:rPr>
          <w:rFonts w:ascii="Times New Roman" w:eastAsia="Times New Roman" w:hAnsi="Times New Roman" w:cs="Times New Roman"/>
          <w:sz w:val="24"/>
          <w:szCs w:val="24"/>
        </w:rPr>
        <w:t xml:space="preserve">: Set a specific target in terms of gaining carbon neutrality in its supply chain and operations, combining with international climate objectives like the Paris Agreement (deloitte.com, 2024). </w:t>
      </w:r>
    </w:p>
    <w:p w14:paraId="42553C4D"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Green Financing approaches</w:t>
      </w:r>
      <w:r>
        <w:rPr>
          <w:rFonts w:ascii="Times New Roman" w:eastAsia="Times New Roman" w:hAnsi="Times New Roman" w:cs="Times New Roman"/>
          <w:sz w:val="24"/>
          <w:szCs w:val="24"/>
        </w:rPr>
        <w:t xml:space="preserve">: Enhance offerings of sustainable finance and green bond solutions for finance projects on renewable energy along with environmentally aware initiatives internationally. </w:t>
      </w:r>
    </w:p>
    <w:p w14:paraId="5AF735A8"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Maximised ESG reporting</w:t>
      </w:r>
      <w:r>
        <w:rPr>
          <w:rFonts w:ascii="Times New Roman" w:eastAsia="Times New Roman" w:hAnsi="Times New Roman" w:cs="Times New Roman"/>
          <w:sz w:val="24"/>
          <w:szCs w:val="24"/>
        </w:rPr>
        <w:t xml:space="preserve">: Increase transparency along with accountability by thorough reporting of ESG, disclosing effective environmental effect metrics along with progress to sustainability objectives (snowflake.com, 2024). </w:t>
      </w:r>
    </w:p>
    <w:p w14:paraId="58D24625"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accepting such recommendations and strategic choices, this leading bank HSBC can be positioned as a responsible leader across sustainable finance while promoting sustained growth as well as resilience in the highly competitive along environmentally aware international market. </w:t>
      </w:r>
    </w:p>
    <w:p w14:paraId="15D9EAA9" w14:textId="77777777" w:rsidR="00C92389" w:rsidRDefault="00D00D10" w:rsidP="00704994">
      <w:pPr>
        <w:pStyle w:val="Heading1"/>
        <w:spacing w:after="240" w:line="480" w:lineRule="auto"/>
        <w:jc w:val="both"/>
        <w:rPr>
          <w:rFonts w:ascii="Times New Roman" w:eastAsia="Times New Roman" w:hAnsi="Times New Roman" w:cs="Times New Roman"/>
          <w:b/>
          <w:sz w:val="28"/>
          <w:szCs w:val="28"/>
        </w:rPr>
      </w:pPr>
      <w:bookmarkStart w:id="12" w:name="_2wzufbs577mb" w:colFirst="0" w:colLast="0"/>
      <w:bookmarkStart w:id="13" w:name="_Toc171102640"/>
      <w:bookmarkEnd w:id="12"/>
      <w:r>
        <w:rPr>
          <w:rFonts w:ascii="Times New Roman" w:eastAsia="Times New Roman" w:hAnsi="Times New Roman" w:cs="Times New Roman"/>
          <w:b/>
          <w:sz w:val="28"/>
          <w:szCs w:val="28"/>
        </w:rPr>
        <w:lastRenderedPageBreak/>
        <w:t>7. Conclusion</w:t>
      </w:r>
      <w:bookmarkEnd w:id="13"/>
      <w:r>
        <w:rPr>
          <w:rFonts w:ascii="Times New Roman" w:eastAsia="Times New Roman" w:hAnsi="Times New Roman" w:cs="Times New Roman"/>
          <w:b/>
          <w:sz w:val="28"/>
          <w:szCs w:val="28"/>
        </w:rPr>
        <w:t xml:space="preserve"> </w:t>
      </w:r>
    </w:p>
    <w:p w14:paraId="640C1A7A"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 this report shows the strong strategic choices of HSBC company focused on international banking along with wealth management, guided by significant capabilities in risk management and technology. However, their strategy development advantages in various markets. Also, sustainability commitment involving community investment, and carbon neutrality efforts maximises brand image along with long-term resilience. Moreover, looking forward, this company need to utilise technology to gain efficiency whi</w:t>
      </w:r>
      <w:r>
        <w:rPr>
          <w:rFonts w:ascii="Times New Roman" w:eastAsia="Times New Roman" w:hAnsi="Times New Roman" w:cs="Times New Roman"/>
          <w:sz w:val="24"/>
          <w:szCs w:val="24"/>
        </w:rPr>
        <w:t xml:space="preserve">le strengthening sustainability approaches in terms of maintaining competitiveness and combining with changing international trends, confirming an effective approach to balance growth along with environmental responsibility. </w:t>
      </w:r>
    </w:p>
    <w:p w14:paraId="3F60A64B" w14:textId="77777777" w:rsidR="00C92389" w:rsidRDefault="00D00D10" w:rsidP="00704994">
      <w:pPr>
        <w:pStyle w:val="Heading1"/>
        <w:spacing w:after="240" w:line="480" w:lineRule="auto"/>
        <w:jc w:val="both"/>
        <w:rPr>
          <w:rFonts w:ascii="Times New Roman" w:eastAsia="Times New Roman" w:hAnsi="Times New Roman" w:cs="Times New Roman"/>
          <w:b/>
          <w:sz w:val="28"/>
          <w:szCs w:val="28"/>
        </w:rPr>
      </w:pPr>
      <w:bookmarkStart w:id="14" w:name="_kly881vucqp3" w:colFirst="0" w:colLast="0"/>
      <w:bookmarkEnd w:id="14"/>
      <w:r>
        <w:br w:type="page"/>
      </w:r>
    </w:p>
    <w:p w14:paraId="79D85B44" w14:textId="77777777" w:rsidR="00C92389" w:rsidRDefault="00D00D10" w:rsidP="00704994">
      <w:pPr>
        <w:pStyle w:val="Heading1"/>
        <w:spacing w:after="240" w:line="480" w:lineRule="auto"/>
        <w:jc w:val="both"/>
        <w:rPr>
          <w:rFonts w:ascii="Times New Roman" w:eastAsia="Times New Roman" w:hAnsi="Times New Roman" w:cs="Times New Roman"/>
          <w:b/>
          <w:sz w:val="28"/>
          <w:szCs w:val="28"/>
        </w:rPr>
      </w:pPr>
      <w:bookmarkStart w:id="15" w:name="_3fmlg8sqwc" w:colFirst="0" w:colLast="0"/>
      <w:bookmarkStart w:id="16" w:name="_Toc171102641"/>
      <w:bookmarkEnd w:id="15"/>
      <w:r>
        <w:rPr>
          <w:rFonts w:ascii="Times New Roman" w:eastAsia="Times New Roman" w:hAnsi="Times New Roman" w:cs="Times New Roman"/>
          <w:b/>
          <w:sz w:val="28"/>
          <w:szCs w:val="28"/>
        </w:rPr>
        <w:lastRenderedPageBreak/>
        <w:t>8. References</w:t>
      </w:r>
      <w:bookmarkEnd w:id="16"/>
      <w:r>
        <w:rPr>
          <w:rFonts w:ascii="Times New Roman" w:eastAsia="Times New Roman" w:hAnsi="Times New Roman" w:cs="Times New Roman"/>
          <w:b/>
          <w:sz w:val="28"/>
          <w:szCs w:val="28"/>
        </w:rPr>
        <w:t xml:space="preserve"> </w:t>
      </w:r>
    </w:p>
    <w:p w14:paraId="7C323F9A" w14:textId="77777777" w:rsidR="00C92389" w:rsidRDefault="00D00D10" w:rsidP="00704994">
      <w:pPr>
        <w:spacing w:after="240" w:line="480" w:lineRule="auto"/>
        <w:jc w:val="both"/>
        <w:rPr>
          <w:rFonts w:ascii="Times New Roman" w:eastAsia="Times New Roman" w:hAnsi="Times New Roman" w:cs="Times New Roman"/>
          <w:sz w:val="24"/>
          <w:szCs w:val="24"/>
        </w:rPr>
      </w:pPr>
      <w:bookmarkStart w:id="17" w:name="_s4jb29ktgywc" w:colFirst="0" w:colLast="0"/>
      <w:bookmarkEnd w:id="17"/>
      <w:r>
        <w:rPr>
          <w:rFonts w:ascii="Times New Roman" w:eastAsia="Times New Roman" w:hAnsi="Times New Roman" w:cs="Times New Roman"/>
          <w:sz w:val="24"/>
          <w:szCs w:val="24"/>
        </w:rPr>
        <w:t xml:space="preserve">Ahangar, R.G. and Salman, A. (2021). </w:t>
      </w:r>
      <w:r>
        <w:rPr>
          <w:rFonts w:ascii="Times New Roman" w:eastAsia="Times New Roman" w:hAnsi="Times New Roman" w:cs="Times New Roman"/>
          <w:i/>
          <w:sz w:val="24"/>
          <w:szCs w:val="24"/>
        </w:rPr>
        <w:t>Investment Strategies in Emerging New Trends in Finance</w:t>
      </w:r>
      <w:r>
        <w:rPr>
          <w:rFonts w:ascii="Times New Roman" w:eastAsia="Times New Roman" w:hAnsi="Times New Roman" w:cs="Times New Roman"/>
          <w:sz w:val="24"/>
          <w:szCs w:val="24"/>
        </w:rPr>
        <w:t xml:space="preserve">. [online] </w:t>
      </w:r>
      <w:r>
        <w:rPr>
          <w:rFonts w:ascii="Times New Roman" w:eastAsia="Times New Roman" w:hAnsi="Times New Roman" w:cs="Times New Roman"/>
          <w:i/>
          <w:sz w:val="24"/>
          <w:szCs w:val="24"/>
        </w:rPr>
        <w:t>Google Books</w:t>
      </w:r>
      <w:r>
        <w:rPr>
          <w:rFonts w:ascii="Times New Roman" w:eastAsia="Times New Roman" w:hAnsi="Times New Roman" w:cs="Times New Roman"/>
          <w:sz w:val="24"/>
          <w:szCs w:val="24"/>
        </w:rPr>
        <w:t>. BoD – Books on Demand. Available at: https://books.google.co.in/books?hl=en&amp;lr=&amp;id=KGwtEAAAQBAJ&amp;oi=fnd&amp;pg=PA91&amp;dq=Digital+transformation+of+HSBC&amp;ots=7PrQKRy5l6&amp;sig=6NLMeBkJloRm5qNE-5FKv2gw_9c&amp;redir_esc=y#v=onepage&amp;q&amp;f=false [Accessed 5 Jul. 2024].</w:t>
      </w:r>
    </w:p>
    <w:p w14:paraId="2EBEF98C"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Barber, A. (2021). HSBC: Learning Without Change? </w:t>
      </w:r>
      <w:r>
        <w:rPr>
          <w:rFonts w:ascii="Times New Roman" w:eastAsia="Times New Roman" w:hAnsi="Times New Roman" w:cs="Times New Roman"/>
          <w:i/>
          <w:sz w:val="24"/>
          <w:szCs w:val="24"/>
        </w:rPr>
        <w:t>UK Banks and the Lessons of the Great Financial Crisis</w:t>
      </w:r>
      <w:r>
        <w:rPr>
          <w:rFonts w:ascii="Times New Roman" w:eastAsia="Times New Roman" w:hAnsi="Times New Roman" w:cs="Times New Roman"/>
          <w:sz w:val="24"/>
          <w:szCs w:val="24"/>
        </w:rPr>
        <w:t>, 1(1), pp.237–278.</w:t>
      </w:r>
    </w:p>
    <w:p w14:paraId="6F783A69"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business.hsbc.com (2022). </w:t>
      </w:r>
      <w:r>
        <w:rPr>
          <w:rFonts w:ascii="Times New Roman" w:eastAsia="Times New Roman" w:hAnsi="Times New Roman" w:cs="Times New Roman"/>
          <w:i/>
          <w:sz w:val="24"/>
          <w:szCs w:val="24"/>
        </w:rPr>
        <w:t>A 3D view of Southeast Asia: demographics, digitisation and dynamism</w:t>
      </w:r>
      <w:r>
        <w:rPr>
          <w:rFonts w:ascii="Times New Roman" w:eastAsia="Times New Roman" w:hAnsi="Times New Roman" w:cs="Times New Roman"/>
          <w:sz w:val="24"/>
          <w:szCs w:val="24"/>
        </w:rPr>
        <w:t>. [online] www.business.hsbc.com. Available at: https://www.business.hsbc.com/en-gb/insights/growing-my-business/a-3d-view-of-southeast-asia [Accessed 5 Jul. 2024].</w:t>
      </w:r>
    </w:p>
    <w:p w14:paraId="7265C414"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csofutures.com (2024). </w:t>
      </w:r>
      <w:r>
        <w:rPr>
          <w:rFonts w:ascii="Times New Roman" w:eastAsia="Times New Roman" w:hAnsi="Times New Roman" w:cs="Times New Roman"/>
          <w:i/>
          <w:sz w:val="24"/>
          <w:szCs w:val="24"/>
        </w:rPr>
        <w:t>HSBC focuses on sustainability execution after board criticism</w:t>
      </w:r>
      <w:r>
        <w:rPr>
          <w:rFonts w:ascii="Times New Roman" w:eastAsia="Times New Roman" w:hAnsi="Times New Roman" w:cs="Times New Roman"/>
          <w:sz w:val="24"/>
          <w:szCs w:val="24"/>
        </w:rPr>
        <w:t>. [online] CSO Futures. Available at: https://www.csofutures.com/news/hsbc-puts-focus-on-sustainability-execution-after-board-criticism/ [Accessed 5 Jul. 2024].</w:t>
      </w:r>
    </w:p>
    <w:p w14:paraId="45202FDF"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deloitte.com (2024). </w:t>
      </w:r>
      <w:r>
        <w:rPr>
          <w:rFonts w:ascii="Times New Roman" w:eastAsia="Times New Roman" w:hAnsi="Times New Roman" w:cs="Times New Roman"/>
          <w:i/>
          <w:sz w:val="24"/>
          <w:szCs w:val="24"/>
        </w:rPr>
        <w:t>Banking on climate neutrality The global banking industry’s role in transitioning to a low-carbon economy</w:t>
      </w:r>
      <w:r>
        <w:rPr>
          <w:rFonts w:ascii="Times New Roman" w:eastAsia="Times New Roman" w:hAnsi="Times New Roman" w:cs="Times New Roman"/>
          <w:sz w:val="24"/>
          <w:szCs w:val="24"/>
        </w:rPr>
        <w:t>. [online] www.deloitte.com. Available at: https://www.deloitte.com/global/en/Industries/financial-services/perspectives/towards-climate-neutrality.html [Accessed 5 Jul. 2024].</w:t>
      </w:r>
    </w:p>
    <w:p w14:paraId="7ED95A8B"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euromoney.com (2023). </w:t>
      </w:r>
      <w:r>
        <w:rPr>
          <w:rFonts w:ascii="Times New Roman" w:eastAsia="Times New Roman" w:hAnsi="Times New Roman" w:cs="Times New Roman"/>
          <w:i/>
          <w:sz w:val="24"/>
          <w:szCs w:val="24"/>
        </w:rPr>
        <w:t>How HSBC regained its mantle as Asia’s best bank</w:t>
      </w:r>
      <w:r>
        <w:rPr>
          <w:rFonts w:ascii="Times New Roman" w:eastAsia="Times New Roman" w:hAnsi="Times New Roman" w:cs="Times New Roman"/>
          <w:sz w:val="24"/>
          <w:szCs w:val="24"/>
        </w:rPr>
        <w:t xml:space="preserve">. [online] Asiamoney. Available at: </w:t>
      </w:r>
      <w:r>
        <w:rPr>
          <w:rFonts w:ascii="Times New Roman" w:eastAsia="Times New Roman" w:hAnsi="Times New Roman" w:cs="Times New Roman"/>
          <w:sz w:val="24"/>
          <w:szCs w:val="24"/>
        </w:rPr>
        <w:lastRenderedPageBreak/>
        <w:t>https://www.euromoney.com/asiamoney/article/2c4dtt5q5nq77ipjbi1oh/asiamoney/how-hsbc-regained-its-mantle-as-asias-best-bank [Accessed 5 Jul. 2024].</w:t>
      </w:r>
    </w:p>
    <w:p w14:paraId="73739335"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gbm.hsbc.com (2024). </w:t>
      </w:r>
      <w:r>
        <w:rPr>
          <w:rFonts w:ascii="Times New Roman" w:eastAsia="Times New Roman" w:hAnsi="Times New Roman" w:cs="Times New Roman"/>
          <w:i/>
          <w:sz w:val="24"/>
          <w:szCs w:val="24"/>
        </w:rPr>
        <w:t>About us</w:t>
      </w:r>
      <w:r>
        <w:rPr>
          <w:rFonts w:ascii="Times New Roman" w:eastAsia="Times New Roman" w:hAnsi="Times New Roman" w:cs="Times New Roman"/>
          <w:sz w:val="24"/>
          <w:szCs w:val="24"/>
        </w:rPr>
        <w:t>. [online] www.gbm.hsbc.com. Available at: https://www.gbm.hsbc.com/en-gb/about-us [Accessed 5 Jul. 2024].</w:t>
      </w:r>
    </w:p>
    <w:p w14:paraId="33E35D41"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Grijalvo, M. and García-Wang, C. (2023). Sustainable business model for climate finance. Key drivers for the commercial banking sector. </w:t>
      </w:r>
      <w:r>
        <w:rPr>
          <w:rFonts w:ascii="Times New Roman" w:eastAsia="Times New Roman" w:hAnsi="Times New Roman" w:cs="Times New Roman"/>
          <w:i/>
          <w:sz w:val="24"/>
          <w:szCs w:val="24"/>
        </w:rPr>
        <w:t>Journal of Business Research</w:t>
      </w:r>
      <w:r>
        <w:rPr>
          <w:rFonts w:ascii="Times New Roman" w:eastAsia="Times New Roman" w:hAnsi="Times New Roman" w:cs="Times New Roman"/>
          <w:sz w:val="24"/>
          <w:szCs w:val="24"/>
        </w:rPr>
        <w:t>, 155, p.113446. doi https://doi.org/10.1016/j.jbusres.2022.113446.</w:t>
      </w:r>
    </w:p>
    <w:p w14:paraId="347D49FA"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Henry, A. (2021). </w:t>
      </w:r>
      <w:r>
        <w:rPr>
          <w:rFonts w:ascii="Times New Roman" w:eastAsia="Times New Roman" w:hAnsi="Times New Roman" w:cs="Times New Roman"/>
          <w:i/>
          <w:sz w:val="24"/>
          <w:szCs w:val="24"/>
        </w:rPr>
        <w:t>Understanding Strategic Management</w:t>
      </w:r>
      <w:r>
        <w:rPr>
          <w:rFonts w:ascii="Times New Roman" w:eastAsia="Times New Roman" w:hAnsi="Times New Roman" w:cs="Times New Roman"/>
          <w:sz w:val="24"/>
          <w:szCs w:val="24"/>
        </w:rPr>
        <w:t xml:space="preserve">. [online] </w:t>
      </w:r>
      <w:r>
        <w:rPr>
          <w:rFonts w:ascii="Times New Roman" w:eastAsia="Times New Roman" w:hAnsi="Times New Roman" w:cs="Times New Roman"/>
          <w:i/>
          <w:sz w:val="24"/>
          <w:szCs w:val="24"/>
        </w:rPr>
        <w:t>Google Books</w:t>
      </w:r>
      <w:r>
        <w:rPr>
          <w:rFonts w:ascii="Times New Roman" w:eastAsia="Times New Roman" w:hAnsi="Times New Roman" w:cs="Times New Roman"/>
          <w:sz w:val="24"/>
          <w:szCs w:val="24"/>
        </w:rPr>
        <w:t>. Oxford University Press. Available at: https://books.google.co.in/books?hl=en&amp;lr=&amp;id=M7wyEAAAQBAJ&amp;oi=fnd&amp;pg=PP1&amp;dq=HSBC+strategic+management&amp;ots=Z4u_rmeAAr&amp;sig=x7-jF-mGBVNyiGYoNdzaPtJUbPo&amp;redir_esc=y#v=onepage&amp;q=HSBC%20strategic%20management&amp;f=false [Accessed 5 Jul. 2024].</w:t>
      </w:r>
    </w:p>
    <w:p w14:paraId="458BBA9C"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hsbc.com (2023). </w:t>
      </w:r>
      <w:r>
        <w:rPr>
          <w:rFonts w:ascii="Times New Roman" w:eastAsia="Times New Roman" w:hAnsi="Times New Roman" w:cs="Times New Roman"/>
          <w:i/>
          <w:sz w:val="24"/>
          <w:szCs w:val="24"/>
        </w:rPr>
        <w:t>Balance for better</w:t>
      </w:r>
      <w:r>
        <w:rPr>
          <w:rFonts w:ascii="Times New Roman" w:eastAsia="Times New Roman" w:hAnsi="Times New Roman" w:cs="Times New Roman"/>
          <w:sz w:val="24"/>
          <w:szCs w:val="24"/>
        </w:rPr>
        <w:t>. [online] HSBC. Available at: https://www.hsbc.com/ [Accessed 5 Jul. 2024].</w:t>
      </w:r>
    </w:p>
    <w:p w14:paraId="1C82D4C1"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hsbc.com (2024). </w:t>
      </w:r>
      <w:r>
        <w:rPr>
          <w:rFonts w:ascii="Times New Roman" w:eastAsia="Times New Roman" w:hAnsi="Times New Roman" w:cs="Times New Roman"/>
          <w:i/>
          <w:sz w:val="24"/>
          <w:szCs w:val="24"/>
        </w:rPr>
        <w:t>Our investment case | HSBC Holdings plc</w:t>
      </w:r>
      <w:r>
        <w:rPr>
          <w:rFonts w:ascii="Times New Roman" w:eastAsia="Times New Roman" w:hAnsi="Times New Roman" w:cs="Times New Roman"/>
          <w:sz w:val="24"/>
          <w:szCs w:val="24"/>
        </w:rPr>
        <w:t>. [online] HSBC. Available at: https://www.hsbc.com/investors/investing-in-hsbc/our-investment-case [Accessed 5 Jul. 2024].</w:t>
      </w:r>
    </w:p>
    <w:p w14:paraId="6228C109"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Katerina, T. (2020). </w:t>
      </w:r>
      <w:r>
        <w:rPr>
          <w:rFonts w:ascii="Times New Roman" w:eastAsia="Times New Roman" w:hAnsi="Times New Roman" w:cs="Times New Roman"/>
          <w:i/>
          <w:sz w:val="24"/>
          <w:szCs w:val="24"/>
        </w:rPr>
        <w:t>The Challenges of Digital Transformation in Banking Industry</w:t>
      </w:r>
      <w:r>
        <w:rPr>
          <w:rFonts w:ascii="Times New Roman" w:eastAsia="Times New Roman" w:hAnsi="Times New Roman" w:cs="Times New Roman"/>
          <w:sz w:val="24"/>
          <w:szCs w:val="24"/>
        </w:rPr>
        <w:t>. [online] Available at: https://dspace.spbu.ru/bitstream/11701/27342/1/Ttikkou_Thesis.pdf.</w:t>
      </w:r>
    </w:p>
    <w:p w14:paraId="508256B4"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Lele, A. (2024). </w:t>
      </w:r>
      <w:r>
        <w:rPr>
          <w:rFonts w:ascii="Times New Roman" w:eastAsia="Times New Roman" w:hAnsi="Times New Roman" w:cs="Times New Roman"/>
          <w:i/>
          <w:sz w:val="24"/>
          <w:szCs w:val="24"/>
        </w:rPr>
        <w:t>HSBC pre-tax profit up 19% in India for FY23, more profitable than China</w:t>
      </w:r>
      <w:r>
        <w:rPr>
          <w:rFonts w:ascii="Times New Roman" w:eastAsia="Times New Roman" w:hAnsi="Times New Roman" w:cs="Times New Roman"/>
          <w:sz w:val="24"/>
          <w:szCs w:val="24"/>
        </w:rPr>
        <w:t>. [online] @bsindia. Available at: https://www.business-standard.com/companies/results/hsbc-pre-tax-profit-up-19-in-india-for-fy23-more-profitable-than-china-124022200003_1.html [Accessed 5 Jul. 2024].</w:t>
      </w:r>
    </w:p>
    <w:p w14:paraId="33450877"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R. and Cheong, K.-C. (2024). The Bank of China: From a Turbulent Past to a Strategic Future – What Does Its Presence in Malaysia Show? </w:t>
      </w:r>
      <w:r>
        <w:rPr>
          <w:rFonts w:ascii="Times New Roman" w:eastAsia="Times New Roman" w:hAnsi="Times New Roman" w:cs="Times New Roman"/>
          <w:i/>
          <w:sz w:val="24"/>
          <w:szCs w:val="24"/>
        </w:rPr>
        <w:t>Malaysian Journal of Economic Studies</w:t>
      </w:r>
      <w:r>
        <w:rPr>
          <w:rFonts w:ascii="Times New Roman" w:eastAsia="Times New Roman" w:hAnsi="Times New Roman" w:cs="Times New Roman"/>
          <w:sz w:val="24"/>
          <w:szCs w:val="24"/>
        </w:rPr>
        <w:t>, [online] 61(1), pp.159–175. doi:https://doi.org/10.22452/MJES.vol61no1.9.</w:t>
      </w:r>
    </w:p>
    <w:p w14:paraId="7A62853C"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markets.ft.com (2024). </w:t>
      </w:r>
      <w:r>
        <w:rPr>
          <w:rFonts w:ascii="Times New Roman" w:eastAsia="Times New Roman" w:hAnsi="Times New Roman" w:cs="Times New Roman"/>
          <w:i/>
          <w:sz w:val="24"/>
          <w:szCs w:val="24"/>
        </w:rPr>
        <w:t>HSBC Holdings 2023 Results – Company Announcement - FT.com</w:t>
      </w:r>
      <w:r>
        <w:rPr>
          <w:rFonts w:ascii="Times New Roman" w:eastAsia="Times New Roman" w:hAnsi="Times New Roman" w:cs="Times New Roman"/>
          <w:sz w:val="24"/>
          <w:szCs w:val="24"/>
        </w:rPr>
        <w:t>. [online] markets.ft.com. Available at: https://markets.ft.com/data/announce/detail?dockey=1323-16341358-6OQPRVNR4P4NB90KQF0KLRDQ2S.</w:t>
      </w:r>
    </w:p>
    <w:p w14:paraId="309E3DFE"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mindtools.com (2022). </w:t>
      </w:r>
      <w:r>
        <w:rPr>
          <w:rFonts w:ascii="Times New Roman" w:eastAsia="Times New Roman" w:hAnsi="Times New Roman" w:cs="Times New Roman"/>
          <w:i/>
          <w:sz w:val="24"/>
          <w:szCs w:val="24"/>
        </w:rPr>
        <w:t>Porter’s Generic Strategies</w:t>
      </w:r>
      <w:r>
        <w:rPr>
          <w:rFonts w:ascii="Times New Roman" w:eastAsia="Times New Roman" w:hAnsi="Times New Roman" w:cs="Times New Roman"/>
          <w:sz w:val="24"/>
          <w:szCs w:val="24"/>
        </w:rPr>
        <w:t>. [online] Mind Tools. Available at: https://www.mindtools.com/azb8kpl/porters-generic-strategies [Accessed 5 Jul. 2024].</w:t>
      </w:r>
    </w:p>
    <w:p w14:paraId="41BD0207"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Morris, J. (2019). </w:t>
      </w:r>
      <w:r>
        <w:rPr>
          <w:rFonts w:ascii="Times New Roman" w:eastAsia="Times New Roman" w:hAnsi="Times New Roman" w:cs="Times New Roman"/>
          <w:i/>
          <w:sz w:val="24"/>
          <w:szCs w:val="24"/>
        </w:rPr>
        <w:t>VRIO Analysis</w:t>
      </w:r>
      <w:r>
        <w:rPr>
          <w:rFonts w:ascii="Times New Roman" w:eastAsia="Times New Roman" w:hAnsi="Times New Roman" w:cs="Times New Roman"/>
          <w:sz w:val="24"/>
          <w:szCs w:val="24"/>
        </w:rPr>
        <w:t>. [online] Oregon State University. Available at: https://open.oregonstate.education/strategicmanagement/chapter/4-vrio-analysis/.</w:t>
      </w:r>
    </w:p>
    <w:p w14:paraId="0B03AEB2"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Paliampelou, I. (2024). </w:t>
      </w:r>
      <w:r>
        <w:rPr>
          <w:rFonts w:ascii="Times New Roman" w:eastAsia="Times New Roman" w:hAnsi="Times New Roman" w:cs="Times New Roman"/>
          <w:i/>
          <w:sz w:val="24"/>
          <w:szCs w:val="24"/>
        </w:rPr>
        <w:t>Net zero targets and governance: A literature review (2009-2021)</w:t>
      </w:r>
      <w:r>
        <w:rPr>
          <w:rFonts w:ascii="Times New Roman" w:eastAsia="Times New Roman" w:hAnsi="Times New Roman" w:cs="Times New Roman"/>
          <w:sz w:val="24"/>
          <w:szCs w:val="24"/>
        </w:rPr>
        <w:t>. [online] www.elgaronline.com. Available at: https://www.elgaronline.com/edcollchap/book/9781802208771/book-part-9781802208771-14.xml.</w:t>
      </w:r>
    </w:p>
    <w:p w14:paraId="2751A893"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Saxena, D., Dhall, N. and Malik, R. (2021). Sustainable banking: A roadmap to sustainable development. </w:t>
      </w:r>
      <w:r>
        <w:rPr>
          <w:rFonts w:ascii="Times New Roman" w:eastAsia="Times New Roman" w:hAnsi="Times New Roman" w:cs="Times New Roman"/>
          <w:i/>
          <w:sz w:val="24"/>
          <w:szCs w:val="24"/>
        </w:rPr>
        <w:t>Corporate Governance and Sustainability Review</w:t>
      </w:r>
      <w:r>
        <w:rPr>
          <w:rFonts w:ascii="Times New Roman" w:eastAsia="Times New Roman" w:hAnsi="Times New Roman" w:cs="Times New Roman"/>
          <w:sz w:val="24"/>
          <w:szCs w:val="24"/>
        </w:rPr>
        <w:t>, 5(3), pp.42–56. doi:https://doi.org/10.22495/cgsrv5i3p4.</w:t>
      </w:r>
    </w:p>
    <w:p w14:paraId="02BCD4F1"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Shahrom, Z.R. and Kunhibava, S. (2023). Sustainable Finance: A Study On Malaysia's Regulatory Framework On Sustainable Banking And Its Implementation By Selected Islamic Banks In Malaysia In Support Of Sustainable Development Goals. </w:t>
      </w:r>
      <w:r>
        <w:rPr>
          <w:rFonts w:ascii="Times New Roman" w:eastAsia="Times New Roman" w:hAnsi="Times New Roman" w:cs="Times New Roman"/>
          <w:i/>
          <w:sz w:val="24"/>
          <w:szCs w:val="24"/>
        </w:rPr>
        <w:t>The Journal of Muamalat and Islamic Finance Research</w:t>
      </w:r>
      <w:r>
        <w:rPr>
          <w:rFonts w:ascii="Times New Roman" w:eastAsia="Times New Roman" w:hAnsi="Times New Roman" w:cs="Times New Roman"/>
          <w:sz w:val="24"/>
          <w:szCs w:val="24"/>
        </w:rPr>
        <w:t>, [online] pp.152–178. doi:https://doi.org/10.33102/jmifr.520.</w:t>
      </w:r>
    </w:p>
    <w:p w14:paraId="2141C43F"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snowflake.com (2024). </w:t>
      </w:r>
      <w:r>
        <w:rPr>
          <w:rFonts w:ascii="Times New Roman" w:eastAsia="Times New Roman" w:hAnsi="Times New Roman" w:cs="Times New Roman"/>
          <w:i/>
          <w:sz w:val="24"/>
          <w:szCs w:val="24"/>
        </w:rPr>
        <w:t>ESG in Banking: The Future of the Financial Sector</w:t>
      </w:r>
      <w:r>
        <w:rPr>
          <w:rFonts w:ascii="Times New Roman" w:eastAsia="Times New Roman" w:hAnsi="Times New Roman" w:cs="Times New Roman"/>
          <w:sz w:val="24"/>
          <w:szCs w:val="24"/>
        </w:rPr>
        <w:t>. [online] Snowflake. Available at: https://www.snowflake.com/trending/esg-banking-financial-sector/ [Accessed 5 Jul. 2024].</w:t>
      </w:r>
    </w:p>
    <w:p w14:paraId="73125C2F"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studocu.com (2021). </w:t>
      </w:r>
      <w:r>
        <w:rPr>
          <w:rFonts w:ascii="Times New Roman" w:eastAsia="Times New Roman" w:hAnsi="Times New Roman" w:cs="Times New Roman"/>
          <w:i/>
          <w:sz w:val="24"/>
          <w:szCs w:val="24"/>
        </w:rPr>
        <w:t>Formulation of strategies using the Ansoff matrix of HSBC</w:t>
      </w:r>
      <w:r>
        <w:rPr>
          <w:rFonts w:ascii="Times New Roman" w:eastAsia="Times New Roman" w:hAnsi="Times New Roman" w:cs="Times New Roman"/>
          <w:sz w:val="24"/>
          <w:szCs w:val="24"/>
        </w:rPr>
        <w:t>. [online] Studocu. Available at: https://www.studocu.com/row/document/university-of-dhaka/marketing-management/formulation-of-strategies-using-ansoff-matrix-of-hsbc/42460303 [Accessed 5 Jul. 2024].</w:t>
      </w:r>
    </w:p>
    <w:p w14:paraId="226769DE"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Tahri, A. (2023). </w:t>
      </w:r>
      <w:r>
        <w:rPr>
          <w:rFonts w:ascii="Times New Roman" w:eastAsia="Times New Roman" w:hAnsi="Times New Roman" w:cs="Times New Roman"/>
          <w:i/>
          <w:sz w:val="24"/>
          <w:szCs w:val="24"/>
        </w:rPr>
        <w:t>Consumer-based brand equity in the retail banking industry: a cross-analysis of a domestic and global bank operating in the UK (HSBC vs Barclays)</w:t>
      </w:r>
      <w:r>
        <w:rPr>
          <w:rFonts w:ascii="Times New Roman" w:eastAsia="Times New Roman" w:hAnsi="Times New Roman" w:cs="Times New Roman"/>
          <w:sz w:val="24"/>
          <w:szCs w:val="24"/>
        </w:rPr>
        <w:t>. [online] aru.figshare.com. Available at: https://aru.figshare.com/articles/thesis/Consumer_based_brand_equity_in_retail_banking_industry_a_cross_analysis_of_a_domestic_and_global_bank_operating_in_the_UK_HSBC_vs_Barclays_/23763126.</w:t>
      </w:r>
    </w:p>
    <w:p w14:paraId="7455279C"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Yu, H. (2023). Comparative Financial Analysis of HSBC Holdings, Royal Dutch Shell, and Unilever. </w:t>
      </w:r>
      <w:r>
        <w:rPr>
          <w:rFonts w:ascii="Times New Roman" w:eastAsia="Times New Roman" w:hAnsi="Times New Roman" w:cs="Times New Roman"/>
          <w:i/>
          <w:sz w:val="24"/>
          <w:szCs w:val="24"/>
        </w:rPr>
        <w:t>Probe - Accounting, Auditing and Taxation</w:t>
      </w:r>
      <w:r>
        <w:rPr>
          <w:rFonts w:ascii="Times New Roman" w:eastAsia="Times New Roman" w:hAnsi="Times New Roman" w:cs="Times New Roman"/>
          <w:sz w:val="24"/>
          <w:szCs w:val="24"/>
        </w:rPr>
        <w:t>, [online] 5(1). Available at: https://ojs.as-pub.com/index.php/PAAT/article/view/1698.</w:t>
      </w:r>
    </w:p>
    <w:p w14:paraId="01DD9432" w14:textId="77777777" w:rsidR="00C92389" w:rsidRDefault="00D00D10" w:rsidP="00704994">
      <w:pPr>
        <w:pStyle w:val="Heading1"/>
        <w:spacing w:after="240" w:line="480" w:lineRule="auto"/>
        <w:jc w:val="both"/>
        <w:rPr>
          <w:rFonts w:ascii="Times New Roman" w:eastAsia="Times New Roman" w:hAnsi="Times New Roman" w:cs="Times New Roman"/>
          <w:b/>
          <w:sz w:val="28"/>
          <w:szCs w:val="28"/>
        </w:rPr>
      </w:pPr>
      <w:bookmarkStart w:id="18" w:name="_qn5brrlgd95c" w:colFirst="0" w:colLast="0"/>
      <w:bookmarkEnd w:id="18"/>
      <w:r>
        <w:br w:type="page"/>
      </w:r>
    </w:p>
    <w:p w14:paraId="2C8AF3D8" w14:textId="77777777" w:rsidR="00C92389" w:rsidRDefault="00D00D10" w:rsidP="00704994">
      <w:pPr>
        <w:pStyle w:val="Heading1"/>
        <w:spacing w:after="240" w:line="480" w:lineRule="auto"/>
        <w:jc w:val="both"/>
        <w:rPr>
          <w:rFonts w:ascii="Times New Roman" w:eastAsia="Times New Roman" w:hAnsi="Times New Roman" w:cs="Times New Roman"/>
          <w:b/>
          <w:sz w:val="28"/>
          <w:szCs w:val="28"/>
        </w:rPr>
      </w:pPr>
      <w:bookmarkStart w:id="19" w:name="_dj8xy16l4g2t" w:colFirst="0" w:colLast="0"/>
      <w:bookmarkStart w:id="20" w:name="_Toc171102642"/>
      <w:bookmarkEnd w:id="19"/>
      <w:r>
        <w:rPr>
          <w:rFonts w:ascii="Times New Roman" w:eastAsia="Times New Roman" w:hAnsi="Times New Roman" w:cs="Times New Roman"/>
          <w:b/>
          <w:sz w:val="28"/>
          <w:szCs w:val="28"/>
        </w:rPr>
        <w:lastRenderedPageBreak/>
        <w:t>9. Appendix</w:t>
      </w:r>
      <w:bookmarkEnd w:id="20"/>
    </w:p>
    <w:p w14:paraId="69B9695B"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C78A12A" wp14:editId="6ACBB653">
            <wp:extent cx="3919538" cy="3432974"/>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30"/>
                    <a:stretch>
                      <a:fillRect/>
                    </a:stretch>
                  </pic:blipFill>
                  <pic:spPr>
                    <a:xfrm>
                      <a:off x="0" y="0"/>
                      <a:ext cx="3919538" cy="3432974"/>
                    </a:xfrm>
                    <a:prstGeom prst="rect">
                      <a:avLst/>
                    </a:prstGeom>
                  </pic:spPr>
                </pic:pic>
              </a:graphicData>
            </a:graphic>
          </wp:inline>
        </w:drawing>
      </w:r>
    </w:p>
    <w:p w14:paraId="090BA845"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41E87EA" wp14:editId="4250D5ED">
            <wp:extent cx="3786188" cy="3786188"/>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31"/>
                    <a:stretch>
                      <a:fillRect/>
                    </a:stretch>
                  </pic:blipFill>
                  <pic:spPr>
                    <a:xfrm>
                      <a:off x="0" y="0"/>
                      <a:ext cx="3786188" cy="3786188"/>
                    </a:xfrm>
                    <a:prstGeom prst="rect">
                      <a:avLst/>
                    </a:prstGeom>
                  </pic:spPr>
                </pic:pic>
              </a:graphicData>
            </a:graphic>
          </wp:inline>
        </w:drawing>
      </w:r>
    </w:p>
    <w:p w14:paraId="1F431B3C" w14:textId="77777777" w:rsidR="00C92389" w:rsidRDefault="00D00D10" w:rsidP="00704994">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22BCE99" wp14:editId="55A193D4">
            <wp:extent cx="5943600" cy="39370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32"/>
                    <a:stretch>
                      <a:fillRect/>
                    </a:stretch>
                  </pic:blipFill>
                  <pic:spPr>
                    <a:xfrm>
                      <a:off x="0" y="0"/>
                      <a:ext cx="5943600" cy="3937000"/>
                    </a:xfrm>
                    <a:prstGeom prst="rect">
                      <a:avLst/>
                    </a:prstGeom>
                  </pic:spPr>
                </pic:pic>
              </a:graphicData>
            </a:graphic>
          </wp:inline>
        </w:drawing>
      </w:r>
    </w:p>
    <w:sectPr w:rsidR="00C92389">
      <w:headerReference w:type="default" r:id="rId33"/>
      <w:footerReference w:type="default" r:id="rId34"/>
      <w:headerReference w:type="first" r:id="rId3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D79767" w14:textId="77777777" w:rsidR="000F2149" w:rsidRDefault="000F2149">
      <w:pPr>
        <w:spacing w:line="240" w:lineRule="auto"/>
      </w:pPr>
      <w:r>
        <w:separator/>
      </w:r>
    </w:p>
  </w:endnote>
  <w:endnote w:type="continuationSeparator" w:id="0">
    <w:p w14:paraId="4F1C5EDB" w14:textId="77777777" w:rsidR="000F2149" w:rsidRDefault="000F21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Unicode MS">
    <w:altName w:val="Arial"/>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8213754"/>
      <w:docPartObj>
        <w:docPartGallery w:val="Page Numbers (Bottom of Page)"/>
        <w:docPartUnique/>
      </w:docPartObj>
    </w:sdtPr>
    <w:sdtEndPr>
      <w:rPr>
        <w:rFonts w:ascii="Times New Roman" w:hAnsi="Times New Roman" w:cs="Times New Roman"/>
        <w:sz w:val="24"/>
        <w:szCs w:val="24"/>
      </w:rPr>
    </w:sdtEndPr>
    <w:sdtContent>
      <w:sdt>
        <w:sdtPr>
          <w:rPr>
            <w:rFonts w:ascii="Times New Roman" w:hAnsi="Times New Roman" w:cs="Times New Roman"/>
            <w:sz w:val="24"/>
            <w:szCs w:val="24"/>
          </w:rPr>
          <w:id w:val="-1769616900"/>
          <w:docPartObj>
            <w:docPartGallery w:val="Page Numbers (Top of Page)"/>
            <w:docPartUnique/>
          </w:docPartObj>
        </w:sdtPr>
        <w:sdtEndPr/>
        <w:sdtContent>
          <w:p w14:paraId="31E8D794" w14:textId="77777777" w:rsidR="00AA3C55" w:rsidRPr="00AA3C55" w:rsidRDefault="00D00D10">
            <w:pPr>
              <w:pStyle w:val="Footer"/>
              <w:jc w:val="right"/>
              <w:rPr>
                <w:rFonts w:ascii="Times New Roman" w:hAnsi="Times New Roman" w:cs="Times New Roman"/>
                <w:sz w:val="24"/>
                <w:szCs w:val="24"/>
              </w:rPr>
            </w:pPr>
            <w:r w:rsidRPr="00AA3C55">
              <w:rPr>
                <w:rFonts w:ascii="Times New Roman" w:hAnsi="Times New Roman" w:cs="Times New Roman"/>
                <w:sz w:val="24"/>
                <w:szCs w:val="24"/>
              </w:rPr>
              <w:t xml:space="preserve">Page </w:t>
            </w:r>
            <w:r w:rsidRPr="00AA3C55">
              <w:rPr>
                <w:rFonts w:ascii="Times New Roman" w:hAnsi="Times New Roman" w:cs="Times New Roman"/>
                <w:sz w:val="24"/>
                <w:szCs w:val="24"/>
              </w:rPr>
              <w:fldChar w:fldCharType="begin"/>
            </w:r>
            <w:r w:rsidRPr="00AA3C55">
              <w:rPr>
                <w:rFonts w:ascii="Times New Roman" w:hAnsi="Times New Roman" w:cs="Times New Roman"/>
                <w:sz w:val="24"/>
                <w:szCs w:val="24"/>
              </w:rPr>
              <w:instrText xml:space="preserve"> PAGE </w:instrText>
            </w:r>
            <w:r w:rsidRPr="00AA3C55">
              <w:rPr>
                <w:rFonts w:ascii="Times New Roman" w:hAnsi="Times New Roman" w:cs="Times New Roman"/>
                <w:sz w:val="24"/>
                <w:szCs w:val="24"/>
              </w:rPr>
              <w:fldChar w:fldCharType="separate"/>
            </w:r>
            <w:r w:rsidRPr="00AA3C55">
              <w:rPr>
                <w:rFonts w:ascii="Times New Roman" w:hAnsi="Times New Roman" w:cs="Times New Roman"/>
                <w:noProof/>
                <w:sz w:val="24"/>
                <w:szCs w:val="24"/>
              </w:rPr>
              <w:t>2</w:t>
            </w:r>
            <w:r w:rsidRPr="00AA3C55">
              <w:rPr>
                <w:rFonts w:ascii="Times New Roman" w:hAnsi="Times New Roman" w:cs="Times New Roman"/>
                <w:sz w:val="24"/>
                <w:szCs w:val="24"/>
              </w:rPr>
              <w:fldChar w:fldCharType="end"/>
            </w:r>
            <w:r w:rsidRPr="00AA3C55">
              <w:rPr>
                <w:rFonts w:ascii="Times New Roman" w:hAnsi="Times New Roman" w:cs="Times New Roman"/>
                <w:sz w:val="24"/>
                <w:szCs w:val="24"/>
              </w:rPr>
              <w:t xml:space="preserve"> of </w:t>
            </w:r>
            <w:r w:rsidRPr="00AA3C55">
              <w:rPr>
                <w:rFonts w:ascii="Times New Roman" w:hAnsi="Times New Roman" w:cs="Times New Roman"/>
                <w:sz w:val="24"/>
                <w:szCs w:val="24"/>
              </w:rPr>
              <w:fldChar w:fldCharType="begin"/>
            </w:r>
            <w:r w:rsidRPr="00AA3C55">
              <w:rPr>
                <w:rFonts w:ascii="Times New Roman" w:hAnsi="Times New Roman" w:cs="Times New Roman"/>
                <w:sz w:val="24"/>
                <w:szCs w:val="24"/>
              </w:rPr>
              <w:instrText xml:space="preserve"> NUMPAGES  </w:instrText>
            </w:r>
            <w:r w:rsidRPr="00AA3C55">
              <w:rPr>
                <w:rFonts w:ascii="Times New Roman" w:hAnsi="Times New Roman" w:cs="Times New Roman"/>
                <w:sz w:val="24"/>
                <w:szCs w:val="24"/>
              </w:rPr>
              <w:fldChar w:fldCharType="separate"/>
            </w:r>
            <w:r w:rsidRPr="00AA3C55">
              <w:rPr>
                <w:rFonts w:ascii="Times New Roman" w:hAnsi="Times New Roman" w:cs="Times New Roman"/>
                <w:noProof/>
                <w:sz w:val="24"/>
                <w:szCs w:val="24"/>
              </w:rPr>
              <w:t>2</w:t>
            </w:r>
            <w:r w:rsidRPr="00AA3C55">
              <w:rPr>
                <w:rFonts w:ascii="Times New Roman" w:hAnsi="Times New Roman" w:cs="Times New Roman"/>
                <w:sz w:val="24"/>
                <w:szCs w:val="24"/>
              </w:rPr>
              <w:fldChar w:fldCharType="end"/>
            </w:r>
          </w:p>
        </w:sdtContent>
      </w:sdt>
    </w:sdtContent>
  </w:sdt>
  <w:p w14:paraId="4CA30E00" w14:textId="77777777" w:rsidR="00AA3C55" w:rsidRDefault="00AA3C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64F3D3" w14:textId="77777777" w:rsidR="000F2149" w:rsidRDefault="000F2149">
      <w:pPr>
        <w:spacing w:line="240" w:lineRule="auto"/>
      </w:pPr>
      <w:r>
        <w:separator/>
      </w:r>
    </w:p>
  </w:footnote>
  <w:footnote w:type="continuationSeparator" w:id="0">
    <w:p w14:paraId="665A74A6" w14:textId="77777777" w:rsidR="000F2149" w:rsidRDefault="000F214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342241" w14:textId="77777777" w:rsidR="00C92389" w:rsidRDefault="00D00D10">
    <w:pPr>
      <w:rPr>
        <w:rFonts w:ascii="Times New Roman" w:eastAsia="Times New Roman" w:hAnsi="Times New Roman" w:cs="Times New Roman"/>
        <w:color w:val="1F1F1F"/>
        <w:sz w:val="24"/>
        <w:szCs w:val="24"/>
        <w:highlight w:val="white"/>
      </w:rPr>
    </w:pPr>
    <w:r>
      <w:rPr>
        <w:rFonts w:ascii="Times New Roman" w:eastAsia="Times New Roman" w:hAnsi="Times New Roman" w:cs="Times New Roman"/>
        <w:sz w:val="24"/>
        <w:szCs w:val="24"/>
      </w:rPr>
      <w:t xml:space="preserve">                                                                                           Strategic Management &amp; Sustainability</w:t>
    </w:r>
  </w:p>
  <w:p w14:paraId="4E12EFA7" w14:textId="77777777" w:rsidR="00C92389" w:rsidRDefault="00C92389"/>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7867A4" w14:textId="77777777" w:rsidR="00C92389" w:rsidRDefault="00D00D1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Running Head: Strategic Management &amp; Sustainability</w:t>
    </w:r>
  </w:p>
  <w:p w14:paraId="072CD8DF" w14:textId="77777777" w:rsidR="00C92389" w:rsidRDefault="00C9238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2389"/>
    <w:rsid w:val="000F2149"/>
    <w:rsid w:val="00254CB9"/>
    <w:rsid w:val="002D1792"/>
    <w:rsid w:val="002D432E"/>
    <w:rsid w:val="003051A1"/>
    <w:rsid w:val="00704994"/>
    <w:rsid w:val="0089790D"/>
    <w:rsid w:val="00A0024A"/>
    <w:rsid w:val="00AA3C55"/>
    <w:rsid w:val="00C82A70"/>
    <w:rsid w:val="00C92389"/>
    <w:rsid w:val="00D00D10"/>
    <w:rsid w:val="00D664A7"/>
    <w:rsid w:val="00E00D7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91744"/>
  <w15:docId w15:val="{BB130A68-8D97-4F96-958F-4810B502B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A3C55"/>
    <w:pPr>
      <w:tabs>
        <w:tab w:val="center" w:pos="4513"/>
        <w:tab w:val="right" w:pos="9026"/>
      </w:tabs>
      <w:spacing w:line="240" w:lineRule="auto"/>
    </w:pPr>
  </w:style>
  <w:style w:type="character" w:customStyle="1" w:styleId="HeaderChar">
    <w:name w:val="Header Char"/>
    <w:basedOn w:val="DefaultParagraphFont"/>
    <w:link w:val="Header"/>
    <w:uiPriority w:val="99"/>
    <w:rsid w:val="00AA3C55"/>
  </w:style>
  <w:style w:type="paragraph" w:styleId="Footer">
    <w:name w:val="footer"/>
    <w:basedOn w:val="Normal"/>
    <w:link w:val="FooterChar"/>
    <w:uiPriority w:val="99"/>
    <w:unhideWhenUsed/>
    <w:rsid w:val="00AA3C55"/>
    <w:pPr>
      <w:tabs>
        <w:tab w:val="center" w:pos="4513"/>
        <w:tab w:val="right" w:pos="9026"/>
      </w:tabs>
      <w:spacing w:line="240" w:lineRule="auto"/>
    </w:pPr>
  </w:style>
  <w:style w:type="character" w:customStyle="1" w:styleId="FooterChar">
    <w:name w:val="Footer Char"/>
    <w:basedOn w:val="DefaultParagraphFont"/>
    <w:link w:val="Footer"/>
    <w:uiPriority w:val="99"/>
    <w:rsid w:val="00AA3C55"/>
  </w:style>
  <w:style w:type="paragraph" w:styleId="TOCHeading">
    <w:name w:val="TOC Heading"/>
    <w:basedOn w:val="Heading1"/>
    <w:next w:val="Normal"/>
    <w:uiPriority w:val="39"/>
    <w:unhideWhenUsed/>
    <w:qFormat/>
    <w:rsid w:val="00AA3C55"/>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AA3C55"/>
    <w:pPr>
      <w:spacing w:after="100"/>
    </w:pPr>
  </w:style>
  <w:style w:type="character" w:styleId="Hyperlink">
    <w:name w:val="Hyperlink"/>
    <w:basedOn w:val="DefaultParagraphFont"/>
    <w:uiPriority w:val="99"/>
    <w:unhideWhenUsed/>
    <w:rsid w:val="00AA3C5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coolsymbol.com/copy/Heavy_Check_Mark_Symbol_%E2%9C%94" TargetMode="External"/><Relationship Id="rId18" Type="http://schemas.openxmlformats.org/officeDocument/2006/relationships/hyperlink" Target="https://coolsymbol.com/copy/Heavy_Check_Mark_Symbol_%E2%9C%94" TargetMode="External"/><Relationship Id="rId26" Type="http://schemas.openxmlformats.org/officeDocument/2006/relationships/hyperlink" Target="https://coolsymbol.com/copy/Heavy_Check_Mark_Symbol_%E2%9C%94" TargetMode="External"/><Relationship Id="rId21" Type="http://schemas.openxmlformats.org/officeDocument/2006/relationships/hyperlink" Target="https://coolsymbol.com/copy/Heavy_Check_Mark_Symbol_%E2%9C%94"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coolsymbol.com/copy/Heavy_Check_Mark_Symbol_%E2%9C%94" TargetMode="External"/><Relationship Id="rId17" Type="http://schemas.openxmlformats.org/officeDocument/2006/relationships/hyperlink" Target="https://coolsymbol.com/copy/Heavy_Check_Mark_Symbol_%E2%9C%94" TargetMode="External"/><Relationship Id="rId25" Type="http://schemas.openxmlformats.org/officeDocument/2006/relationships/hyperlink" Target="https://coolsymbol.com/copy/Heavy_Check_Mark_Symbol_%E2%9C%94"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coolsymbol.com/copy/Heavy_Check_Mark_Symbol_%E2%9C%94" TargetMode="External"/><Relationship Id="rId20" Type="http://schemas.openxmlformats.org/officeDocument/2006/relationships/hyperlink" Target="https://coolsymbol.com/copy/Heavy_Check_Mark_Symbol_%E2%9C%94" TargetMode="External"/><Relationship Id="rId29" Type="http://schemas.openxmlformats.org/officeDocument/2006/relationships/hyperlink" Target="https://coolsymbol.com/copy/Heavy_Check_Mark_Symbol_%E2%9C%9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olsymbol.com/copy/Heavy_Check_Mark_Symbol_%E2%9C%94" TargetMode="External"/><Relationship Id="rId24" Type="http://schemas.openxmlformats.org/officeDocument/2006/relationships/hyperlink" Target="https://coolsymbol.com/copy/Heavy_Check_Mark_Symbol_%E2%9C%94" TargetMode="External"/><Relationship Id="rId32" Type="http://schemas.openxmlformats.org/officeDocument/2006/relationships/image" Target="media/image4.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oolsymbol.com/copy/Heavy_Check_Mark_Symbol_%E2%9C%94" TargetMode="External"/><Relationship Id="rId23" Type="http://schemas.openxmlformats.org/officeDocument/2006/relationships/hyperlink" Target="https://coolsymbol.com/copy/Heavy_Check_Mark_Symbol_%E2%9C%94" TargetMode="External"/><Relationship Id="rId28" Type="http://schemas.openxmlformats.org/officeDocument/2006/relationships/hyperlink" Target="https://coolsymbol.com/copy/Heavy_Check_Mark_Symbol_%E2%9C%94" TargetMode="External"/><Relationship Id="rId36" Type="http://schemas.openxmlformats.org/officeDocument/2006/relationships/fontTable" Target="fontTable.xml"/><Relationship Id="rId10" Type="http://schemas.openxmlformats.org/officeDocument/2006/relationships/hyperlink" Target="https://coolsymbol.com/copy/Heavy_Check_Mark_Symbol_%E2%9C%94" TargetMode="External"/><Relationship Id="rId19" Type="http://schemas.openxmlformats.org/officeDocument/2006/relationships/hyperlink" Target="https://coolsymbol.com/copy/Heavy_Check_Mark_Symbol_%E2%9C%94" TargetMode="External"/><Relationship Id="rId31"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coolsymbol.com/copy/Heavy_Check_Mark_Symbol_%E2%9C%94" TargetMode="External"/><Relationship Id="rId14" Type="http://schemas.openxmlformats.org/officeDocument/2006/relationships/hyperlink" Target="https://coolsymbol.com/copy/Heavy_Check_Mark_Symbol_%E2%9C%94" TargetMode="External"/><Relationship Id="rId22" Type="http://schemas.openxmlformats.org/officeDocument/2006/relationships/hyperlink" Target="https://coolsymbol.com/copy/Heavy_Check_Mark_Symbol_%E2%9C%94" TargetMode="External"/><Relationship Id="rId27" Type="http://schemas.openxmlformats.org/officeDocument/2006/relationships/hyperlink" Target="https://coolsymbol.com/copy/Heavy_Check_Mark_Symbol_%E2%9C%94" TargetMode="External"/><Relationship Id="rId30" Type="http://schemas.openxmlformats.org/officeDocument/2006/relationships/image" Target="media/image2.png"/><Relationship Id="rId35" Type="http://schemas.openxmlformats.org/officeDocument/2006/relationships/header" Target="header2.xml"/><Relationship Id="rId8" Type="http://schemas.openxmlformats.org/officeDocument/2006/relationships/hyperlink" Target="https://coolsymbol.com/copy/Heavy_Check_Mark_Symbol_%E2%9C%94"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22E19F-0CA1-427F-9145-E3D7BA6018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4132</Words>
  <Characters>23557</Characters>
  <Application>Microsoft Office Word</Application>
  <DocSecurity>0</DocSecurity>
  <Lines>196</Lines>
  <Paragraphs>55</Paragraphs>
  <ScaleCrop>false</ScaleCrop>
  <Company/>
  <LinksUpToDate>false</LinksUpToDate>
  <CharactersWithSpaces>27634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Sandra Ghinescu</dc:creator>
  <cp:lastModifiedBy>Sandra Ghinescu</cp:lastModifiedBy>
  <cp:revision>5</cp:revision>
  <dcterms:created xsi:type="dcterms:W3CDTF">2024-08-21T10:26:00Z</dcterms:created>
  <dcterms:modified xsi:type="dcterms:W3CDTF">2024-08-21T10:30:00Z</dcterms:modified>
</cp:coreProperties>
</file>