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body>
    <w:p w:rsidR="00000000" w:rsidDel="00000000" w:rsidP="00000000" w:rsidRDefault="00000000" w:rsidRPr="00000000">
      <w:pPr>
        <w:contextualSpacing w:val="0"/>
        <w:rPr>
          <w:b w:val="1"/>
          <w:i w:val="1"/>
          <w:u w:val="single"/>
        </w:rPr>
      </w:pPr>
      <w:r w:rsidDel="00000000" w:rsidR="00000000" w:rsidRPr="00000000">
        <w:rPr>
          <w:b w:val="1"/>
          <w:i w:val="1"/>
          <w:u w:val="single"/>
          <w:rtl w:val="0"/>
        </w:rPr>
        <w:t xml:space="preserve">Monsters, Ghost and Revenants (CLCS 6015) Take Home Exam</w:t>
      </w:r>
    </w:p>
    <w:p w:rsidR="00000000" w:rsidDel="00000000" w:rsidP="00000000" w:rsidRDefault="00000000" w:rsidRPr="00000000">
      <w:pPr>
        <w:contextualSpacing w:val="0"/>
        <w:rPr>
          <w:b w:val="1"/>
          <w:i w:val="1"/>
          <w:u w:val="single"/>
        </w:rPr>
      </w:pPr>
      <w:r w:rsidDel="00000000" w:rsidR="00000000" w:rsidRPr="00000000">
        <w:rPr>
          <w:rtl w:val="0"/>
        </w:rPr>
      </w:r>
    </w:p>
    <w:p w:rsidR="00000000" w:rsidDel="00000000" w:rsidP="00000000" w:rsidRDefault="00000000" w:rsidRPr="00000000">
      <w:pPr>
        <w:numPr>
          <w:ilvl w:val="0"/>
          <w:numId w:val="1"/>
        </w:numPr>
        <w:ind w:left="720" w:hanging="360"/>
        <w:contextualSpacing w:val="1"/>
        <w:rPr>
          <w:b w:val="1"/>
          <w:i w:val="1"/>
          <w:u w:val="none"/>
        </w:rPr>
      </w:pPr>
      <w:r w:rsidDel="00000000" w:rsidR="00000000" w:rsidRPr="00000000">
        <w:rPr>
          <w:b w:val="1"/>
          <w:i w:val="1"/>
          <w:u w:val="single"/>
          <w:rtl w:val="0"/>
        </w:rPr>
        <w:t xml:space="preserve">To what extent do ‘revenant burials’ indicate a fear of the dead returning?</w:t>
      </w:r>
    </w:p>
    <w:p w:rsidR="00000000" w:rsidDel="00000000" w:rsidP="00000000" w:rsidRDefault="00000000" w:rsidRPr="00000000">
      <w:pPr>
        <w:contextualSpacing w:val="0"/>
        <w:rPr>
          <w:i w:val="1"/>
        </w:rPr>
      </w:pPr>
      <w:r w:rsidDel="00000000" w:rsidR="00000000" w:rsidRPr="00000000">
        <w:rPr>
          <w:rtl w:val="0"/>
        </w:rPr>
      </w:r>
    </w:p>
    <w:p w:rsidR="00000000" w:rsidDel="00000000" w:rsidP="00000000" w:rsidRDefault="00000000" w:rsidRPr="00000000">
      <w:pPr>
        <w:contextualSpacing w:val="0"/>
        <w:rPr>
          <w:sz w:val="20"/>
          <w:szCs w:val="20"/>
        </w:rPr>
      </w:pPr>
      <w:r w:rsidDel="00000000" w:rsidR="00000000" w:rsidRPr="00000000">
        <w:rPr>
          <w:sz w:val="20"/>
          <w:szCs w:val="20"/>
          <w:rtl w:val="0"/>
        </w:rPr>
        <w:t xml:space="preserve">Throughout the ancient world and leading into the modern, funeral practises across Europe have varied greatly across time. We see wildly different practises being used, ranging from larger familial/massed graves, cremation in Ancient Athens</w:t>
      </w:r>
      <w:r w:rsidDel="00000000" w:rsidR="00000000" w:rsidRPr="00000000">
        <w:rPr>
          <w:sz w:val="20"/>
          <w:szCs w:val="20"/>
          <w:vertAlign w:val="superscript"/>
        </w:rPr>
        <w:footnoteReference w:customMarkFollows="0" w:id="0"/>
      </w:r>
      <w:r w:rsidDel="00000000" w:rsidR="00000000" w:rsidRPr="00000000">
        <w:rPr>
          <w:sz w:val="20"/>
          <w:szCs w:val="20"/>
          <w:rtl w:val="0"/>
        </w:rPr>
        <w:t xml:space="preserve">, up to the single plot graves of the modern day. And yet, throughout a good portion of this history, we can see a consistent theme being dealt with, in various ways across various times, and that is how the populace dealt with the belief that the dead would return to life. Whilst to a modern audience, the idea might seem absurd at first glance, there seems to have been a genuine fear throughout time that the dead would return from the grave to haunt and often kill the living in the form of what would come to be described as a revenant.</w:t>
      </w:r>
    </w:p>
    <w:p w:rsidR="00000000" w:rsidDel="00000000" w:rsidP="00000000" w:rsidRDefault="00000000" w:rsidRPr="00000000">
      <w:pPr>
        <w:contextualSpacing w:val="0"/>
        <w:rPr>
          <w:sz w:val="20"/>
          <w:szCs w:val="20"/>
        </w:rPr>
      </w:pPr>
      <w:r w:rsidDel="00000000" w:rsidR="00000000" w:rsidRPr="00000000">
        <w:rPr>
          <w:rtl w:val="0"/>
        </w:rPr>
      </w:r>
    </w:p>
    <w:p w:rsidR="00000000" w:rsidDel="00000000" w:rsidP="00000000" w:rsidRDefault="00000000" w:rsidRPr="00000000">
      <w:pPr>
        <w:contextualSpacing w:val="0"/>
        <w:rPr>
          <w:sz w:val="20"/>
          <w:szCs w:val="20"/>
        </w:rPr>
      </w:pPr>
      <w:r w:rsidDel="00000000" w:rsidR="00000000" w:rsidRPr="00000000">
        <w:rPr>
          <w:sz w:val="20"/>
          <w:szCs w:val="20"/>
          <w:rtl w:val="0"/>
        </w:rPr>
        <w:t xml:space="preserve">As to what exactly a revenant ‘is’, the definition has changed throughout time and how they are different from ghosts can at times be slightly blurred. The Oxford English dictionary describes a ghost as ‘An apparition of a dead person…’</w:t>
      </w:r>
      <w:r w:rsidDel="00000000" w:rsidR="00000000" w:rsidRPr="00000000">
        <w:rPr>
          <w:sz w:val="20"/>
          <w:szCs w:val="20"/>
          <w:vertAlign w:val="superscript"/>
        </w:rPr>
        <w:footnoteReference w:customMarkFollows="0" w:id="1"/>
      </w:r>
      <w:r w:rsidDel="00000000" w:rsidR="00000000" w:rsidRPr="00000000">
        <w:rPr>
          <w:sz w:val="20"/>
          <w:szCs w:val="20"/>
          <w:rtl w:val="0"/>
        </w:rPr>
        <w:t xml:space="preserve">, whereas it describes a revenant as ‘A person who has returned, especially from the dead’</w:t>
      </w:r>
      <w:r w:rsidDel="00000000" w:rsidR="00000000" w:rsidRPr="00000000">
        <w:rPr>
          <w:sz w:val="20"/>
          <w:szCs w:val="20"/>
          <w:vertAlign w:val="superscript"/>
        </w:rPr>
        <w:footnoteReference w:customMarkFollows="0" w:id="2"/>
      </w:r>
      <w:r w:rsidDel="00000000" w:rsidR="00000000" w:rsidRPr="00000000">
        <w:rPr>
          <w:sz w:val="20"/>
          <w:szCs w:val="20"/>
          <w:rtl w:val="0"/>
        </w:rPr>
        <w:t xml:space="preserve">. At first glance, the difference between the two might seem negligible but their is in fact a distinct difference. Ghosts, as we know them, are not a physical being, rather a imprint of a person that has returned to the world. They will often still retain the memories and personality of who they were before death and often seem to return for a purpose. Revenants on the other hand, are the body of the deceased returning to life. They will often have little or no recollection of their previous life, nor do they return for any reason other than to haunt, attack and in some cases bring disease and ill-omens upon the living.</w:t>
      </w:r>
    </w:p>
    <w:p w:rsidR="00000000" w:rsidDel="00000000" w:rsidP="00000000" w:rsidRDefault="00000000" w:rsidRPr="00000000">
      <w:pPr>
        <w:contextualSpacing w:val="0"/>
        <w:rPr>
          <w:sz w:val="20"/>
          <w:szCs w:val="20"/>
        </w:rPr>
      </w:pPr>
      <w:r w:rsidDel="00000000" w:rsidR="00000000" w:rsidRPr="00000000">
        <w:rPr>
          <w:rtl w:val="0"/>
        </w:rPr>
      </w:r>
    </w:p>
    <w:p w:rsidR="00000000" w:rsidDel="00000000" w:rsidP="00000000" w:rsidRDefault="00000000" w:rsidRPr="00000000">
      <w:pPr>
        <w:contextualSpacing w:val="0"/>
        <w:rPr>
          <w:sz w:val="20"/>
          <w:szCs w:val="20"/>
        </w:rPr>
      </w:pPr>
      <w:r w:rsidDel="00000000" w:rsidR="00000000" w:rsidRPr="00000000">
        <w:rPr>
          <w:sz w:val="20"/>
          <w:szCs w:val="20"/>
          <w:rtl w:val="0"/>
        </w:rPr>
        <w:t xml:space="preserve">The exact nature of these revenants has again, changed throughout time, but in particular we see one archetype being retained through history and mentioned in various examples, and that is of the Vampire. We see Vampires represented all the way from Ancient Greek texts in the form of the </w:t>
      </w:r>
      <w:r w:rsidDel="00000000" w:rsidR="00000000" w:rsidRPr="00000000">
        <w:rPr>
          <w:i w:val="1"/>
          <w:sz w:val="20"/>
          <w:szCs w:val="20"/>
          <w:rtl w:val="0"/>
        </w:rPr>
        <w:t xml:space="preserve">empousa </w:t>
      </w:r>
      <w:r w:rsidDel="00000000" w:rsidR="00000000" w:rsidRPr="00000000">
        <w:rPr>
          <w:sz w:val="20"/>
          <w:szCs w:val="20"/>
          <w:rtl w:val="0"/>
        </w:rPr>
        <w:t xml:space="preserve">and </w:t>
      </w:r>
      <w:r w:rsidDel="00000000" w:rsidR="00000000" w:rsidRPr="00000000">
        <w:rPr>
          <w:i w:val="1"/>
          <w:sz w:val="20"/>
          <w:szCs w:val="20"/>
          <w:rtl w:val="0"/>
        </w:rPr>
        <w:t xml:space="preserve">lamia</w:t>
      </w:r>
      <w:r w:rsidDel="00000000" w:rsidR="00000000" w:rsidRPr="00000000">
        <w:rPr>
          <w:sz w:val="20"/>
          <w:szCs w:val="20"/>
          <w:rtl w:val="0"/>
        </w:rPr>
        <w:t xml:space="preserve">.</w:t>
      </w:r>
      <w:r w:rsidDel="00000000" w:rsidR="00000000" w:rsidRPr="00000000">
        <w:rPr>
          <w:sz w:val="20"/>
          <w:szCs w:val="20"/>
          <w:vertAlign w:val="superscript"/>
        </w:rPr>
        <w:footnoteReference w:customMarkFollows="0" w:id="3"/>
      </w:r>
      <w:r w:rsidDel="00000000" w:rsidR="00000000" w:rsidRPr="00000000">
        <w:rPr>
          <w:sz w:val="20"/>
          <w:szCs w:val="20"/>
          <w:rtl w:val="0"/>
        </w:rPr>
        <w:t xml:space="preserve"> up to the more modern and fantastical depicts of these creatures in modern texts. Both of the ancient examples mentioned previously share characteristics of what we would ascribe to being vampires, consuming the living in order to survive. Over time we see this myth evolving into the likes of Dracula and more modern examples of Vampirism.</w:t>
      </w:r>
    </w:p>
    <w:p w:rsidR="00000000" w:rsidDel="00000000" w:rsidP="00000000" w:rsidRDefault="00000000" w:rsidRPr="00000000">
      <w:pPr>
        <w:contextualSpacing w:val="0"/>
        <w:rPr>
          <w:sz w:val="20"/>
          <w:szCs w:val="20"/>
        </w:rPr>
      </w:pPr>
      <w:r w:rsidDel="00000000" w:rsidR="00000000" w:rsidRPr="00000000">
        <w:rPr>
          <w:rtl w:val="0"/>
        </w:rPr>
      </w:r>
    </w:p>
    <w:p w:rsidR="00000000" w:rsidDel="00000000" w:rsidP="00000000" w:rsidRDefault="00000000" w:rsidRPr="00000000">
      <w:pPr>
        <w:contextualSpacing w:val="0"/>
        <w:rPr>
          <w:sz w:val="20"/>
          <w:szCs w:val="20"/>
        </w:rPr>
      </w:pPr>
      <w:r w:rsidDel="00000000" w:rsidR="00000000" w:rsidRPr="00000000">
        <w:rPr>
          <w:sz w:val="20"/>
          <w:szCs w:val="20"/>
          <w:rtl w:val="0"/>
        </w:rPr>
        <w:t xml:space="preserve">A far more literal version of a revenant can be seen in that of zombies, the dead mindlessly returning to life in order to consume the living. This type of revenant can best be seen to ascribe to the fears of the living, that the body of a loved one might return to life and bare no resemblance to their former self mentally, whilst physically having remained unchanged, often as some kind of punishment for misdeeds in life. It is my belief that this was the key reason why the ancient world would grow to fear revenants, terrified of the idea that a family member might return from the dead as something other than themselves, and thus rendering themselves part of the other and as no longer human.</w:t>
      </w:r>
    </w:p>
    <w:p w:rsidR="00000000" w:rsidDel="00000000" w:rsidP="00000000" w:rsidRDefault="00000000" w:rsidRPr="00000000">
      <w:pPr>
        <w:contextualSpacing w:val="0"/>
        <w:rPr>
          <w:sz w:val="20"/>
          <w:szCs w:val="20"/>
        </w:rPr>
      </w:pPr>
      <w:r w:rsidDel="00000000" w:rsidR="00000000" w:rsidRPr="00000000">
        <w:rPr>
          <w:rtl w:val="0"/>
        </w:rPr>
      </w:r>
    </w:p>
    <w:p w:rsidR="00000000" w:rsidDel="00000000" w:rsidP="00000000" w:rsidRDefault="00000000" w:rsidRPr="00000000">
      <w:pPr>
        <w:contextualSpacing w:val="0"/>
        <w:rPr>
          <w:sz w:val="20"/>
          <w:szCs w:val="20"/>
        </w:rPr>
      </w:pPr>
      <w:r w:rsidDel="00000000" w:rsidR="00000000" w:rsidRPr="00000000">
        <w:rPr>
          <w:sz w:val="20"/>
          <w:szCs w:val="20"/>
          <w:rtl w:val="0"/>
        </w:rPr>
        <w:t xml:space="preserve">Whilst we now know that the dead returning to haunt the living is impossible, it is important to look at some of the ways in which burial in the ancient world might have lead to this belief. The simple answer might be to blame it on a misdiagnosis of ancient medicine. People could slip into a particularly deep coma and be mistaken for dead, only to then wake up and have been buried alive. And whilst this is possible and their are records of it, for instance in The New York Times, which reported a woman having been buried alive in 1886</w:t>
      </w:r>
      <w:r w:rsidDel="00000000" w:rsidR="00000000" w:rsidRPr="00000000">
        <w:rPr>
          <w:sz w:val="20"/>
          <w:szCs w:val="20"/>
          <w:vertAlign w:val="superscript"/>
        </w:rPr>
        <w:footnoteReference w:customMarkFollows="0" w:id="4"/>
      </w:r>
      <w:r w:rsidDel="00000000" w:rsidR="00000000" w:rsidRPr="00000000">
        <w:rPr>
          <w:sz w:val="20"/>
          <w:szCs w:val="20"/>
          <w:rtl w:val="0"/>
        </w:rPr>
        <w:t xml:space="preserve"> or  in the ancient world, in the work of Pliny who recounts a man by the name of Aviola, having returned to life upon his funeral pyre</w:t>
      </w:r>
      <w:r w:rsidDel="00000000" w:rsidR="00000000" w:rsidRPr="00000000">
        <w:rPr>
          <w:sz w:val="20"/>
          <w:szCs w:val="20"/>
          <w:vertAlign w:val="superscript"/>
        </w:rPr>
        <w:footnoteReference w:customMarkFollows="0" w:id="5"/>
      </w:r>
      <w:r w:rsidDel="00000000" w:rsidR="00000000" w:rsidRPr="00000000">
        <w:rPr>
          <w:sz w:val="20"/>
          <w:szCs w:val="20"/>
          <w:rtl w:val="0"/>
        </w:rPr>
        <w:t xml:space="preserve">, many of these examples are dubious at best, and the occurrence of such events seems unlikely.I believe that there are far better examples of where this belief might have come from. For instance, grave robbery/desecration. It was common in the ancient world for people to be buried with their wealth and possessions, having them arranged around them often in the belief that they may need them in the afterlife. Grave robbers would then break into burial sites to loot the graves, removing valuables and disturbing the body in the process, at times removing it entirely. It is my belief that this is where the belief might have stemmed from, as it provides a plausible starting point to base the rest of this discussion off of.</w:t>
      </w:r>
    </w:p>
    <w:p w:rsidR="00000000" w:rsidDel="00000000" w:rsidP="00000000" w:rsidRDefault="00000000" w:rsidRPr="00000000">
      <w:pPr>
        <w:contextualSpacing w:val="0"/>
        <w:rPr>
          <w:sz w:val="20"/>
          <w:szCs w:val="20"/>
        </w:rPr>
      </w:pPr>
      <w:r w:rsidDel="00000000" w:rsidR="00000000" w:rsidRPr="00000000">
        <w:rPr>
          <w:rtl w:val="0"/>
        </w:rPr>
      </w:r>
    </w:p>
    <w:p w:rsidR="00000000" w:rsidDel="00000000" w:rsidP="00000000" w:rsidRDefault="00000000" w:rsidRPr="00000000">
      <w:pPr>
        <w:contextualSpacing w:val="0"/>
        <w:rPr>
          <w:sz w:val="20"/>
          <w:szCs w:val="20"/>
        </w:rPr>
      </w:pPr>
      <w:r w:rsidDel="00000000" w:rsidR="00000000" w:rsidRPr="00000000">
        <w:rPr>
          <w:sz w:val="20"/>
          <w:szCs w:val="20"/>
          <w:rtl w:val="0"/>
        </w:rPr>
        <w:t xml:space="preserve">But it would not be in every case, that the body would have been removed from the grave, in fact rather the opposite, as the body itself would have little value to anybody and instead onlookers might find a grave having been looted but with the body still very much in place, if disturbed. Here we must look to the limited understanding of the process of decomposition at the time. As we now know, when a person dies, gas will begin to build up inside the corpse, pushing blood to the surface and making them seem less pale and causing blood to spill from the nose and mouth. Another common occurrence is sound being emitted as gas escapes the body, giving the illusion that the person is alive and still making noise. To a person living in the ancient world, these could simply be misinterpreted as signs that the person is still alive. Finally we have examples of the burial shroud having rotted away directly over the mouth due to bacteria, giving rise to the name ‘shroud-eaters’ when referring to revenants. With all these factors considered, it is easy to see how the belief around these creatures may have arisen, the fear of the undead returning to assault the living being a powerful motivator that would lead to the rise of what we would come to refer to a ‘revenant burials’.</w:t>
      </w:r>
    </w:p>
    <w:p w:rsidR="00000000" w:rsidDel="00000000" w:rsidP="00000000" w:rsidRDefault="00000000" w:rsidRPr="00000000">
      <w:pPr>
        <w:contextualSpacing w:val="0"/>
        <w:rPr>
          <w:sz w:val="20"/>
          <w:szCs w:val="20"/>
        </w:rPr>
      </w:pPr>
      <w:r w:rsidDel="00000000" w:rsidR="00000000" w:rsidRPr="00000000">
        <w:rPr>
          <w:rtl w:val="0"/>
        </w:rPr>
      </w:r>
    </w:p>
    <w:p w:rsidR="00000000" w:rsidDel="00000000" w:rsidP="00000000" w:rsidRDefault="00000000" w:rsidRPr="00000000">
      <w:pPr>
        <w:contextualSpacing w:val="0"/>
        <w:rPr>
          <w:sz w:val="20"/>
          <w:szCs w:val="20"/>
        </w:rPr>
      </w:pPr>
      <w:r w:rsidDel="00000000" w:rsidR="00000000" w:rsidRPr="00000000">
        <w:rPr>
          <w:sz w:val="20"/>
          <w:szCs w:val="20"/>
          <w:rtl w:val="0"/>
        </w:rPr>
        <w:t xml:space="preserve">The burials were almost all intrinsically violent, disrespectful, or different from the normal process of burial in whatever time or place they would take place, and show, in my opinion, a clear view that the fear of the dead returning was a real threat to those performing the burial. We see people going to great effort in order to hinder the dead from returning to life. Perhaps one of the simplest ways in which this is achieved, and one that would help give rise to the myth of the modern vampire, is that of driving a stake through the body. Whilst over time this practise has been corrupted to be the way to put a vampiric revenant to rest post rising, the original practise was instead intended to prevent the dead from rising in the first place. It was hoped that a stake through the body would keep the dead pinned inside their grave and prevent them from freeing themselves in the event that they were to rise. We see this practise all the way through medieval history, for example one such grave was found at the ruins of the Thracian city of Perperikon in Bulgaria. There a skeleton was found with a heavy iron rod driven through the chest in order to keep it from rising.</w:t>
      </w:r>
      <w:r w:rsidDel="00000000" w:rsidR="00000000" w:rsidRPr="00000000">
        <w:rPr>
          <w:sz w:val="20"/>
          <w:szCs w:val="20"/>
          <w:vertAlign w:val="superscript"/>
        </w:rPr>
        <w:footnoteReference w:customMarkFollows="0" w:id="6"/>
      </w:r>
      <w:r w:rsidDel="00000000" w:rsidR="00000000" w:rsidRPr="00000000">
        <w:rPr>
          <w:sz w:val="20"/>
          <w:szCs w:val="20"/>
          <w:rtl w:val="0"/>
        </w:rPr>
        <w:t xml:space="preserve"> Of particular note is the fact that the spike was taken directly from a ploughshare, something of particular importance to a farming community. We can see from this that the people performing the burial showed a genuine fear of the dead returning to life, rather than it simply being some kind of afterthought, as they were willing to sacrifice something of real importance to themselves in order to prevent the dead from rising to attack them.</w:t>
      </w:r>
    </w:p>
    <w:p w:rsidR="00000000" w:rsidDel="00000000" w:rsidP="00000000" w:rsidRDefault="00000000" w:rsidRPr="00000000">
      <w:pPr>
        <w:contextualSpacing w:val="0"/>
        <w:rPr>
          <w:sz w:val="20"/>
          <w:szCs w:val="20"/>
        </w:rPr>
      </w:pPr>
      <w:r w:rsidDel="00000000" w:rsidR="00000000" w:rsidRPr="00000000">
        <w:rPr>
          <w:rtl w:val="0"/>
        </w:rPr>
      </w:r>
    </w:p>
    <w:p w:rsidR="00000000" w:rsidDel="00000000" w:rsidP="00000000" w:rsidRDefault="00000000" w:rsidRPr="00000000">
      <w:pPr>
        <w:contextualSpacing w:val="0"/>
        <w:rPr>
          <w:sz w:val="20"/>
          <w:szCs w:val="20"/>
        </w:rPr>
      </w:pPr>
      <w:r w:rsidDel="00000000" w:rsidR="00000000" w:rsidRPr="00000000">
        <w:rPr>
          <w:sz w:val="20"/>
          <w:szCs w:val="20"/>
          <w:rtl w:val="0"/>
        </w:rPr>
        <w:t xml:space="preserve">Whilst driving a stake through the corpse is the most popular way of keeping the dead from rising, it was not the only way we see this practise having been performed. For instance at Kalyvia in Attica, we see bodies dating to 800-500 BC having been buried in strange positions and with large rocks placed over the center of the bodies</w:t>
      </w:r>
      <w:r w:rsidDel="00000000" w:rsidR="00000000" w:rsidRPr="00000000">
        <w:rPr>
          <w:sz w:val="20"/>
          <w:szCs w:val="20"/>
          <w:vertAlign w:val="superscript"/>
        </w:rPr>
        <w:footnoteReference w:customMarkFollows="0" w:id="7"/>
      </w:r>
      <w:r w:rsidDel="00000000" w:rsidR="00000000" w:rsidRPr="00000000">
        <w:rPr>
          <w:sz w:val="20"/>
          <w:szCs w:val="20"/>
          <w:rtl w:val="0"/>
        </w:rPr>
        <w:t xml:space="preserve">. Whilst we cannot conclusively say why this was done, it seems a reasonable argument to me that this process was performed in an attempt to make the reanimation of the dead difficult, similar to the way in which the use of a stake would make it difficult to physically rise from the grave weighed down by such objects. </w:t>
      </w:r>
    </w:p>
    <w:p w:rsidR="00000000" w:rsidDel="00000000" w:rsidP="00000000" w:rsidRDefault="00000000" w:rsidRPr="00000000">
      <w:pPr>
        <w:contextualSpacing w:val="0"/>
        <w:rPr>
          <w:sz w:val="20"/>
          <w:szCs w:val="20"/>
        </w:rPr>
      </w:pPr>
      <w:r w:rsidDel="00000000" w:rsidR="00000000" w:rsidRPr="00000000">
        <w:rPr>
          <w:rtl w:val="0"/>
        </w:rPr>
      </w:r>
    </w:p>
    <w:p w:rsidR="00000000" w:rsidDel="00000000" w:rsidP="00000000" w:rsidRDefault="00000000" w:rsidRPr="00000000">
      <w:pPr>
        <w:contextualSpacing w:val="0"/>
        <w:rPr>
          <w:sz w:val="20"/>
          <w:szCs w:val="20"/>
        </w:rPr>
      </w:pPr>
      <w:r w:rsidDel="00000000" w:rsidR="00000000" w:rsidRPr="00000000">
        <w:rPr>
          <w:sz w:val="20"/>
          <w:szCs w:val="20"/>
          <w:rtl w:val="0"/>
        </w:rPr>
        <w:t xml:space="preserve">We can also see far more drastic action being taken, much more violent than the previous two examples. For instance at Merenda in Attica, the body of a female was found to have been cut in half before both parts of the body had been placed parallel with one another</w:t>
      </w:r>
      <w:r w:rsidDel="00000000" w:rsidR="00000000" w:rsidRPr="00000000">
        <w:rPr>
          <w:sz w:val="20"/>
          <w:szCs w:val="20"/>
          <w:vertAlign w:val="superscript"/>
        </w:rPr>
        <w:footnoteReference w:customMarkFollows="0" w:id="8"/>
      </w:r>
      <w:r w:rsidDel="00000000" w:rsidR="00000000" w:rsidRPr="00000000">
        <w:rPr>
          <w:sz w:val="20"/>
          <w:szCs w:val="20"/>
          <w:rtl w:val="0"/>
        </w:rPr>
        <w:t xml:space="preserve">. This skeleton was dated to the 4th century AD and shows that this belief continued through a great period of time. We can also see that as both this and the previous examples originate in Attica, this was a belief that persisted in an area and was not some passing belief that would soon be forgotten.</w:t>
      </w:r>
    </w:p>
    <w:p w:rsidR="00000000" w:rsidDel="00000000" w:rsidP="00000000" w:rsidRDefault="00000000" w:rsidRPr="00000000">
      <w:pPr>
        <w:contextualSpacing w:val="0"/>
        <w:rPr>
          <w:sz w:val="20"/>
          <w:szCs w:val="20"/>
        </w:rPr>
      </w:pPr>
      <w:r w:rsidDel="00000000" w:rsidR="00000000" w:rsidRPr="00000000">
        <w:rPr>
          <w:rtl w:val="0"/>
        </w:rPr>
      </w:r>
    </w:p>
    <w:p w:rsidR="00000000" w:rsidDel="00000000" w:rsidP="00000000" w:rsidRDefault="00000000" w:rsidRPr="00000000">
      <w:pPr>
        <w:contextualSpacing w:val="0"/>
        <w:rPr>
          <w:sz w:val="20"/>
          <w:szCs w:val="20"/>
        </w:rPr>
      </w:pPr>
      <w:r w:rsidDel="00000000" w:rsidR="00000000" w:rsidRPr="00000000">
        <w:rPr>
          <w:sz w:val="20"/>
          <w:szCs w:val="20"/>
          <w:rtl w:val="0"/>
        </w:rPr>
        <w:t xml:space="preserve">Despite all these precautions being taken, we often find in folklore through history, examples of revenants rising regardless and it is important to look at how these supposed creatures were dealt with. In his book</w:t>
      </w:r>
      <w:r w:rsidDel="00000000" w:rsidR="00000000" w:rsidRPr="00000000">
        <w:rPr>
          <w:sz w:val="20"/>
          <w:szCs w:val="20"/>
          <w:vertAlign w:val="superscript"/>
        </w:rPr>
        <w:footnoteReference w:customMarkFollows="0" w:id="9"/>
      </w:r>
      <w:r w:rsidDel="00000000" w:rsidR="00000000" w:rsidRPr="00000000">
        <w:rPr>
          <w:sz w:val="20"/>
          <w:szCs w:val="20"/>
          <w:rtl w:val="0"/>
        </w:rPr>
        <w:t xml:space="preserve">, Robert Bartlett transcribes the story of the abbot of Burton in Staffordshire. In the tale, two runaway peasants fell ill and died suddenly, only to rise again after having been buried. Despite this, the two would rise again the same day as revenants and cause the villagers to become sick until the bodies were exhumed, their heads cut off and hearts removed before being reburied</w:t>
      </w:r>
      <w:r w:rsidDel="00000000" w:rsidR="00000000" w:rsidRPr="00000000">
        <w:rPr>
          <w:sz w:val="20"/>
          <w:szCs w:val="20"/>
          <w:vertAlign w:val="superscript"/>
        </w:rPr>
        <w:footnoteReference w:customMarkFollows="0" w:id="10"/>
      </w:r>
      <w:r w:rsidDel="00000000" w:rsidR="00000000" w:rsidRPr="00000000">
        <w:rPr>
          <w:sz w:val="20"/>
          <w:szCs w:val="20"/>
          <w:rtl w:val="0"/>
        </w:rPr>
        <w:t xml:space="preserve">. We can see from this example that the lengths people went to in order to put down these revenants was equally as extreme as those they would use to prevent them from rising, as removing the dead from their burial was viewed as sacrilegious and insulting to the dead.</w:t>
      </w:r>
    </w:p>
    <w:p w:rsidR="00000000" w:rsidDel="00000000" w:rsidP="00000000" w:rsidRDefault="00000000" w:rsidRPr="00000000">
      <w:pPr>
        <w:contextualSpacing w:val="0"/>
        <w:rPr>
          <w:sz w:val="20"/>
          <w:szCs w:val="20"/>
        </w:rPr>
      </w:pPr>
      <w:r w:rsidDel="00000000" w:rsidR="00000000" w:rsidRPr="00000000">
        <w:rPr>
          <w:rtl w:val="0"/>
        </w:rPr>
      </w:r>
    </w:p>
    <w:p w:rsidR="00000000" w:rsidDel="00000000" w:rsidP="00000000" w:rsidRDefault="00000000" w:rsidRPr="00000000">
      <w:pPr>
        <w:contextualSpacing w:val="0"/>
        <w:rPr>
          <w:sz w:val="20"/>
          <w:szCs w:val="20"/>
        </w:rPr>
      </w:pPr>
      <w:r w:rsidDel="00000000" w:rsidR="00000000" w:rsidRPr="00000000">
        <w:rPr>
          <w:sz w:val="20"/>
          <w:szCs w:val="20"/>
          <w:rtl w:val="0"/>
        </w:rPr>
        <w:t xml:space="preserve">It is also important to look at why specific people were targeted for burial in this way, as revenant burials are not seen to occur in every instance of burial. Rather, they are the ultra-rare exception to the rule, having been found infrequently across the thousands of gravesight excavations performed in the modern day.</w:t>
      </w:r>
    </w:p>
    <w:p w:rsidR="00000000" w:rsidDel="00000000" w:rsidP="00000000" w:rsidRDefault="00000000" w:rsidRPr="00000000">
      <w:pPr>
        <w:contextualSpacing w:val="0"/>
        <w:rPr>
          <w:sz w:val="20"/>
          <w:szCs w:val="20"/>
        </w:rPr>
      </w:pPr>
      <w:r w:rsidDel="00000000" w:rsidR="00000000" w:rsidRPr="00000000">
        <w:rPr>
          <w:rtl w:val="0"/>
        </w:rPr>
      </w:r>
    </w:p>
    <w:p w:rsidR="00000000" w:rsidDel="00000000" w:rsidP="00000000" w:rsidRDefault="00000000" w:rsidRPr="00000000">
      <w:pPr>
        <w:contextualSpacing w:val="0"/>
        <w:rPr>
          <w:sz w:val="20"/>
          <w:szCs w:val="20"/>
        </w:rPr>
      </w:pPr>
      <w:r w:rsidDel="00000000" w:rsidR="00000000" w:rsidRPr="00000000">
        <w:rPr>
          <w:sz w:val="20"/>
          <w:szCs w:val="20"/>
          <w:rtl w:val="0"/>
        </w:rPr>
        <w:t xml:space="preserve">The main instance of these burials would seemingly tie into people who have died in unusual circumstances or who were viewed in a negative light during their life. We see people who were accused of being non-pious or as wicked during their lives, often being the ones who would return to haunt the living. For instance in a tale by Walter Map written in the 12th century, speaks of a “Wicked man”</w:t>
      </w:r>
      <w:r w:rsidDel="00000000" w:rsidR="00000000" w:rsidRPr="00000000">
        <w:rPr>
          <w:sz w:val="20"/>
          <w:szCs w:val="20"/>
          <w:vertAlign w:val="superscript"/>
        </w:rPr>
        <w:footnoteReference w:customMarkFollows="0" w:id="11"/>
      </w:r>
      <w:r w:rsidDel="00000000" w:rsidR="00000000" w:rsidRPr="00000000">
        <w:rPr>
          <w:sz w:val="20"/>
          <w:szCs w:val="20"/>
          <w:rtl w:val="0"/>
        </w:rPr>
        <w:t xml:space="preserve"> who would return to haunt the living. It is perhaps possible that this part of the lore around revenants was meant to serve as somewhat of a cautionary tale, attempting to scare people into living good lives for fear their bodies would return out of their control if they did not. Yet we also see that often revenants would be attributed to outsiders or foreigners, not native to the place in which they would rise. For instance in the example given above about the two men in Staffordshire, the men are described as ‘runaway peasants’ who would have come from elsewhere. This could link the idea of revenants to the fear of the unknown, and the distrust of outsiders, again helping to support the idea that the revenants can be used more as a precautionary tale than as a literal entity. On the other hand, this particular part of the argument could also be said to be something of a punishment, where in people who had led wicked lives had their bodies desecrated as a punishment for their sins in life.</w:t>
      </w:r>
    </w:p>
    <w:p w:rsidR="00000000" w:rsidDel="00000000" w:rsidP="00000000" w:rsidRDefault="00000000" w:rsidRPr="00000000">
      <w:pPr>
        <w:contextualSpacing w:val="0"/>
        <w:rPr>
          <w:sz w:val="20"/>
          <w:szCs w:val="20"/>
        </w:rPr>
      </w:pPr>
      <w:r w:rsidDel="00000000" w:rsidR="00000000" w:rsidRPr="00000000">
        <w:rPr>
          <w:rtl w:val="0"/>
        </w:rPr>
      </w:r>
    </w:p>
    <w:p w:rsidR="00000000" w:rsidDel="00000000" w:rsidP="00000000" w:rsidRDefault="00000000" w:rsidRPr="00000000">
      <w:pPr>
        <w:contextualSpacing w:val="0"/>
        <w:rPr>
          <w:sz w:val="20"/>
          <w:szCs w:val="20"/>
        </w:rPr>
      </w:pPr>
      <w:r w:rsidDel="00000000" w:rsidR="00000000" w:rsidRPr="00000000">
        <w:rPr>
          <w:sz w:val="20"/>
          <w:szCs w:val="20"/>
          <w:rtl w:val="0"/>
        </w:rPr>
        <w:t xml:space="preserve">There are also examples of these types of burials becoming far more common in times of great crisis, with the belief that these revenants could be a portent of whatever was befalling people at the time. For instance, when the black death was sweeping it’s way across Europe, we see an increased number of these ‘revenant burials’ being performed. This was likely due to the belief, particularly in England, that these revenants could be the heralds of death and disease. This is shown in a great deal of artworks, both contemporary and modern where either death or disease, is personified as either a corpse-like being, or simply as a living skeleton. For instance in the 1493 artwork, </w:t>
      </w:r>
      <w:r w:rsidDel="00000000" w:rsidR="00000000" w:rsidRPr="00000000">
        <w:rPr>
          <w:i w:val="1"/>
          <w:sz w:val="20"/>
          <w:szCs w:val="20"/>
          <w:rtl w:val="0"/>
        </w:rPr>
        <w:t xml:space="preserve">The Danse Macabre </w:t>
      </w:r>
      <w:r w:rsidDel="00000000" w:rsidR="00000000" w:rsidRPr="00000000">
        <w:rPr>
          <w:sz w:val="20"/>
          <w:szCs w:val="20"/>
          <w:rtl w:val="0"/>
        </w:rPr>
        <w:t xml:space="preserve">(The Dance of Death) by Michael Wolgemut</w:t>
      </w:r>
      <w:r w:rsidDel="00000000" w:rsidR="00000000" w:rsidRPr="00000000">
        <w:rPr>
          <w:sz w:val="20"/>
          <w:szCs w:val="20"/>
          <w:vertAlign w:val="superscript"/>
        </w:rPr>
        <w:footnoteReference w:customMarkFollows="0" w:id="12"/>
      </w:r>
      <w:r w:rsidDel="00000000" w:rsidR="00000000" w:rsidRPr="00000000">
        <w:rPr>
          <w:sz w:val="20"/>
          <w:szCs w:val="20"/>
          <w:rtl w:val="0"/>
        </w:rPr>
        <w:t xml:space="preserve">, not only do we see death being represented as a group of skeletal beings, along the bottom of the image we can see a single skeleton physically rising from the grave, giving credence to the idea that these revenants were feared, not just for their ability to directly attack the living, but also that they could bring bad tidings with them.</w:t>
      </w:r>
    </w:p>
    <w:p w:rsidR="00000000" w:rsidDel="00000000" w:rsidP="00000000" w:rsidRDefault="00000000" w:rsidRPr="00000000">
      <w:pPr>
        <w:contextualSpacing w:val="0"/>
        <w:rPr>
          <w:sz w:val="20"/>
          <w:szCs w:val="20"/>
        </w:rPr>
      </w:pPr>
      <w:r w:rsidDel="00000000" w:rsidR="00000000" w:rsidRPr="00000000">
        <w:rPr>
          <w:rtl w:val="0"/>
        </w:rPr>
      </w:r>
    </w:p>
    <w:p w:rsidR="00000000" w:rsidDel="00000000" w:rsidP="00000000" w:rsidRDefault="00000000" w:rsidRPr="00000000">
      <w:pPr>
        <w:contextualSpacing w:val="0"/>
        <w:rPr>
          <w:sz w:val="20"/>
          <w:szCs w:val="20"/>
        </w:rPr>
      </w:pPr>
      <w:r w:rsidDel="00000000" w:rsidR="00000000" w:rsidRPr="00000000">
        <w:rPr>
          <w:sz w:val="20"/>
          <w:szCs w:val="20"/>
          <w:rtl w:val="0"/>
        </w:rPr>
        <w:t xml:space="preserve">In conclusion,we see these practises continuing throughout history, up until we begin to see the advent of modern medicine and a better understanding of the processes’ of decomposition, thus able to explain away some of the strange occurrences that might have led to this particular belief. Thus, referring back to the original question of this essay, I believe it is a logical conclusion that based upon the desecration of the dead that people were willing to perform, that their was indeed a profound fear of the dead returning to life in order to attack the living. </w:t>
      </w:r>
    </w:p>
    <w:p w:rsidR="00000000" w:rsidDel="00000000" w:rsidP="00000000" w:rsidRDefault="00000000" w:rsidRPr="00000000">
      <w:pPr>
        <w:contextualSpacing w:val="0"/>
        <w:rPr>
          <w:sz w:val="20"/>
          <w:szCs w:val="20"/>
        </w:rPr>
      </w:pPr>
      <w:r w:rsidDel="00000000" w:rsidR="00000000" w:rsidRPr="00000000">
        <w:rPr>
          <w:rtl w:val="0"/>
        </w:rPr>
      </w:r>
    </w:p>
    <w:p w:rsidR="00000000" w:rsidDel="00000000" w:rsidP="00000000" w:rsidRDefault="00000000" w:rsidRPr="00000000">
      <w:pPr>
        <w:contextualSpacing w:val="0"/>
        <w:rPr>
          <w:sz w:val="20"/>
          <w:szCs w:val="20"/>
        </w:rPr>
      </w:pPr>
      <w:r w:rsidDel="00000000" w:rsidR="00000000" w:rsidRPr="00000000">
        <w:rPr>
          <w:sz w:val="20"/>
          <w:szCs w:val="20"/>
          <w:rtl w:val="0"/>
        </w:rPr>
        <w:t xml:space="preserve">I do believe thought that it is also important to factor in that perhaps the original version of the myth was something of a cautionary tale, having been corrupted over time similarly to how the ‘staking’ of revenants/vampires has been corrupted to have its current use in modern literature.</w:t>
      </w:r>
    </w:p>
    <w:p w:rsidR="00000000" w:rsidDel="00000000" w:rsidP="00000000" w:rsidRDefault="00000000" w:rsidRPr="00000000">
      <w:pPr>
        <w:contextualSpacing w:val="0"/>
        <w:rPr>
          <w:sz w:val="20"/>
          <w:szCs w:val="20"/>
        </w:rPr>
      </w:pPr>
      <w:r w:rsidDel="00000000" w:rsidR="00000000" w:rsidRPr="00000000">
        <w:rPr>
          <w:rtl w:val="0"/>
        </w:rPr>
      </w:r>
    </w:p>
    <w:p w:rsidR="00000000" w:rsidDel="00000000" w:rsidP="00000000" w:rsidRDefault="00000000" w:rsidRPr="00000000">
      <w:pPr>
        <w:contextualSpacing w:val="0"/>
        <w:rPr>
          <w:sz w:val="20"/>
          <w:szCs w:val="20"/>
        </w:rPr>
      </w:pPr>
      <w:r w:rsidDel="00000000" w:rsidR="00000000" w:rsidRPr="00000000">
        <w:rPr>
          <w:sz w:val="20"/>
          <w:szCs w:val="20"/>
          <w:rtl w:val="0"/>
        </w:rPr>
        <w:t xml:space="preserve">Joseph Waddock</w:t>
      </w:r>
    </w:p>
    <w:p w:rsidR="00000000" w:rsidDel="00000000" w:rsidP="00000000" w:rsidRDefault="00000000" w:rsidRPr="00000000">
      <w:pPr>
        <w:contextualSpacing w:val="0"/>
        <w:rPr>
          <w:sz w:val="20"/>
          <w:szCs w:val="20"/>
        </w:rPr>
      </w:pPr>
      <w:r w:rsidDel="00000000" w:rsidR="00000000" w:rsidRPr="00000000">
        <w:rPr>
          <w:sz w:val="20"/>
          <w:szCs w:val="20"/>
          <w:rtl w:val="0"/>
        </w:rPr>
        <w:t xml:space="preserve">1401032</w:t>
      </w:r>
    </w:p>
    <w:p w:rsidR="00000000" w:rsidDel="00000000" w:rsidP="00000000" w:rsidRDefault="00000000" w:rsidRPr="00000000">
      <w:pPr>
        <w:contextualSpacing w:val="0"/>
        <w:rPr>
          <w:sz w:val="20"/>
          <w:szCs w:val="20"/>
        </w:rPr>
      </w:pPr>
      <w:r w:rsidDel="00000000" w:rsidR="00000000" w:rsidRPr="00000000">
        <w:rPr>
          <w:rtl w:val="0"/>
        </w:rPr>
      </w:r>
    </w:p>
    <w:p w:rsidR="00000000" w:rsidDel="00000000" w:rsidP="00000000" w:rsidRDefault="00000000" w:rsidRPr="00000000">
      <w:pPr>
        <w:contextualSpacing w:val="0"/>
        <w:rPr>
          <w:sz w:val="20"/>
          <w:szCs w:val="20"/>
        </w:rPr>
      </w:pPr>
      <w:r w:rsidDel="00000000" w:rsidR="00000000" w:rsidRPr="00000000">
        <w:rPr>
          <w:sz w:val="20"/>
          <w:szCs w:val="20"/>
          <w:rtl w:val="0"/>
        </w:rPr>
        <w:t xml:space="preserve">Word Count -- 2368</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right="0"/>
        <w:contextualSpacing w:val="0"/>
        <w:jc w:val="left"/>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br w:type="page"/>
      </w: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pStyle w:val="Heading2"/>
        <w:keepNext w:val="0"/>
        <w:keepLines w:val="0"/>
        <w:spacing w:after="80" w:before="0" w:lineRule="auto"/>
        <w:contextualSpacing w:val="0"/>
        <w:rPr>
          <w:i w:val="1"/>
          <w:color w:val="222222"/>
          <w:sz w:val="36"/>
          <w:szCs w:val="36"/>
          <w:highlight w:val="white"/>
        </w:rPr>
      </w:pPr>
      <w:bookmarkStart w:colFirst="0" w:colLast="0" w:name="_j5ntk08k1fvt" w:id="0"/>
      <w:bookmarkEnd w:id="0"/>
      <w:r w:rsidDel="00000000" w:rsidR="00000000" w:rsidRPr="00000000">
        <w:rPr>
          <w:i w:val="1"/>
          <w:color w:val="222222"/>
          <w:sz w:val="36"/>
          <w:szCs w:val="36"/>
          <w:highlight w:val="white"/>
          <w:rtl w:val="0"/>
        </w:rPr>
        <w:t xml:space="preserve">References</w:t>
      </w:r>
    </w:p>
    <w:p w:rsidR="00000000" w:rsidDel="00000000" w:rsidP="00000000" w:rsidRDefault="00000000" w:rsidRPr="00000000">
      <w:pPr>
        <w:pStyle w:val="Heading2"/>
        <w:contextualSpacing w:val="0"/>
        <w:rPr>
          <w:i w:val="1"/>
          <w:sz w:val="34"/>
          <w:szCs w:val="34"/>
        </w:rPr>
      </w:pPr>
      <w:bookmarkStart w:colFirst="0" w:colLast="0" w:name="_eu8hwo28tnyi" w:id="1"/>
      <w:bookmarkEnd w:id="1"/>
      <w:r w:rsidDel="00000000" w:rsidR="00000000" w:rsidRPr="00000000">
        <w:rPr>
          <w:i w:val="1"/>
          <w:sz w:val="34"/>
          <w:szCs w:val="34"/>
          <w:rtl w:val="0"/>
        </w:rPr>
        <w:t xml:space="preserve">Books</w:t>
      </w:r>
    </w:p>
    <w:p w:rsidR="00000000" w:rsidDel="00000000" w:rsidP="00000000" w:rsidRDefault="00000000" w:rsidRPr="00000000">
      <w:pPr>
        <w:spacing w:after="180" w:lineRule="auto"/>
        <w:ind w:left="900" w:hanging="440"/>
        <w:contextualSpacing w:val="0"/>
        <w:rPr>
          <w:i w:val="1"/>
          <w:color w:val="222222"/>
          <w:sz w:val="19"/>
          <w:szCs w:val="19"/>
          <w:highlight w:val="white"/>
        </w:rPr>
      </w:pPr>
      <w:r w:rsidDel="00000000" w:rsidR="00000000" w:rsidRPr="00000000">
        <w:rPr>
          <w:i w:val="1"/>
          <w:color w:val="222222"/>
          <w:sz w:val="19"/>
          <w:szCs w:val="19"/>
          <w:highlight w:val="white"/>
          <w:rtl w:val="0"/>
        </w:rPr>
        <w:t xml:space="preserve">Bartlett, R. (2006). England under the Norman and Angevin kings. Oxford: Clarendon Press.</w:t>
      </w:r>
    </w:p>
    <w:p w:rsidR="00000000" w:rsidDel="00000000" w:rsidP="00000000" w:rsidRDefault="00000000" w:rsidRPr="00000000">
      <w:pPr>
        <w:spacing w:after="180" w:lineRule="auto"/>
        <w:ind w:left="900" w:hanging="440"/>
        <w:contextualSpacing w:val="0"/>
        <w:rPr>
          <w:i w:val="1"/>
          <w:color w:val="222222"/>
          <w:sz w:val="19"/>
          <w:szCs w:val="19"/>
          <w:highlight w:val="white"/>
        </w:rPr>
      </w:pPr>
      <w:r w:rsidDel="00000000" w:rsidR="00000000" w:rsidRPr="00000000">
        <w:rPr>
          <w:i w:val="1"/>
          <w:color w:val="222222"/>
          <w:sz w:val="19"/>
          <w:szCs w:val="19"/>
          <w:highlight w:val="white"/>
          <w:rtl w:val="0"/>
        </w:rPr>
        <w:t xml:space="preserve">Murphy, E. (2008). Deviant burial in the archaeological world. Oxbow Books.</w:t>
      </w:r>
    </w:p>
    <w:p w:rsidR="00000000" w:rsidDel="00000000" w:rsidP="00000000" w:rsidRDefault="00000000" w:rsidRPr="00000000">
      <w:pPr>
        <w:spacing w:after="180" w:lineRule="auto"/>
        <w:ind w:left="900" w:hanging="440"/>
        <w:contextualSpacing w:val="0"/>
        <w:rPr>
          <w:i w:val="1"/>
          <w:color w:val="222222"/>
          <w:sz w:val="19"/>
          <w:szCs w:val="19"/>
          <w:highlight w:val="white"/>
        </w:rPr>
      </w:pPr>
      <w:r w:rsidDel="00000000" w:rsidR="00000000" w:rsidRPr="00000000">
        <w:rPr>
          <w:i w:val="1"/>
          <w:color w:val="222222"/>
          <w:sz w:val="19"/>
          <w:szCs w:val="19"/>
          <w:highlight w:val="white"/>
          <w:rtl w:val="0"/>
        </w:rPr>
        <w:t xml:space="preserve">Plinius Secundus, G. and Jones, W. (2014). Natural history. Cambridge, Massachusetts: Harvard University Press.</w:t>
      </w:r>
    </w:p>
    <w:p w:rsidR="00000000" w:rsidDel="00000000" w:rsidP="00000000" w:rsidRDefault="00000000" w:rsidRPr="00000000">
      <w:pPr>
        <w:spacing w:after="180" w:lineRule="auto"/>
        <w:ind w:left="900" w:hanging="440"/>
        <w:contextualSpacing w:val="0"/>
        <w:rPr>
          <w:i w:val="1"/>
          <w:color w:val="222222"/>
          <w:sz w:val="19"/>
          <w:szCs w:val="19"/>
          <w:highlight w:val="white"/>
        </w:rPr>
      </w:pPr>
      <w:r w:rsidDel="00000000" w:rsidR="00000000" w:rsidRPr="00000000">
        <w:rPr>
          <w:i w:val="1"/>
          <w:color w:val="222222"/>
          <w:sz w:val="19"/>
          <w:szCs w:val="19"/>
          <w:highlight w:val="white"/>
          <w:rtl w:val="0"/>
        </w:rPr>
        <w:t xml:space="preserve">Sulosky Weaver, C. and Di Stefano, G. (2015). The bioarchaeology of Classical Kamarina. University Press of Florida.</w:t>
      </w:r>
    </w:p>
    <w:p w:rsidR="00000000" w:rsidDel="00000000" w:rsidP="00000000" w:rsidRDefault="00000000" w:rsidRPr="00000000">
      <w:pPr>
        <w:spacing w:after="180" w:lineRule="auto"/>
        <w:ind w:left="900" w:hanging="440"/>
        <w:contextualSpacing w:val="0"/>
        <w:rPr>
          <w:i w:val="1"/>
          <w:color w:val="222222"/>
          <w:sz w:val="19"/>
          <w:szCs w:val="19"/>
          <w:highlight w:val="white"/>
        </w:rPr>
      </w:pPr>
      <w:r w:rsidDel="00000000" w:rsidR="00000000" w:rsidRPr="00000000">
        <w:rPr>
          <w:i w:val="1"/>
          <w:color w:val="222222"/>
          <w:sz w:val="19"/>
          <w:szCs w:val="19"/>
          <w:highlight w:val="white"/>
          <w:rtl w:val="0"/>
        </w:rPr>
        <w:t xml:space="preserve">Walter and Wright, T. (1968). De nugis curialium. New York, N.Y..</w:t>
      </w:r>
    </w:p>
    <w:p w:rsidR="00000000" w:rsidDel="00000000" w:rsidP="00000000" w:rsidRDefault="00000000" w:rsidRPr="00000000">
      <w:pPr>
        <w:pStyle w:val="Heading2"/>
        <w:spacing w:after="180" w:lineRule="auto"/>
        <w:contextualSpacing w:val="0"/>
        <w:rPr>
          <w:i w:val="1"/>
          <w:sz w:val="34"/>
          <w:szCs w:val="34"/>
        </w:rPr>
      </w:pPr>
      <w:bookmarkStart w:colFirst="0" w:colLast="0" w:name="_v9zaby6kobyo" w:id="2"/>
      <w:bookmarkEnd w:id="2"/>
      <w:r w:rsidDel="00000000" w:rsidR="00000000" w:rsidRPr="00000000">
        <w:rPr>
          <w:i w:val="1"/>
          <w:sz w:val="34"/>
          <w:szCs w:val="34"/>
          <w:rtl w:val="0"/>
        </w:rPr>
        <w:t xml:space="preserve">Websites</w:t>
      </w:r>
    </w:p>
    <w:p w:rsidR="00000000" w:rsidDel="00000000" w:rsidP="00000000" w:rsidRDefault="00000000" w:rsidRPr="00000000">
      <w:pPr>
        <w:spacing w:after="180" w:lineRule="auto"/>
        <w:ind w:left="900" w:hanging="440"/>
        <w:contextualSpacing w:val="0"/>
        <w:rPr>
          <w:i w:val="1"/>
          <w:color w:val="222222"/>
          <w:sz w:val="18"/>
          <w:szCs w:val="18"/>
          <w:highlight w:val="white"/>
        </w:rPr>
      </w:pPr>
      <w:r w:rsidDel="00000000" w:rsidR="00000000" w:rsidRPr="00000000">
        <w:rPr>
          <w:i w:val="1"/>
          <w:color w:val="222222"/>
          <w:sz w:val="18"/>
          <w:szCs w:val="18"/>
          <w:highlight w:val="white"/>
          <w:rtl w:val="0"/>
        </w:rPr>
        <w:t xml:space="preserve">Www-loebclassics-com.ezproxy.uwtsd.ac.uk. (2018). PHILOSTRATUS, Apollonius of Tyana [online] Available at: https://www-loebclassics-com.ezproxy.uwtsd.ac.uk/view/LCL458/2006/volume.xml [Accessed 19 Jan. 2018].</w:t>
      </w:r>
    </w:p>
    <w:p w:rsidR="00000000" w:rsidDel="00000000" w:rsidP="00000000" w:rsidRDefault="00000000" w:rsidRPr="00000000">
      <w:pPr>
        <w:spacing w:after="180" w:lineRule="auto"/>
        <w:ind w:left="900" w:hanging="440"/>
        <w:contextualSpacing w:val="0"/>
        <w:rPr>
          <w:i w:val="1"/>
          <w:color w:val="222222"/>
          <w:sz w:val="18"/>
          <w:szCs w:val="18"/>
          <w:highlight w:val="white"/>
        </w:rPr>
      </w:pPr>
      <w:r w:rsidDel="00000000" w:rsidR="00000000" w:rsidRPr="00000000">
        <w:rPr>
          <w:i w:val="1"/>
          <w:color w:val="222222"/>
          <w:sz w:val="18"/>
          <w:szCs w:val="18"/>
          <w:highlight w:val="white"/>
          <w:rtl w:val="0"/>
        </w:rPr>
        <w:t xml:space="preserve">Toohey, P. (2018). Death - Oxford Reference. [online] Oxfordreference.com. Available at: http://www.oxfordreference.com/view/10.1093/acref/9780195170726.001.0001/acref-9780195170726-e-347 [Accessed 19 Jan. 2018].</w:t>
      </w:r>
    </w:p>
    <w:p w:rsidR="00000000" w:rsidDel="00000000" w:rsidP="00000000" w:rsidRDefault="00000000" w:rsidRPr="00000000">
      <w:pPr>
        <w:spacing w:after="180" w:lineRule="auto"/>
        <w:ind w:left="900" w:hanging="440"/>
        <w:contextualSpacing w:val="0"/>
        <w:rPr>
          <w:i w:val="1"/>
          <w:color w:val="222222"/>
          <w:sz w:val="18"/>
          <w:szCs w:val="18"/>
          <w:highlight w:val="white"/>
        </w:rPr>
      </w:pPr>
      <w:r w:rsidDel="00000000" w:rsidR="00000000" w:rsidRPr="00000000">
        <w:rPr>
          <w:i w:val="1"/>
          <w:color w:val="222222"/>
          <w:sz w:val="18"/>
          <w:szCs w:val="18"/>
          <w:highlight w:val="white"/>
          <w:rtl w:val="0"/>
        </w:rPr>
        <w:t xml:space="preserve">Oxford Dictionaries | English. (2018). English Dictionary, Thesaurus, &amp; grammar help | Oxford Dictionaries. [online] Available at: https://en.oxforddictionaries.com/ [Accessed 19 Jan. 2018].</w:t>
      </w:r>
    </w:p>
    <w:p w:rsidR="00000000" w:rsidDel="00000000" w:rsidP="00000000" w:rsidRDefault="00000000" w:rsidRPr="00000000">
      <w:pPr>
        <w:spacing w:after="180" w:lineRule="auto"/>
        <w:ind w:left="900" w:hanging="440"/>
        <w:contextualSpacing w:val="0"/>
        <w:rPr>
          <w:i w:val="1"/>
          <w:color w:val="222222"/>
          <w:sz w:val="18"/>
          <w:szCs w:val="18"/>
          <w:highlight w:val="white"/>
        </w:rPr>
      </w:pPr>
      <w:r w:rsidDel="00000000" w:rsidR="00000000" w:rsidRPr="00000000">
        <w:rPr>
          <w:i w:val="1"/>
          <w:color w:val="222222"/>
          <w:sz w:val="18"/>
          <w:szCs w:val="18"/>
          <w:highlight w:val="white"/>
          <w:rtl w:val="0"/>
        </w:rPr>
        <w:t xml:space="preserve">Loeb Classical Library. (2018). Euripides, Cyclops. Alcestis. Medea | Loeb Classical Library. [online] Available at: https://www.loebclassics.com/view/LCL012/1994/volume.xml [Accessed 19 Jan. 2018].</w:t>
      </w:r>
    </w:p>
    <w:p w:rsidR="00000000" w:rsidDel="00000000" w:rsidP="00000000" w:rsidRDefault="00000000" w:rsidRPr="00000000">
      <w:pPr>
        <w:contextualSpacing w:val="0"/>
        <w:rPr>
          <w:color w:val="222222"/>
        </w:rPr>
      </w:pPr>
      <w:r w:rsidDel="00000000" w:rsidR="00000000" w:rsidRPr="00000000">
        <w:rPr>
          <w:rtl w:val="0"/>
        </w:rPr>
      </w:r>
    </w:p>
    <w:sectPr>
      <w:pgSz w:h="15840" w:w="12240"/>
      <w:pgMar w:bottom="1440" w:top="1440" w:left="1440" w:right="1440" w:header="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font w:name="Arial"/>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footnote w:id="0">
    <w:p w:rsidR="00000000" w:rsidDel="00000000" w:rsidP="00000000" w:rsidRDefault="00000000" w:rsidRPr="00000000">
      <w:pPr>
        <w:spacing w:line="240" w:lineRule="auto"/>
        <w:contextualSpacing w:val="0"/>
        <w:rPr>
          <w:i w:val="1"/>
          <w:sz w:val="20"/>
          <w:szCs w:val="20"/>
        </w:rPr>
      </w:pPr>
      <w:r w:rsidDel="00000000" w:rsidR="00000000" w:rsidRPr="00000000">
        <w:rPr>
          <w:rStyle w:val="FootnoteReference"/>
          <w:vertAlign w:val="superscript"/>
        </w:rPr>
        <w:footnoteRef/>
      </w:r>
      <w:r w:rsidDel="00000000" w:rsidR="00000000" w:rsidRPr="00000000">
        <w:rPr>
          <w:i w:val="1"/>
          <w:sz w:val="20"/>
          <w:szCs w:val="20"/>
          <w:rtl w:val="0"/>
        </w:rPr>
        <w:t xml:space="preserve"> Toohey.365</w:t>
      </w:r>
    </w:p>
  </w:footnote>
  <w:footnote w:id="1">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https://en.oxforddictionaries.com/definition/ghost</w:t>
      </w:r>
    </w:p>
  </w:footnote>
  <w:footnote w:id="2">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https://en.oxforddictionaries.com/definition/revenant</w:t>
      </w:r>
    </w:p>
  </w:footnote>
  <w:footnote w:id="3">
    <w:p w:rsidR="00000000" w:rsidDel="00000000" w:rsidP="00000000" w:rsidRDefault="00000000" w:rsidRPr="00000000">
      <w:pPr>
        <w:spacing w:line="240" w:lineRule="auto"/>
        <w:contextualSpacing w:val="0"/>
        <w:rPr>
          <w:i w:val="1"/>
          <w:sz w:val="20"/>
          <w:szCs w:val="20"/>
        </w:rPr>
      </w:pPr>
      <w:r w:rsidDel="00000000" w:rsidR="00000000" w:rsidRPr="00000000">
        <w:rPr>
          <w:rStyle w:val="FootnoteReference"/>
          <w:vertAlign w:val="superscript"/>
        </w:rPr>
        <w:footnoteRef/>
      </w:r>
      <w:r w:rsidDel="00000000" w:rsidR="00000000" w:rsidRPr="00000000">
        <w:rPr>
          <w:i w:val="1"/>
          <w:sz w:val="20"/>
          <w:szCs w:val="20"/>
          <w:rtl w:val="0"/>
        </w:rPr>
        <w:t xml:space="preserve"> Philostratus. Tyana. 2.5, 8.29.</w:t>
      </w:r>
    </w:p>
  </w:footnote>
  <w:footnote w:id="4">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https://query.nytimes.com/mem/archive-free/pdf?res=9E05E5DF1330E533A2575AC1A9679C94679FD7CF</w:t>
      </w:r>
    </w:p>
  </w:footnote>
  <w:footnote w:id="6">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http://www.telegraph.co.uk/news/worldnews/europe/bulgaria/11153923/Vampire-grave-found-in-Bulgaria.html</w:t>
      </w:r>
    </w:p>
  </w:footnote>
  <w:footnote w:id="7">
    <w:p w:rsidR="00000000" w:rsidDel="00000000" w:rsidP="00000000" w:rsidRDefault="00000000" w:rsidRPr="00000000">
      <w:pPr>
        <w:spacing w:line="240" w:lineRule="auto"/>
        <w:contextualSpacing w:val="0"/>
        <w:rPr>
          <w:i w:val="1"/>
          <w:sz w:val="20"/>
          <w:szCs w:val="20"/>
        </w:rPr>
      </w:pPr>
      <w:r w:rsidDel="00000000" w:rsidR="00000000" w:rsidRPr="00000000">
        <w:rPr>
          <w:rStyle w:val="FootnoteReference"/>
          <w:vertAlign w:val="superscript"/>
        </w:rPr>
        <w:footnoteRef/>
      </w:r>
      <w:r w:rsidDel="00000000" w:rsidR="00000000" w:rsidRPr="00000000">
        <w:rPr>
          <w:i w:val="1"/>
          <w:sz w:val="20"/>
          <w:szCs w:val="20"/>
          <w:rtl w:val="0"/>
        </w:rPr>
        <w:t xml:space="preserve"> E.Murphy</w:t>
      </w:r>
    </w:p>
  </w:footnote>
  <w:footnote w:id="8">
    <w:p w:rsidR="00000000" w:rsidDel="00000000" w:rsidP="00000000" w:rsidRDefault="00000000" w:rsidRPr="00000000">
      <w:pPr>
        <w:spacing w:line="240" w:lineRule="auto"/>
        <w:contextualSpacing w:val="0"/>
        <w:rPr>
          <w:i w:val="1"/>
          <w:sz w:val="20"/>
          <w:szCs w:val="20"/>
        </w:rPr>
      </w:pPr>
      <w:r w:rsidDel="00000000" w:rsidR="00000000" w:rsidRPr="00000000">
        <w:rPr>
          <w:rStyle w:val="FootnoteReference"/>
          <w:vertAlign w:val="superscript"/>
        </w:rPr>
        <w:footnoteRef/>
      </w:r>
      <w:r w:rsidDel="00000000" w:rsidR="00000000" w:rsidRPr="00000000">
        <w:rPr>
          <w:i w:val="1"/>
          <w:sz w:val="20"/>
          <w:szCs w:val="20"/>
          <w:rtl w:val="0"/>
        </w:rPr>
        <w:t xml:space="preserve"> E.Murphy</w:t>
      </w:r>
    </w:p>
  </w:footnote>
  <w:footnote w:id="9">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Titled ‘</w:t>
      </w:r>
      <w:r w:rsidDel="00000000" w:rsidR="00000000" w:rsidRPr="00000000">
        <w:rPr>
          <w:sz w:val="20"/>
          <w:szCs w:val="20"/>
          <w:rtl w:val="0"/>
        </w:rPr>
        <w:t xml:space="preserve">England under the Norman and Angevin Kings’</w:t>
      </w:r>
    </w:p>
  </w:footnote>
  <w:footnote w:id="10">
    <w:p w:rsidR="00000000" w:rsidDel="00000000" w:rsidP="00000000" w:rsidRDefault="00000000" w:rsidRPr="00000000">
      <w:pPr>
        <w:spacing w:line="240" w:lineRule="auto"/>
        <w:contextualSpacing w:val="0"/>
        <w:rPr>
          <w:i w:val="1"/>
          <w:sz w:val="20"/>
          <w:szCs w:val="20"/>
        </w:rPr>
      </w:pPr>
      <w:r w:rsidDel="00000000" w:rsidR="00000000" w:rsidRPr="00000000">
        <w:rPr>
          <w:rStyle w:val="FootnoteReference"/>
          <w:vertAlign w:val="superscript"/>
        </w:rPr>
        <w:footnoteRef/>
      </w:r>
      <w:r w:rsidDel="00000000" w:rsidR="00000000" w:rsidRPr="00000000">
        <w:rPr>
          <w:i w:val="1"/>
          <w:sz w:val="20"/>
          <w:szCs w:val="20"/>
          <w:rtl w:val="0"/>
        </w:rPr>
        <w:t xml:space="preserve"> Bartlet.613</w:t>
      </w:r>
    </w:p>
  </w:footnote>
  <w:footnote w:id="5">
    <w:p w:rsidR="00000000" w:rsidDel="00000000" w:rsidP="00000000" w:rsidRDefault="00000000" w:rsidRPr="00000000">
      <w:pPr>
        <w:spacing w:line="240" w:lineRule="auto"/>
        <w:contextualSpacing w:val="0"/>
        <w:rPr>
          <w:i w:val="1"/>
          <w:sz w:val="20"/>
          <w:szCs w:val="20"/>
        </w:rPr>
      </w:pPr>
      <w:r w:rsidDel="00000000" w:rsidR="00000000" w:rsidRPr="00000000">
        <w:rPr>
          <w:rStyle w:val="FootnoteReference"/>
          <w:vertAlign w:val="superscript"/>
        </w:rPr>
        <w:footnoteRef/>
      </w:r>
      <w:r w:rsidDel="00000000" w:rsidR="00000000" w:rsidRPr="00000000">
        <w:rPr>
          <w:i w:val="1"/>
          <w:sz w:val="20"/>
          <w:szCs w:val="20"/>
          <w:rtl w:val="0"/>
        </w:rPr>
        <w:t xml:space="preserve"> Pliny. 7.52</w:t>
      </w:r>
    </w:p>
  </w:footnote>
  <w:footnote w:id="11">
    <w:p w:rsidR="00000000" w:rsidDel="00000000" w:rsidP="00000000" w:rsidRDefault="00000000" w:rsidRPr="00000000">
      <w:pPr>
        <w:spacing w:line="240" w:lineRule="auto"/>
        <w:contextualSpacing w:val="0"/>
        <w:rPr>
          <w:i w:val="1"/>
          <w:sz w:val="20"/>
          <w:szCs w:val="20"/>
        </w:rPr>
      </w:pPr>
      <w:r w:rsidDel="00000000" w:rsidR="00000000" w:rsidRPr="00000000">
        <w:rPr>
          <w:rStyle w:val="FootnoteReference"/>
          <w:vertAlign w:val="superscript"/>
        </w:rPr>
        <w:footnoteRef/>
      </w:r>
      <w:r w:rsidDel="00000000" w:rsidR="00000000" w:rsidRPr="00000000">
        <w:rPr>
          <w:i w:val="1"/>
          <w:sz w:val="20"/>
          <w:szCs w:val="20"/>
          <w:rtl w:val="0"/>
        </w:rPr>
        <w:t xml:space="preserve"> Map.2.27</w:t>
      </w:r>
    </w:p>
  </w:footnote>
  <w:footnote w:id="12">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https://i.pinimg.com/736x/36/9c/70/369c70758dc1506af95b12e369eb201c--death-art-black-death.jpg</w:t>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docDefaults>
    <w:rPrDefault>
      <w:rPr>
        <w:rFonts w:ascii="Arial" w:cs="Arial" w:eastAsia="Arial" w:hAnsi="Arial"/>
        <w:b w:val="0"/>
        <w:i w:val="0"/>
        <w:smallCaps w:val="0"/>
        <w:strike w:val="0"/>
        <w:color w:val="000000"/>
        <w:sz w:val="22"/>
        <w:szCs w:val="22"/>
        <w:u w:val="none"/>
        <w:shd w:fill="auto" w:val="clear"/>
        <w:vertAlign w:val="baseline"/>
        <w:lang w:val="en"/>
      </w:rPr>
    </w:rPrDefault>
    <w:pPrDefault>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