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b w:val="1"/>
          <w:i w:val="0"/>
          <w:smallCaps w:val="0"/>
          <w:strike w:val="0"/>
          <w:color w:val="000000"/>
          <w:sz w:val="22"/>
          <w:szCs w:val="22"/>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single"/>
          <w:shd w:fill="auto" w:val="clear"/>
          <w:vertAlign w:val="baseline"/>
          <w:rtl w:val="0"/>
        </w:rPr>
        <w:t xml:space="preserve">Essay One</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b w:val="1"/>
          <w:i w:val="0"/>
          <w:smallCaps w:val="0"/>
          <w:strike w:val="0"/>
          <w:color w:val="000000"/>
          <w:sz w:val="22"/>
          <w:szCs w:val="22"/>
          <w:u w:val="singl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How has past instances of police malpractice and misconduct influenced modern professional policing?</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In this essay I am going to talk about previous instances of Police malpractice and misconduct</w:t>
      </w:r>
      <w:r w:rsidDel="00000000" w:rsidR="00000000" w:rsidRPr="00000000">
        <w:rPr>
          <w:rFonts w:ascii="Times New Roman" w:cs="Times New Roman" w:eastAsia="Times New Roman" w:hAnsi="Times New Roman"/>
          <w:rtl w:val="0"/>
        </w:rPr>
        <w:t xml:space="preserve">. I will analyse the incidents, reflecting</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how they have </w:t>
      </w:r>
      <w:r w:rsidDel="00000000" w:rsidR="00000000" w:rsidRPr="00000000">
        <w:rPr>
          <w:rFonts w:ascii="Times New Roman" w:cs="Times New Roman" w:eastAsia="Times New Roman" w:hAnsi="Times New Roman"/>
          <w:rtl w:val="0"/>
        </w:rPr>
        <w:t xml:space="preserve">influenced</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change within the Police Service</w:t>
      </w:r>
      <w:r w:rsidDel="00000000" w:rsidR="00000000" w:rsidRPr="00000000">
        <w:rPr>
          <w:rFonts w:ascii="Times New Roman" w:cs="Times New Roman" w:eastAsia="Times New Roman" w:hAnsi="Times New Roman"/>
          <w:rtl w:val="0"/>
        </w:rPr>
        <w:t xml:space="preserve">. I will identify links between events and changes to procedures and practice moving to modern policing which is characterised as ‘ethical policing’ (Prenzler and Ransley, 2002). Malpractice is defined as the act of not following professional standards, this may be through ignorance, incompetence or intentional wrongdoing</w:t>
      </w:r>
      <w:r w:rsidDel="00000000" w:rsidR="00000000" w:rsidRPr="00000000">
        <w:rPr>
          <w:rFonts w:ascii="Times New Roman" w:cs="Times New Roman" w:eastAsia="Times New Roman" w:hAnsi="Times New Roman"/>
          <w:rtl w:val="0"/>
        </w:rPr>
        <w:t xml:space="preserve"> (dictionary.cambridge.org, 2023)</w:t>
      </w:r>
      <w:r w:rsidDel="00000000" w:rsidR="00000000" w:rsidRPr="00000000">
        <w:rPr>
          <w:rFonts w:ascii="Times New Roman" w:cs="Times New Roman" w:eastAsia="Times New Roman" w:hAnsi="Times New Roman"/>
          <w:rtl w:val="0"/>
        </w:rPr>
        <w:t xml:space="preserve">. Whereas, misconduct is for a police officer (public official) t</w:t>
      </w:r>
      <w:r w:rsidDel="00000000" w:rsidR="00000000" w:rsidRPr="00000000">
        <w:rPr>
          <w:rFonts w:ascii="Times New Roman" w:cs="Times New Roman" w:eastAsia="Times New Roman" w:hAnsi="Times New Roman"/>
          <w:highlight w:val="white"/>
          <w:rtl w:val="0"/>
        </w:rPr>
        <w:t xml:space="preserve">o act unlawfully by not acting in the interest of the public in which they serve  (The Police Complaints and Misconduct Regulations 2020). Misconduct tends to be referenced in most reporting or instances and legislation, however in the case of police officers when misconduct it can be implied malpractice has taken place. Instances of systematic misconduct in the police have resulted in reactive legislative change to refine policing procedures to actively police without discrimination.  </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Firstly,</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I will talk about the Brixton Riots (1981) which came about when the Metropolitan Police conducted a stop and search operation in Brixton. During this time, Metropolitan Police racially profiled the people they were stopping to search and by doing so angered a large proportion of the community (Scarman, 1981). This led to the Brixton Riots and in turn the resulting report called the Scarman Report (Scarman, 1981). The report discussed the failure to combat inner city decay and ethnic minorities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 Scarman report found Metropolitan Police</w:t>
      </w:r>
      <w:r w:rsidDel="00000000" w:rsidR="00000000" w:rsidRPr="00000000">
        <w:rPr>
          <w:rFonts w:ascii="Times New Roman" w:cs="Times New Roman" w:eastAsia="Times New Roman" w:hAnsi="Times New Roman"/>
          <w:rtl w:val="0"/>
        </w:rPr>
        <w:t xml:space="preserve"> acted with</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rtl w:val="0"/>
        </w:rPr>
        <w:t xml:space="preserve">r</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aci</w:t>
      </w:r>
      <w:r w:rsidDel="00000000" w:rsidR="00000000" w:rsidRPr="00000000">
        <w:rPr>
          <w:rFonts w:ascii="Times New Roman" w:cs="Times New Roman" w:eastAsia="Times New Roman" w:hAnsi="Times New Roman"/>
          <w:rtl w:val="0"/>
        </w:rPr>
        <w:t xml:space="preserve">al prejudice, </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profil</w:t>
      </w:r>
      <w:r w:rsidDel="00000000" w:rsidR="00000000" w:rsidRPr="00000000">
        <w:rPr>
          <w:rFonts w:ascii="Times New Roman" w:cs="Times New Roman" w:eastAsia="Times New Roman" w:hAnsi="Times New Roman"/>
          <w:rtl w:val="0"/>
        </w:rPr>
        <w:t xml:space="preserve">ing</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the stop searches instead of having reasonable lawful grounds (1981). It</w:t>
      </w:r>
      <w:r w:rsidDel="00000000" w:rsidR="00000000" w:rsidRPr="00000000">
        <w:rPr>
          <w:rFonts w:ascii="Times New Roman" w:cs="Times New Roman" w:eastAsia="Times New Roman" w:hAnsi="Times New Roman"/>
          <w:rtl w:val="0"/>
        </w:rPr>
        <w:t xml:space="preserve"> was determined the police were not responsible for the racial disadvantage faced by ethnic minorities but were critical in the cause of the Brixton riots. The riots were an eruption from the adolescent black community showing their discontent and resentment against the police (Scarman, 1981). The actions by the police were</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rtl w:val="0"/>
        </w:rPr>
        <w:t xml:space="preserve">suggested to be an offence requiring Police discipline, therefore the actions should be considered malpractice and thus misconduct (Neal, 2003). Police and Criminal Evidence Act 1984 was introduced to ensure accountability is possible for anyone that fails to adhere to the legal framework and guidelines (Wood et al., 2022).  This ensures the fair treatment of both offenders, victims, witnesses while investigations are ongoing (Ozin et al., 2019). Section 1 of PACE (1984) defines proper procedures for stop and searches which was a trigger in the civil unrest accumulating in the Brixton riots. The ambition of the Act (PACE, 1984) was to prevent and identify police malpractice underpinned by racial prejudice (Ozin et al., 2019).</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 </w:t>
      </w:r>
      <w:r w:rsidDel="00000000" w:rsidR="00000000" w:rsidRPr="00000000">
        <w:rPr>
          <w:rFonts w:ascii="Times New Roman" w:cs="Times New Roman" w:eastAsia="Times New Roman" w:hAnsi="Times New Roman"/>
          <w:rtl w:val="0"/>
        </w:rPr>
        <w:t xml:space="preserve">s</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econd instance I </w:t>
      </w:r>
      <w:r w:rsidDel="00000000" w:rsidR="00000000" w:rsidRPr="00000000">
        <w:rPr>
          <w:rFonts w:ascii="Times New Roman" w:cs="Times New Roman" w:eastAsia="Times New Roman" w:hAnsi="Times New Roman"/>
          <w:rtl w:val="0"/>
        </w:rPr>
        <w:t xml:space="preserve">will</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rtl w:val="0"/>
        </w:rPr>
        <w:t xml:space="preserve">analyse</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is </w:t>
      </w:r>
      <w:r w:rsidDel="00000000" w:rsidR="00000000" w:rsidRPr="00000000">
        <w:rPr>
          <w:rFonts w:ascii="Times New Roman" w:cs="Times New Roman" w:eastAsia="Times New Roman" w:hAnsi="Times New Roman"/>
          <w:rtl w:val="0"/>
        </w:rPr>
        <w:t xml:space="preserve">a case known as the </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‘Cardiff Three’ which involves the murder of Lynette White, 1988. Lynette White, a local prostitute in the Cardiff Docks area who was </w:t>
      </w:r>
      <w:r w:rsidDel="00000000" w:rsidR="00000000" w:rsidRPr="00000000">
        <w:rPr>
          <w:rFonts w:ascii="Times New Roman" w:cs="Times New Roman" w:eastAsia="Times New Roman" w:hAnsi="Times New Roman"/>
          <w:rtl w:val="0"/>
        </w:rPr>
        <w:t xml:space="preserve">murdered</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Five </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mixed race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males were arrested and put on trial for murder despite </w:t>
      </w:r>
      <w:r w:rsidDel="00000000" w:rsidR="00000000" w:rsidRPr="00000000">
        <w:rPr>
          <w:rFonts w:ascii="Times New Roman" w:cs="Times New Roman" w:eastAsia="Times New Roman" w:hAnsi="Times New Roman"/>
          <w:rtl w:val="0"/>
        </w:rPr>
        <w:t xml:space="preserve">a witness seeing a white male in the vicinity wearing blood stained clothing</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During this time two were found not guilty and the three remaining were sentenced to life imprisonment during the tr</w:t>
      </w:r>
      <w:r w:rsidDel="00000000" w:rsidR="00000000" w:rsidRPr="00000000">
        <w:rPr>
          <w:rFonts w:ascii="Times New Roman" w:cs="Times New Roman" w:eastAsia="Times New Roman" w:hAnsi="Times New Roman"/>
          <w:rtl w:val="0"/>
        </w:rPr>
        <w:t xml:space="preserve">ial, 1990</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Two years later, the court of appeal found in favour of the three males and quashed the convictions. During the findings police interviewing techniques were </w:t>
      </w:r>
      <w:r w:rsidDel="00000000" w:rsidR="00000000" w:rsidRPr="00000000">
        <w:rPr>
          <w:rFonts w:ascii="Times New Roman" w:cs="Times New Roman" w:eastAsia="Times New Roman" w:hAnsi="Times New Roman"/>
          <w:rtl w:val="0"/>
        </w:rPr>
        <w:t xml:space="preserve">criticised</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This led to further </w:t>
      </w:r>
      <w:r w:rsidDel="00000000" w:rsidR="00000000" w:rsidRPr="00000000">
        <w:rPr>
          <w:rFonts w:ascii="Times New Roman" w:cs="Times New Roman" w:eastAsia="Times New Roman" w:hAnsi="Times New Roman"/>
          <w:rtl w:val="0"/>
        </w:rPr>
        <w:t xml:space="preserve">trials in a civil</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case against the police officers involved and South Wales Police. In February 2003, a male was arrested and </w:t>
      </w:r>
      <w:r w:rsidDel="00000000" w:rsidR="00000000" w:rsidRPr="00000000">
        <w:rPr>
          <w:rFonts w:ascii="Times New Roman" w:cs="Times New Roman" w:eastAsia="Times New Roman" w:hAnsi="Times New Roman"/>
          <w:rtl w:val="0"/>
        </w:rPr>
        <w:t xml:space="preserve">pleaded</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guilty to the offence of Murder.</w:t>
      </w:r>
      <w:r w:rsidDel="00000000" w:rsidR="00000000" w:rsidRPr="00000000">
        <w:rPr>
          <w:rFonts w:ascii="Times New Roman" w:cs="Times New Roman" w:eastAsia="Times New Roman" w:hAnsi="Times New Roman"/>
          <w:rtl w:val="0"/>
        </w:rPr>
        <w:t xml:space="preserve"> The ‘Cardiff Three’ instance contributed to the establishment</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of the Independent Office Police Conduc</w:t>
      </w:r>
      <w:r w:rsidDel="00000000" w:rsidR="00000000" w:rsidRPr="00000000">
        <w:rPr>
          <w:rFonts w:ascii="Times New Roman" w:cs="Times New Roman" w:eastAsia="Times New Roman" w:hAnsi="Times New Roman"/>
          <w:rtl w:val="0"/>
        </w:rPr>
        <w:t xml:space="preserve">t, </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2013. </w:t>
      </w:r>
      <w:r w:rsidDel="00000000" w:rsidR="00000000" w:rsidRPr="00000000">
        <w:rPr>
          <w:rFonts w:ascii="Times New Roman" w:cs="Times New Roman" w:eastAsia="Times New Roman" w:hAnsi="Times New Roman"/>
          <w:rtl w:val="0"/>
        </w:rPr>
        <w:t xml:space="preserve">One significant modernisation identified is the way in which interviewing of suspects has to take place. This police misconduct</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under a previous name and has slowly worked to restore public confidence by investigating Malpractice and Misconduct within the Police Service. The IOPC share their findings with the public and the police to ensure change and learning can be taken from every instance they investigate (Wood et al., 2022).</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final instance I am going to discuss is Stephen Lawence murder and subsequent Macpherson report (1999). Stephen Lawence was the victim of racial slurs before being attacked, dying from his injuries in hospital - the fourth racially motivated murder of a young black man in two years. The Macpherson report highlighted major errors accumulated through malpractice and misconduct at all levels with institutional racism apparent (MACPHERSON, 1999). The report recommended the focus to be building trust with ethnic minorities, with explicit training on racism linking racial action when policing to be misconduct (MACPHERSON, 1999). Macpherson also recommended the review of conduct regulations in light of the report. </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a result of these instances, regulating bodies were set up to investigate the effectiveness and efficiency of the Police, in the public interest. </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There is a further body that </w:t>
      </w:r>
      <w:r w:rsidDel="00000000" w:rsidR="00000000" w:rsidRPr="00000000">
        <w:rPr>
          <w:rFonts w:ascii="Times New Roman" w:cs="Times New Roman" w:eastAsia="Times New Roman" w:hAnsi="Times New Roman"/>
          <w:rtl w:val="0"/>
        </w:rPr>
        <w:t xml:space="preserve">investigates</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misconduct and malpractice which is His Majesty’s Inspectorate of Constabulary, Fire and Rescue Service set up </w:t>
      </w:r>
      <w:r w:rsidDel="00000000" w:rsidR="00000000" w:rsidRPr="00000000">
        <w:rPr>
          <w:rFonts w:ascii="Times New Roman" w:cs="Times New Roman" w:eastAsia="Times New Roman" w:hAnsi="Times New Roman"/>
          <w:rtl w:val="0"/>
        </w:rPr>
        <w:t xml:space="preserve">in July 2017</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Within the Police Service there is also the Professional Standards Department </w:t>
      </w:r>
      <w:r w:rsidDel="00000000" w:rsidR="00000000" w:rsidRPr="00000000">
        <w:rPr>
          <w:rFonts w:ascii="Times New Roman" w:cs="Times New Roman" w:eastAsia="Times New Roman" w:hAnsi="Times New Roman"/>
          <w:rtl w:val="0"/>
        </w:rPr>
        <w:t xml:space="preserve">which initially</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complaints against the police and complaints from officers against other officers which they can then refer to the IOPC for review if deemed necessary (2021). </w:t>
      </w:r>
      <w:r w:rsidDel="00000000" w:rsidR="00000000" w:rsidRPr="00000000">
        <w:rPr>
          <w:rFonts w:ascii="Times New Roman" w:cs="Times New Roman" w:eastAsia="Times New Roman" w:hAnsi="Times New Roman"/>
          <w:rtl w:val="0"/>
        </w:rPr>
        <w:t xml:space="preserve">T</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hese departments and independent bodies in place allow the Police Service to operate in a transparent way to allow public trust to be regained and for the public to see the Police Service is impartial and transparent. Further to this Policing has had to change and evolve and learn lessons from its failings. By doing this the public can be ensured that the Police Service is a modern, professional organisation. They </w:t>
      </w:r>
      <w:r w:rsidDel="00000000" w:rsidR="00000000" w:rsidRPr="00000000">
        <w:rPr>
          <w:rFonts w:ascii="Times New Roman" w:cs="Times New Roman" w:eastAsia="Times New Roman" w:hAnsi="Times New Roman"/>
          <w:rtl w:val="0"/>
        </w:rPr>
        <w:t xml:space="preserve">investigate and</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enforce</w:t>
      </w:r>
      <w:r w:rsidDel="00000000" w:rsidR="00000000" w:rsidRPr="00000000">
        <w:rPr>
          <w:rFonts w:ascii="Times New Roman" w:cs="Times New Roman" w:eastAsia="Times New Roman" w:hAnsi="Times New Roman"/>
          <w:rtl w:val="0"/>
        </w:rPr>
        <w:t xml:space="preserve"> whether</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rtl w:val="0"/>
        </w:rPr>
        <w:t xml:space="preserve">Acts such as PACE are being adhered to as intended (1984). ‘Modern policing’ is an evolutionary concept where the police are using internal and independent advice to inform and reflect on conduct. An example of this is the </w:t>
      </w:r>
      <w:r w:rsidDel="00000000" w:rsidR="00000000" w:rsidRPr="00000000">
        <w:rPr>
          <w:rFonts w:ascii="Times New Roman" w:cs="Times New Roman" w:eastAsia="Times New Roman" w:hAnsi="Times New Roman"/>
          <w:rtl w:val="0"/>
        </w:rPr>
        <w:t xml:space="preserve">Police conduct regulations (2020) which replaces the 2012 to come into line with Policing and crimes Act 2017, Police Reform Act 2002. </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These instances have led to legislation reform allowing the police to securely define the procedures in which they should follow (Wood et al., 2022). Although they are not at fault for racial disadvantage, it has been determined they should carry out their role with no prejudice using procedural and evidentiary justification for action or non action (Ozin et al., 2019). </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b w:val="1"/>
          <w:i w:val="0"/>
          <w:smallCaps w:val="0"/>
          <w:strike w:val="0"/>
          <w:color w:val="000000"/>
          <w:sz w:val="22"/>
          <w:szCs w:val="22"/>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single"/>
          <w:shd w:fill="auto" w:val="clear"/>
          <w:vertAlign w:val="baseline"/>
          <w:rtl w:val="0"/>
        </w:rPr>
        <w:t xml:space="preserve">Essay Two</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How does media coverage affect policing strategies in relation to public protection incidents?</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Your answer must be based on academic research, but you may refer to relevant case studies.</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rtl w:val="0"/>
        </w:rPr>
        <w:t xml:space="preserve">The primary role of the police is to protect the public whilst and through conducting law enforcement. A p</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ublic protection incident is a high level, sensitive area of work </w:t>
      </w:r>
      <w:r w:rsidDel="00000000" w:rsidR="00000000" w:rsidRPr="00000000">
        <w:rPr>
          <w:rFonts w:ascii="Times New Roman" w:cs="Times New Roman" w:eastAsia="Times New Roman" w:hAnsi="Times New Roman"/>
          <w:rtl w:val="0"/>
        </w:rPr>
        <w:t xml:space="preserve">with three categories covering a variety of high level crimes and criminals (Wood et al., 2022).  The protection provided is for the vulnerable members of society (e.g. children and victims) in the first instance but may extend to the general public. Communication to the media needs to be managed carefully (Wood et al., 2022). I am going to discuss instances where media coverage has influenced or impacted policing strategies as well as media being used as a policing strategy to harness the public as a resource whilst informing them. Media coverage provides a layer of accountability ensuring policing is transparent and shows integrity whilst carrying out ‘policing by consent’ as established by Robert Peel (Brown, 2014).</w:t>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There have been several incidents </w:t>
      </w:r>
      <w:r w:rsidDel="00000000" w:rsidR="00000000" w:rsidRPr="00000000">
        <w:rPr>
          <w:rFonts w:ascii="Times New Roman" w:cs="Times New Roman" w:eastAsia="Times New Roman" w:hAnsi="Times New Roman"/>
          <w:rtl w:val="0"/>
        </w:rPr>
        <w:t xml:space="preserve">where media coverage has affected policing strategies when pursuing a public protection incident. One</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of which involves a police officer pertaining to the sphere of public protection incidents. The first is Wayne Couzens who has been sentenced to life in prison for the kidnap rape, and murder of Sarah Everard. One of the most disturbing factors relating to this crime was the fact that Couzens used his role as a Police Officer to lure his victim into his vehicle. The </w:t>
      </w:r>
      <w:r w:rsidDel="00000000" w:rsidR="00000000" w:rsidRPr="00000000">
        <w:rPr>
          <w:rFonts w:ascii="Times New Roman" w:cs="Times New Roman" w:eastAsia="Times New Roman" w:hAnsi="Times New Roman"/>
          <w:rtl w:val="0"/>
        </w:rPr>
        <w:t xml:space="preserve">body of Everard was found after</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intense media coverage and </w:t>
      </w:r>
      <w:r w:rsidDel="00000000" w:rsidR="00000000" w:rsidRPr="00000000">
        <w:rPr>
          <w:rFonts w:ascii="Times New Roman" w:cs="Times New Roman" w:eastAsia="Times New Roman" w:hAnsi="Times New Roman"/>
          <w:rtl w:val="0"/>
        </w:rPr>
        <w:t xml:space="preserve">publication</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of this investigation leading to the arrest of Couzens</w:t>
      </w:r>
      <w:r w:rsidDel="00000000" w:rsidR="00000000" w:rsidRPr="00000000">
        <w:rPr>
          <w:rFonts w:ascii="Times New Roman" w:cs="Times New Roman" w:eastAsia="Times New Roman" w:hAnsi="Times New Roman"/>
          <w:rtl w:val="0"/>
        </w:rPr>
        <w:t xml:space="preserve"> (Ranee, 2021)</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rtl w:val="0"/>
        </w:rPr>
        <w:t xml:space="preserve">T</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he public outcry that followed </w:t>
      </w:r>
      <w:r w:rsidDel="00000000" w:rsidR="00000000" w:rsidRPr="00000000">
        <w:rPr>
          <w:rFonts w:ascii="Times New Roman" w:cs="Times New Roman" w:eastAsia="Times New Roman" w:hAnsi="Times New Roman"/>
          <w:rtl w:val="0"/>
        </w:rPr>
        <w:t xml:space="preserve">led</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to media scrutiny of the Metropolitan Police which prompted a review of Police vetting standards and an investigation into the Metropolitan Police </w:t>
      </w:r>
      <w:r w:rsidDel="00000000" w:rsidR="00000000" w:rsidRPr="00000000">
        <w:rPr>
          <w:rFonts w:ascii="Times New Roman" w:cs="Times New Roman" w:eastAsia="Times New Roman" w:hAnsi="Times New Roman"/>
          <w:rtl w:val="0"/>
        </w:rPr>
        <w:t xml:space="preserve"> (Baroness Casey, 2023)</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The intense media coverage led to intense scrutiny on the police during the investigation and the development in approaches used to investigate such crimes. </w:t>
      </w:r>
      <w:r w:rsidDel="00000000" w:rsidR="00000000" w:rsidRPr="00000000">
        <w:rPr>
          <w:rFonts w:ascii="Times New Roman" w:cs="Times New Roman" w:eastAsia="Times New Roman" w:hAnsi="Times New Roman"/>
          <w:rtl w:val="0"/>
        </w:rPr>
        <w:t xml:space="preserve">Baroness Casey has reviewed the force’s culture and standards after the abduction, rape, and murder of Sarah Everard by serving Police Officer Wayne Couzens. During this investigation another officer by the name of David Carrick was convicted of a series of rapes, sexual offences, and torture of women (2023). The recent report has outlined the </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Metropolitan Police Service to have widespread corruption, misogyny, sexism, racism, and bullying. Th</w:t>
      </w:r>
      <w:r w:rsidDel="00000000" w:rsidR="00000000" w:rsidRPr="00000000">
        <w:rPr>
          <w:rFonts w:ascii="Times New Roman" w:cs="Times New Roman" w:eastAsia="Times New Roman" w:hAnsi="Times New Roman"/>
          <w:rtl w:val="0"/>
        </w:rPr>
        <w:t xml:space="preserve">e pressing levels of public concern echoed by the media of a sequence of failing by the police fuelled the investigation and subsequent report (Baroness Casey, 2023). The findings reflected</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vetting standards have been falling short of the </w:t>
      </w:r>
      <w:r w:rsidDel="00000000" w:rsidR="00000000" w:rsidRPr="00000000">
        <w:rPr>
          <w:rFonts w:ascii="Times New Roman" w:cs="Times New Roman" w:eastAsia="Times New Roman" w:hAnsi="Times New Roman"/>
          <w:rtl w:val="0"/>
        </w:rPr>
        <w:t xml:space="preserve">requirements outlined by the police</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Without media influence, it c</w:t>
      </w:r>
      <w:r w:rsidDel="00000000" w:rsidR="00000000" w:rsidRPr="00000000">
        <w:rPr>
          <w:rFonts w:ascii="Times New Roman" w:cs="Times New Roman" w:eastAsia="Times New Roman" w:hAnsi="Times New Roman"/>
          <w:rtl w:val="0"/>
        </w:rPr>
        <w:t xml:space="preserve">ould be argued that the review may have not come about highlighting the fundamental issues within the Metropolitan Police. Media can provide a voice for the public allowing them to follow through the ‘police by consent’ following the Peelian principles (Brown, 2014). </w:t>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rtl w:val="0"/>
        </w:rPr>
        <w:t xml:space="preserve">Conversely the use of the media can be utilised to p</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romot</w:t>
      </w:r>
      <w:r w:rsidDel="00000000" w:rsidR="00000000" w:rsidRPr="00000000">
        <w:rPr>
          <w:rFonts w:ascii="Times New Roman" w:cs="Times New Roman" w:eastAsia="Times New Roman" w:hAnsi="Times New Roman"/>
          <w:rtl w:val="0"/>
        </w:rPr>
        <w:t xml:space="preserve">e the prosecution of Wayne Couzens and David Carrick.</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rtl w:val="0"/>
        </w:rPr>
        <w:t xml:space="preserve">T</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hese successful prosecutions </w:t>
      </w:r>
      <w:r w:rsidDel="00000000" w:rsidR="00000000" w:rsidRPr="00000000">
        <w:rPr>
          <w:rFonts w:ascii="Times New Roman" w:cs="Times New Roman" w:eastAsia="Times New Roman" w:hAnsi="Times New Roman"/>
          <w:rtl w:val="0"/>
        </w:rPr>
        <w:t xml:space="preserve">have</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been a key strategy of the Metropolitan Police to try and restore public confidence in the service (Feist, 1999). It has also been widely promoting its openness to review and change not only the investigation strategies used but its openness to change the culture and behaviour of the service </w:t>
      </w:r>
      <w:r w:rsidDel="00000000" w:rsidR="00000000" w:rsidRPr="00000000">
        <w:rPr>
          <w:rFonts w:ascii="Times New Roman" w:cs="Times New Roman" w:eastAsia="Times New Roman" w:hAnsi="Times New Roman"/>
          <w:rtl w:val="0"/>
        </w:rPr>
        <w:t xml:space="preserve">(Baroness Casey, 2023)</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I am now going to talk about Ian Huntley who murdered two young schoolgirls in what became to be known by the media as the Sohom Murders. The review of these incidents was carried out after intense media coverage uncovered mistakes made by police which led to a public outcry for a change and improvement in systems to prevent these mistakes happening again (Greer and McLaughlin, 2011). The Bichard Inquiry which followed led to Humberside and Cambridge Police Forces being guilty of a number of mistakes such as Huntley’s extensive criminal record and one particular offence of nine counts of rape and indecent assault on a eleven year old child as well as having sex with underage girls while he lived in Grimsby (Bichard, 2004). There was no record held by Humberside Police in relation to Huntleys past. Huntley’s name was logged on Humberside’s own system and an entry by PC Michael in 1999 stating Huntley was a serial sex attacker was deleted when the system was reviewed. Cambridge Police also was detailed to have </w:t>
      </w:r>
      <w:r w:rsidDel="00000000" w:rsidR="00000000" w:rsidRPr="00000000">
        <w:rPr>
          <w:rFonts w:ascii="Times New Roman" w:cs="Times New Roman" w:eastAsia="Times New Roman" w:hAnsi="Times New Roman"/>
          <w:rtl w:val="0"/>
        </w:rPr>
        <w:t xml:space="preserve">shortcomings</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by the Bichard </w:t>
      </w:r>
      <w:r w:rsidDel="00000000" w:rsidR="00000000" w:rsidRPr="00000000">
        <w:rPr>
          <w:rFonts w:ascii="Times New Roman" w:cs="Times New Roman" w:eastAsia="Times New Roman" w:hAnsi="Times New Roman"/>
          <w:rtl w:val="0"/>
        </w:rPr>
        <w:t xml:space="preserve">Report; these</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were that they failed to request information from Humberside Police in relation to vetting Huntley </w:t>
      </w:r>
      <w:r w:rsidDel="00000000" w:rsidR="00000000" w:rsidRPr="00000000">
        <w:rPr>
          <w:rFonts w:ascii="Times New Roman" w:cs="Times New Roman" w:eastAsia="Times New Roman" w:hAnsi="Times New Roman"/>
          <w:rtl w:val="0"/>
        </w:rPr>
        <w:t xml:space="preserve">for a job</w:t>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 as a caretaker of a school (2004). It also details that when completing vetting on Huntley two human errors were made which failed to bring up the correct information about Huntley therefore allowing him to proceed with his application to get the job as a caretaker.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Following the Bichard report a recommendation was made that a system called the vetting and barring scheme was to be created to safeguard children and vulnerable adults (2004). This system checks the history of people wanting to work with children and vulnerable adults. </w:t>
      </w:r>
      <w:r w:rsidDel="00000000" w:rsidR="00000000" w:rsidRPr="00000000">
        <w:rPr>
          <w:rFonts w:ascii="Times New Roman" w:cs="Times New Roman" w:eastAsia="Times New Roman" w:hAnsi="Times New Roman"/>
          <w:rtl w:val="0"/>
        </w:rPr>
        <w:t xml:space="preserve">One of the most important things to consider when investigating a public protection incident is to identify, assess, and manage the risk of offenders, and to the victims. There are various strategies available to manage the risk of these incidents such as the management of offenders through the recording of information on VISOR and the use of the management of sexual offenders and violent offenders (MOSOVO) department. These require a coordinated response by several partners. </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Peelian principles outlined by the founder of the police service was adamant officers should ‘police by consent’ as they are paid for and in service to the public (Brown, 2014). The media has provided a voice to hold the police accountable, allowing for transparency and accountability as indicated by Baroness Casey’s report (2023). Furthermore, the media can be used to enforce the policing by consent by harnessing the voice of the media to circulate information (Feist, 1999). However, the media's most significant role has been mirroring the public’s concern and thus ensuring they are held accountable to the public in which they serve (Bichard, 2004). Both reports by Bichard and Casey establish recommendations for the police to ensure they meet their role (2004, 2023). Through these recommendations the media indirectly influence the transparency and accountability of police integrity and therefore the strategic prevention and handling of public protection incidents.</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4" w:lineRule="auto"/>
        <w:ind w:left="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Essay 3</w:t>
      </w:r>
    </w:p>
    <w:p w:rsidR="00000000" w:rsidDel="00000000" w:rsidP="00000000" w:rsidRDefault="00000000" w:rsidRPr="00000000" w14:paraId="0000001B">
      <w:pPr>
        <w:spacing w:after="240"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How effective is early intervention in preventing young people from offending, or re-offending?</w:t>
      </w:r>
    </w:p>
    <w:p w:rsidR="00000000" w:rsidDel="00000000" w:rsidP="00000000" w:rsidRDefault="00000000" w:rsidRPr="00000000" w14:paraId="0000001C">
      <w:pPr>
        <w:spacing w:after="240"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Your answer must be based on academic research, but you may make reference to relevant case studies.</w:t>
      </w:r>
    </w:p>
    <w:p w:rsidR="00000000" w:rsidDel="00000000" w:rsidP="00000000" w:rsidRDefault="00000000" w:rsidRPr="00000000" w14:paraId="0000001D">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Adverse child experiences are agreed to be  a significant factor in negative outcomes for young people such as offending and re-offending (Segeren et al., 2020). </w:t>
      </w:r>
      <w:r w:rsidDel="00000000" w:rsidR="00000000" w:rsidRPr="00000000">
        <w:rPr>
          <w:rFonts w:ascii="Times New Roman" w:cs="Times New Roman" w:eastAsia="Times New Roman" w:hAnsi="Times New Roman"/>
          <w:rtl w:val="0"/>
        </w:rPr>
        <w:t xml:space="preserve">Early intervention in preventing young offending is based around the principles of support for families and a step approach to deal with offending through education and then enforcement when proportionate and ethical to do so. </w:t>
      </w:r>
    </w:p>
    <w:p w:rsidR="00000000" w:rsidDel="00000000" w:rsidP="00000000" w:rsidRDefault="00000000" w:rsidRPr="00000000" w14:paraId="0000001E">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essay I am going to focus on the main offence youths partake in - Anti-Social Behaviour. Anti-Social behaviour is an accessible offence (Humayun et al., 2017) for youths  to take part in through very minimal acts and through peer pressure and a lack of education about the offences they are committing (Cambridge, Moon and Small, 2012). With Anti-Social Behaviour there is a step approach whereby there are 5 steps in dealing with offences - ASB ladder (Wood et al., 2022, p. 324). The steps are Anti-Social Behaviour referral where a letter is sent home to the parent or guardian of the youth committing the offence. The second stage is where a further letter is sent home and a visit is conducted by Police Officers to the home address and discuss the behaviour of the youth with the parents. The next stage is where there is a multi-agency meeting in which the youth and their parents or guardians would attend, and the behaviour is discussed at length and a plan is put in place to improve the behaviour. The next stage is where an ‘Acceptable Behaviour Contract’ is put in place by which the youth must adhere to, and any breaches are severely dealt with. The final stage is a Community Behaviour Order is put in place that must be adhered to by the youth and any breaches are arrestable. This order places strict conditions on the youth such as curfews and areas the youth must not attend  (Wood et al., 2022, p.325).  The aim of this staged approach is to avoid criminalising youths, working with young people and the community using the government’s favoured approach of ‘Out Of Court Disposals’  (Wood et al., 2022, p.325).</w:t>
      </w:r>
    </w:p>
    <w:p w:rsidR="00000000" w:rsidDel="00000000" w:rsidP="00000000" w:rsidRDefault="00000000" w:rsidRPr="00000000" w14:paraId="0000001F">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Anti-Social Behaviour is an offence that if left the youth could well go onto committing more serious offences. There are further agencies that will become involved as youths commit ASB and two of these are Youth Offending Team, and Youth Offending Service (Cambridge, Moon and Small, 2012). These agencies will go onto to manage and have regular meetings with the offender and manage their behaviour going forward with the engagement aspect alongside the Police and the use of Neighbourhood Policing Teams to gather intelligence and harness a multi-agency approach to prevent the youth becoming more involved in serious crimes. </w:t>
      </w:r>
    </w:p>
    <w:p w:rsidR="00000000" w:rsidDel="00000000" w:rsidP="00000000" w:rsidRDefault="00000000" w:rsidRPr="00000000" w14:paraId="00000020">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Through education and when proportionate intervention the youth will be educated in the aspects of their behaviour that could have a detrimental effect on their future. This going forward will enable to youth to make informed decisions and dissuade the youth from engaging in crime. This approach also can lead to enforcement against the youth which can also make them aware of how their behaviour is leading them to have intrusive police involvement in their life and make them aware that they are going down the wrong path. </w:t>
      </w:r>
    </w:p>
    <w:p w:rsidR="00000000" w:rsidDel="00000000" w:rsidP="00000000" w:rsidRDefault="00000000" w:rsidRPr="00000000" w14:paraId="00000021">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Using a staged approach such as with Anti-Social Behaviour it gives the youth a chance to change their behaviour before a more hardened approach is taken against them (Cambridge, Moon and Small, 2012). This staged approach also allows for early intervention from a multi-agency approach and for the youths to be dealt with via alternative means (Wood et al., 2022, p.325) to enable them to not have a criminal conviction that could affect their future until necessary. Preventative policing has been argued to weaken the relationships between the youth groups being targeted, perpetuated by a cyclical resentment and mistrust (Gormally and Deuchar, 2012).</w:t>
      </w:r>
    </w:p>
    <w:p w:rsidR="00000000" w:rsidDel="00000000" w:rsidP="00000000" w:rsidRDefault="00000000" w:rsidRPr="00000000" w14:paraId="00000022">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Early intervention and continuous intervention have proved key in dealing with offending youths and allowing for the rehabilitation and prevention of youth’s behaviour by showing youths alternative routes and education (Humayun et al., 2017). However, due to the provoking factors for committing antisocial behaviour being multifaceted it is reliant upon all stakeholders working together (Humayun et al., 2017). The limiting factor in this approach is the youth in question must want to improve their behaviour (Cambridge, Moon and Small, 2012). This is underpinned by the high proportion of ASB offenders suffering from low mental health (Humayun et al., 2017).  This stepwise approach is reliant on parental support and the support of other agencies; this approach would not be possible otherwise (Wood et al., 2022, p.325). There are other various ways to deal with youth offending with different crimes. One of which would be the youth could be sent to the Youth Offending Team to improve their behaviour if they commit minor offences and there are also out of court disposals that are possible ways to deal with offences. These approaches also allow youths to improve behaviour and prevent them from offending by using preventative methods. The final approach in dealing with youth offending is referral to Youth Court which deals with offenders under the age of 16 and often issues sentences that allow for change and improvement in the behaviour before full enforcement takes place. </w:t>
      </w:r>
    </w:p>
    <w:p w:rsidR="00000000" w:rsidDel="00000000" w:rsidP="00000000" w:rsidRDefault="00000000" w:rsidRPr="00000000" w14:paraId="00000023">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All approaches are reliant on essential agencies, community and the family of the (potential) ASB offender working together cohesively to descale the behaviour prior to criminalisation or re-offending. Though the community centred policing using the staged approach is a crucial role it has little influence over improving the mental health and changes the ACEs that are likely to have been experienced by the young person resulting in negative behaviours (Humayun et al., 2017). </w:t>
      </w:r>
    </w:p>
    <w:p w:rsidR="00000000" w:rsidDel="00000000" w:rsidP="00000000" w:rsidRDefault="00000000" w:rsidRPr="00000000" w14:paraId="00000024">
      <w:pPr>
        <w:spacing w:after="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Essay 4</w:t>
      </w:r>
    </w:p>
    <w:p w:rsidR="00000000" w:rsidDel="00000000" w:rsidP="00000000" w:rsidRDefault="00000000" w:rsidRPr="00000000" w14:paraId="00000026">
      <w:pPr>
        <w:spacing w:after="240"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Are partnership approaches the most effective means of rehabilitating offenders?</w:t>
      </w:r>
    </w:p>
    <w:p w:rsidR="00000000" w:rsidDel="00000000" w:rsidP="00000000" w:rsidRDefault="00000000" w:rsidRPr="00000000" w14:paraId="00000027">
      <w:pPr>
        <w:spacing w:after="240"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You must use academic research, rather than personal opinion, to support your answer. You may make reference to relevant case studies.</w:t>
      </w:r>
    </w:p>
    <w:p w:rsidR="00000000" w:rsidDel="00000000" w:rsidP="00000000" w:rsidRDefault="00000000" w:rsidRPr="00000000" w14:paraId="00000028">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Throughout this essay I am going to refer to various partner agencies that work closely with the Police Service in rehabilitating offenders. By having a partnership approach, it allows for many different approaches and ideas to be harnessed in a coordinated effort (Wood et al., 2022 p173) to rehabilitate. By allowing partnership working the offender can select various paths that suit their needs and expectations without having to ring fence them into a path that may not be suitable (Millie and Erol, 2006). Partnership working also enables different organisations to share information and techniques which enables learning to be taken from each experience to become more effective in rehabilitating offenders (Millie and Erol, 2006). </w:t>
      </w:r>
    </w:p>
    <w:p w:rsidR="00000000" w:rsidDel="00000000" w:rsidP="00000000" w:rsidRDefault="00000000" w:rsidRPr="00000000" w14:paraId="00000029">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By having partners for the Police Service such as housing providers and social workers it enables a multi-agency response. The coordinated approach enables the Police to share information which enables housing to place the offender in a location that would aid their rehabilitation (Wood et al., 2022 p174).  This fluid information sharing and coordination allow for Police to conduct visits when necessary inline with conditions set upon the offender when leaving prison. The collaboration of social workers and housing providers ensures the physical needs of the offer are met  whilst checking on their welfare and mental health. Police officers can communicate with the agencies if a breakdown in any of these aspects occur, to provide the support needed reducing the likelihood of reoffending (Gormally and Deuchar, 2012).</w:t>
      </w:r>
    </w:p>
    <w:p w:rsidR="00000000" w:rsidDel="00000000" w:rsidP="00000000" w:rsidRDefault="00000000" w:rsidRPr="00000000" w14:paraId="0000002A">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a variety of other partners that can help the offenders to integrate themselves into the community positively. Social care providers, other than housing and social workers, can also support an offender alongside Police in helping the offender rehabilitating themselves back or into a new community. While the discussion has been centred around offenders returning from custodial sentences. There are also offenders that can be rehabilitated after committing minor offences that don’t require custodial sentences  (Wood et al., 2022 p174). Using partners to rehabilitate these offenders back into the community can be done through a multi-agency approach centred around education and prevention (Gormally and Deuchar, 2012). This could be a partner agency helping the offender with housing, educational or vocational courses (Frabutt, 2010). Frabutt emphasises education programmes, particularly with violent youth offenders, is fundamental to rehabilitation (2010). There is also a need for social support within this as these offenders could sometimes become isolated from family and friends and as part of their rehabilitation, they need to be supported in becoming an active member of the family or friendship group. Second to this, they may need to reestablish a social support network which may be established through community (including education) programmes (Millie and Erol, 2006). </w:t>
      </w:r>
    </w:p>
    <w:p w:rsidR="00000000" w:rsidDel="00000000" w:rsidP="00000000" w:rsidRDefault="00000000" w:rsidRPr="00000000" w14:paraId="0000002B">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Partnership working with probation services, housing, and social services has become of cornerstone of Policing supporting the rehabilitation of offenders therefore allowing those who require support (Andrews et al., 1990).  Multiple options to access support as some may favour one organisation over another or have a dislike in dealing with Police therefore allowing the offender to pick and work with. This allows for rehabilitation service to be adapted to the offender, allowing them to access the most comfortable organisation for them and thus allowing them the best chance of rehabilitation (Andrews et al., 1990). If the Police did not use a multi-agency partnership working approach, then those offenders who did not wish to be supported by Police or were anti police then their development and progression through a rehabilitation process increased their likelihood to reoffend (Frabutt, 2010).</w:t>
      </w:r>
    </w:p>
    <w:p w:rsidR="00000000" w:rsidDel="00000000" w:rsidP="00000000" w:rsidRDefault="00000000" w:rsidRPr="00000000" w14:paraId="0000002C">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coordinated approach allows the offender to take part in aspects of normal life, ensuring they have the amenities to engage in normal activities such as getting money. The response of partnership working within rehabilitation of offenders by allowing offenders to leave prison with access to bank accounts, and ID’s allowing offenders to apply for jobs with ease (Power and Nolan, 2017). The DWP are another key partner for rehabilitating offenders as without their support their ability to apply for jobs would be severely restricted (</w:t>
      </w:r>
      <w:r w:rsidDel="00000000" w:rsidR="00000000" w:rsidRPr="00000000">
        <w:rPr>
          <w:rFonts w:ascii="Arial" w:cs="Arial" w:eastAsia="Arial" w:hAnsi="Arial"/>
          <w:color w:val="333333"/>
          <w:sz w:val="24"/>
          <w:szCs w:val="24"/>
          <w:highlight w:val="white"/>
          <w:rtl w:val="0"/>
        </w:rPr>
        <w:t xml:space="preserve">Home Office, 2004).</w:t>
      </w:r>
      <w:r w:rsidDel="00000000" w:rsidR="00000000" w:rsidRPr="00000000">
        <w:rPr>
          <w:rFonts w:ascii="Times New Roman" w:cs="Times New Roman" w:eastAsia="Times New Roman" w:hAnsi="Times New Roman"/>
          <w:rtl w:val="0"/>
        </w:rPr>
        <w:t xml:space="preserve"> Positive engagement within the community, gaining employment that the offender deems as a respected role by the community can significantly decrease the likelihood of reoffending (Power and Nolan, 2017). These specialist agencies are vital to allow the offender to gain legal employment which is significantly more difficult with a criminal conviction  (Andrews et al., 1990). This would be unachievable by the police service alone but needs to be coordinated together for the potential success.</w:t>
      </w:r>
    </w:p>
    <w:p w:rsidR="00000000" w:rsidDel="00000000" w:rsidP="00000000" w:rsidRDefault="00000000" w:rsidRPr="00000000" w14:paraId="0000002D">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Finally, partner agencies are also a useful tool for police when gathering intelligence. The agencies should have an open communication with police providing information on progress and concerns (Noga et al., 2016). An example may be partner agencies becoming aware an offender has reconnected with previous associated offenders. Police and partner agencies collaborate providing advice and support when intervening to help prevent an offender reoffending and therefore not progressing with their rehabilitation  (Frabutt, 2010). </w:t>
      </w:r>
    </w:p>
    <w:p w:rsidR="00000000" w:rsidDel="00000000" w:rsidP="00000000" w:rsidRDefault="00000000" w:rsidRPr="00000000" w14:paraId="0000002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Although a partner approach is considered essential in the prevention of offending and re-offending (Wood et al., 2022, p.172). The approach needs to be coordinated between outside agencies and the police to ensure the conditions which initially led the offender to commit the crime are not reestablished. The community safety partnership needs to be in place immediately after conviction (or established in prison if the offence dictates) to allow a smooth transition to prevent re-offending (Frabutt, 2010).</w:t>
      </w:r>
      <w:r w:rsidDel="00000000" w:rsidR="00000000" w:rsidRPr="00000000">
        <w:rPr>
          <w:rtl w:val="0"/>
        </w:rPr>
      </w:r>
    </w:p>
    <w:p w:rsidR="00000000" w:rsidDel="00000000" w:rsidP="00000000" w:rsidRDefault="00000000" w:rsidRPr="00000000" w14:paraId="0000002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30">
      <w:pPr>
        <w:spacing w:after="240" w:line="360" w:lineRule="auto"/>
        <w:rPr>
          <w:rFonts w:ascii="Times New Roman" w:cs="Times New Roman" w:eastAsia="Times New Roman" w:hAnsi="Times New Roman"/>
          <w:sz w:val="24"/>
          <w:szCs w:val="24"/>
        </w:rPr>
      </w:pPr>
      <w:r w:rsidDel="00000000" w:rsidR="00000000" w:rsidRPr="00000000">
        <w:rPr>
          <w:rFonts w:ascii="Arial" w:cs="Arial" w:eastAsia="Arial" w:hAnsi="Arial"/>
          <w:color w:val="333333"/>
          <w:sz w:val="24"/>
          <w:szCs w:val="24"/>
          <w:highlight w:val="white"/>
          <w:rtl w:val="0"/>
        </w:rPr>
        <w:t xml:space="preserve">Andrews, D. A., Zinger, I., Hoge, R., Bonta, J., Gendreau, P., &amp; Cullen, F. (1990). Does correctional treatment work? A clinically relevant and psychologically informed meta-analysis. </w:t>
      </w:r>
      <w:r w:rsidDel="00000000" w:rsidR="00000000" w:rsidRPr="00000000">
        <w:rPr>
          <w:rFonts w:ascii="Arial" w:cs="Arial" w:eastAsia="Arial" w:hAnsi="Arial"/>
          <w:i w:val="1"/>
          <w:color w:val="333333"/>
          <w:sz w:val="24"/>
          <w:szCs w:val="24"/>
          <w:highlight w:val="white"/>
          <w:rtl w:val="0"/>
        </w:rPr>
        <w:t xml:space="preserve">Criminology</w:t>
      </w:r>
      <w:r w:rsidDel="00000000" w:rsidR="00000000" w:rsidRPr="00000000">
        <w:rPr>
          <w:rFonts w:ascii="Arial" w:cs="Arial" w:eastAsia="Arial" w:hAnsi="Arial"/>
          <w:color w:val="333333"/>
          <w:sz w:val="24"/>
          <w:szCs w:val="24"/>
          <w:highlight w:val="white"/>
          <w:rtl w:val="0"/>
        </w:rPr>
        <w:t xml:space="preserve">, 28, 369-404.</w:t>
      </w:r>
      <w:r w:rsidDel="00000000" w:rsidR="00000000" w:rsidRPr="00000000">
        <w:rPr>
          <w:rtl w:val="0"/>
        </w:rPr>
      </w:r>
    </w:p>
    <w:p w:rsidR="00000000" w:rsidDel="00000000" w:rsidP="00000000" w:rsidRDefault="00000000" w:rsidRPr="00000000" w14:paraId="0000003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Attorney General's Office (2021). </w:t>
      </w:r>
      <w:r w:rsidDel="00000000" w:rsidR="00000000" w:rsidRPr="00000000">
        <w:rPr>
          <w:rFonts w:ascii="Times New Roman" w:cs="Times New Roman" w:eastAsia="Times New Roman" w:hAnsi="Times New Roman"/>
          <w:i w:val="1"/>
          <w:sz w:val="24"/>
          <w:szCs w:val="24"/>
          <w:rtl w:val="0"/>
        </w:rPr>
        <w:t xml:space="preserve">Media Advisory Notice – Disappearance of Sarah Everard</w:t>
      </w:r>
      <w:r w:rsidDel="00000000" w:rsidR="00000000" w:rsidRPr="00000000">
        <w:rPr>
          <w:rFonts w:ascii="Times New Roman" w:cs="Times New Roman" w:eastAsia="Times New Roman" w:hAnsi="Times New Roman"/>
          <w:sz w:val="24"/>
          <w:szCs w:val="24"/>
          <w:rtl w:val="0"/>
        </w:rPr>
        <w:t xml:space="preserve">. [online] GOV.UK. Available at: https://www.gov.uk/government/news/media-advisory-notice-disappearance-of-sarah-everard [Accessed 8 May 2023].</w:t>
      </w:r>
    </w:p>
    <w:p w:rsidR="00000000" w:rsidDel="00000000" w:rsidP="00000000" w:rsidRDefault="00000000" w:rsidRPr="00000000" w14:paraId="0000003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Baroness Casey of Blackstock DBE CB (2023). </w:t>
      </w:r>
      <w:r w:rsidDel="00000000" w:rsidR="00000000" w:rsidRPr="00000000">
        <w:rPr>
          <w:rFonts w:ascii="Times New Roman" w:cs="Times New Roman" w:eastAsia="Times New Roman" w:hAnsi="Times New Roman"/>
          <w:i w:val="1"/>
          <w:sz w:val="24"/>
          <w:szCs w:val="24"/>
          <w:rtl w:val="0"/>
        </w:rPr>
        <w:t xml:space="preserve">An independent review into the standards of behaviour and internal culture of the Metropolitan Police Service</w:t>
      </w:r>
      <w:r w:rsidDel="00000000" w:rsidR="00000000" w:rsidRPr="00000000">
        <w:rPr>
          <w:rFonts w:ascii="Times New Roman" w:cs="Times New Roman" w:eastAsia="Times New Roman" w:hAnsi="Times New Roman"/>
          <w:sz w:val="24"/>
          <w:szCs w:val="24"/>
          <w:rtl w:val="0"/>
        </w:rPr>
        <w:t xml:space="preserve">. Available at: https://www.met.police.uk/SysSiteAssets/media/downloads/met/about-us/baroness-casey-review/update-march-2023/baroness-casey-review-march-2023a.pdf [Accessed 30 Apr. 2023]</w:t>
      </w:r>
    </w:p>
    <w:p w:rsidR="00000000" w:rsidDel="00000000" w:rsidP="00000000" w:rsidRDefault="00000000" w:rsidRPr="00000000" w14:paraId="0000003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Bichard, M. (2004). </w:t>
      </w:r>
      <w:r w:rsidDel="00000000" w:rsidR="00000000" w:rsidRPr="00000000">
        <w:rPr>
          <w:rFonts w:ascii="Times New Roman" w:cs="Times New Roman" w:eastAsia="Times New Roman" w:hAnsi="Times New Roman"/>
          <w:i w:val="1"/>
          <w:sz w:val="24"/>
          <w:szCs w:val="24"/>
          <w:rtl w:val="0"/>
        </w:rPr>
        <w:t xml:space="preserve">The Bichard Inquiry</w:t>
      </w:r>
      <w:r w:rsidDel="00000000" w:rsidR="00000000" w:rsidRPr="00000000">
        <w:rPr>
          <w:rFonts w:ascii="Times New Roman" w:cs="Times New Roman" w:eastAsia="Times New Roman" w:hAnsi="Times New Roman"/>
          <w:sz w:val="24"/>
          <w:szCs w:val="24"/>
          <w:rtl w:val="0"/>
        </w:rPr>
        <w:t xml:space="preserve">. [online] Available at: https://dera.ioe.ac.uk/id/eprint/6394/1/report.pdf [Accessed 2 Apr. 2023].</w:t>
      </w:r>
    </w:p>
    <w:p w:rsidR="00000000" w:rsidDel="00000000" w:rsidP="00000000" w:rsidRDefault="00000000" w:rsidRPr="00000000" w14:paraId="0000003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Brown, J. (2014). </w:t>
      </w:r>
      <w:r w:rsidDel="00000000" w:rsidR="00000000" w:rsidRPr="00000000">
        <w:rPr>
          <w:rFonts w:ascii="Times New Roman" w:cs="Times New Roman" w:eastAsia="Times New Roman" w:hAnsi="Times New Roman"/>
          <w:i w:val="1"/>
          <w:sz w:val="24"/>
          <w:szCs w:val="24"/>
          <w:rtl w:val="0"/>
        </w:rPr>
        <w:t xml:space="preserve">The future of policing</w:t>
      </w:r>
      <w:r w:rsidDel="00000000" w:rsidR="00000000" w:rsidRPr="00000000">
        <w:rPr>
          <w:rFonts w:ascii="Times New Roman" w:cs="Times New Roman" w:eastAsia="Times New Roman" w:hAnsi="Times New Roman"/>
          <w:sz w:val="24"/>
          <w:szCs w:val="24"/>
          <w:rtl w:val="0"/>
        </w:rPr>
        <w:t xml:space="preserve">. London: Routledge.</w:t>
      </w:r>
    </w:p>
    <w:p w:rsidR="00000000" w:rsidDel="00000000" w:rsidP="00000000" w:rsidRDefault="00000000" w:rsidRPr="00000000" w14:paraId="0000003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Cambridge, M., Moon, N. and Small, L. (2012). </w:t>
      </w:r>
      <w:r w:rsidDel="00000000" w:rsidR="00000000" w:rsidRPr="00000000">
        <w:rPr>
          <w:rFonts w:ascii="Times New Roman" w:cs="Times New Roman" w:eastAsia="Times New Roman" w:hAnsi="Times New Roman"/>
          <w:i w:val="1"/>
          <w:sz w:val="24"/>
          <w:szCs w:val="24"/>
          <w:rtl w:val="0"/>
        </w:rPr>
        <w:t xml:space="preserve">Youth Taskforce study of perceptions in Youth Crime Action Plan areas</w:t>
      </w:r>
      <w:r w:rsidDel="00000000" w:rsidR="00000000" w:rsidRPr="00000000">
        <w:rPr>
          <w:rFonts w:ascii="Times New Roman" w:cs="Times New Roman" w:eastAsia="Times New Roman" w:hAnsi="Times New Roman"/>
          <w:sz w:val="24"/>
          <w:szCs w:val="24"/>
          <w:rtl w:val="0"/>
        </w:rPr>
        <w:t xml:space="preserve">. [online] pp.5, 31–53. Available at: https://assets.publishing.service.gov.uk/government/uploads/system/uploads/attachment_data/file/182510/DFE-RR008.pdf [Accessed 6 Apr. 2023].</w:t>
      </w:r>
    </w:p>
    <w:p w:rsidR="00000000" w:rsidDel="00000000" w:rsidP="00000000" w:rsidRDefault="00000000" w:rsidRPr="00000000" w14:paraId="0000003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dictionary.cambridge.org. (2023). </w:t>
      </w:r>
      <w:r w:rsidDel="00000000" w:rsidR="00000000" w:rsidRPr="00000000">
        <w:rPr>
          <w:rFonts w:ascii="Times New Roman" w:cs="Times New Roman" w:eastAsia="Times New Roman" w:hAnsi="Times New Roman"/>
          <w:i w:val="1"/>
          <w:sz w:val="24"/>
          <w:szCs w:val="24"/>
          <w:rtl w:val="0"/>
        </w:rPr>
        <w:t xml:space="preserve">malpractice</w:t>
      </w:r>
      <w:r w:rsidDel="00000000" w:rsidR="00000000" w:rsidRPr="00000000">
        <w:rPr>
          <w:rFonts w:ascii="Times New Roman" w:cs="Times New Roman" w:eastAsia="Times New Roman" w:hAnsi="Times New Roman"/>
          <w:sz w:val="24"/>
          <w:szCs w:val="24"/>
          <w:rtl w:val="0"/>
        </w:rPr>
        <w:t xml:space="preserve">. [online] Available at: </w:t>
      </w:r>
      <w:hyperlink r:id="rId6">
        <w:r w:rsidDel="00000000" w:rsidR="00000000" w:rsidRPr="00000000">
          <w:rPr>
            <w:rFonts w:ascii="Times New Roman" w:cs="Times New Roman" w:eastAsia="Times New Roman" w:hAnsi="Times New Roman"/>
            <w:color w:val="1155cc"/>
            <w:sz w:val="24"/>
            <w:szCs w:val="24"/>
            <w:u w:val="single"/>
            <w:rtl w:val="0"/>
          </w:rPr>
          <w:t xml:space="preserve">https://dictionary.cambridge.org/dictionary/english/malpractice</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Feist, A. and Great Britain. Home Office. Policing And Reducing Crime Unit (1999). </w:t>
      </w:r>
      <w:r w:rsidDel="00000000" w:rsidR="00000000" w:rsidRPr="00000000">
        <w:rPr>
          <w:rFonts w:ascii="Times New Roman" w:cs="Times New Roman" w:eastAsia="Times New Roman" w:hAnsi="Times New Roman"/>
          <w:i w:val="1"/>
          <w:sz w:val="24"/>
          <w:szCs w:val="24"/>
          <w:rtl w:val="0"/>
        </w:rPr>
        <w:t xml:space="preserve">The effective use of the media in serious crime investigations</w:t>
      </w:r>
      <w:r w:rsidDel="00000000" w:rsidR="00000000" w:rsidRPr="00000000">
        <w:rPr>
          <w:rFonts w:ascii="Times New Roman" w:cs="Times New Roman" w:eastAsia="Times New Roman" w:hAnsi="Times New Roman"/>
          <w:sz w:val="24"/>
          <w:szCs w:val="24"/>
          <w:rtl w:val="0"/>
        </w:rPr>
        <w:t xml:space="preserve">. London: Home Office, Policing And Reducing Crime Unit, Research, Development And Statistics Directorate.</w:t>
      </w:r>
    </w:p>
    <w:p w:rsidR="00000000" w:rsidDel="00000000" w:rsidP="00000000" w:rsidRDefault="00000000" w:rsidRPr="00000000" w14:paraId="0000003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Frabutt, J. (2010). Supporting Community Safety through University-Community Partnerships: Exploring Models of Engagement. </w:t>
      </w:r>
      <w:r w:rsidDel="00000000" w:rsidR="00000000" w:rsidRPr="00000000">
        <w:rPr>
          <w:rFonts w:ascii="Times New Roman" w:cs="Times New Roman" w:eastAsia="Times New Roman" w:hAnsi="Times New Roman"/>
          <w:i w:val="1"/>
          <w:sz w:val="24"/>
          <w:szCs w:val="24"/>
          <w:rtl w:val="0"/>
        </w:rPr>
        <w:t xml:space="preserve">Journal of Community Engagement &amp; Higher Education</w:t>
      </w:r>
      <w:r w:rsidDel="00000000" w:rsidR="00000000" w:rsidRPr="00000000">
        <w:rPr>
          <w:rFonts w:ascii="Times New Roman" w:cs="Times New Roman" w:eastAsia="Times New Roman" w:hAnsi="Times New Roman"/>
          <w:sz w:val="24"/>
          <w:szCs w:val="24"/>
          <w:rtl w:val="0"/>
        </w:rPr>
        <w:t xml:space="preserve">, [online] 1(2), pp.1–4. Available at: https://web.s.ebscohost.com/ehost/pdfviewer/pdfviewer?vid=6&amp;sid=807ca393-dd7b-471c-adbe-5d242b914c30%40redis [Accessed 6 Mar. 2023].</w:t>
      </w:r>
    </w:p>
    <w:p w:rsidR="00000000" w:rsidDel="00000000" w:rsidP="00000000" w:rsidRDefault="00000000" w:rsidRPr="00000000" w14:paraId="0000003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Gormally, S. and Deuchar, R. (2012). Somewhere between distrust and dependence: young people, the police and anti-social behaviour management within marginalised communities. </w:t>
      </w:r>
      <w:r w:rsidDel="00000000" w:rsidR="00000000" w:rsidRPr="00000000">
        <w:rPr>
          <w:rFonts w:ascii="Times New Roman" w:cs="Times New Roman" w:eastAsia="Times New Roman" w:hAnsi="Times New Roman"/>
          <w:i w:val="1"/>
          <w:sz w:val="24"/>
          <w:szCs w:val="24"/>
          <w:rtl w:val="0"/>
        </w:rPr>
        <w:t xml:space="preserve">International Journal on School Disaffection</w:t>
      </w:r>
      <w:r w:rsidDel="00000000" w:rsidR="00000000" w:rsidRPr="00000000">
        <w:rPr>
          <w:rFonts w:ascii="Times New Roman" w:cs="Times New Roman" w:eastAsia="Times New Roman" w:hAnsi="Times New Roman"/>
          <w:sz w:val="24"/>
          <w:szCs w:val="24"/>
          <w:rtl w:val="0"/>
        </w:rPr>
        <w:t xml:space="preserve">, 9(1), pp.51–66. doi:</w:t>
      </w:r>
      <w:hyperlink r:id="rId7">
        <w:r w:rsidDel="00000000" w:rsidR="00000000" w:rsidRPr="00000000">
          <w:rPr>
            <w:rFonts w:ascii="Times New Roman" w:cs="Times New Roman" w:eastAsia="Times New Roman" w:hAnsi="Times New Roman"/>
            <w:color w:val="1155cc"/>
            <w:sz w:val="24"/>
            <w:szCs w:val="24"/>
            <w:u w:val="single"/>
            <w:rtl w:val="0"/>
          </w:rPr>
          <w:t xml:space="preserve">https://doi.org/10.18546/ijsd.09.1.05</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A">
      <w:pPr>
        <w:spacing w:after="240" w:line="360" w:lineRule="auto"/>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Greer, C. and McLaughlin, E. (2011). ‘Trial by media’: Policing, the 24-7 news mediasphere and the ‘politics of outrage’. </w:t>
      </w:r>
      <w:r w:rsidDel="00000000" w:rsidR="00000000" w:rsidRPr="00000000">
        <w:rPr>
          <w:rFonts w:ascii="Times New Roman" w:cs="Times New Roman" w:eastAsia="Times New Roman" w:hAnsi="Times New Roman"/>
          <w:i w:val="1"/>
          <w:color w:val="333333"/>
          <w:sz w:val="24"/>
          <w:szCs w:val="24"/>
          <w:highlight w:val="white"/>
          <w:rtl w:val="0"/>
        </w:rPr>
        <w:t xml:space="preserve">Theoretical Criminology</w:t>
      </w:r>
      <w:r w:rsidDel="00000000" w:rsidR="00000000" w:rsidRPr="00000000">
        <w:rPr>
          <w:rFonts w:ascii="Times New Roman" w:cs="Times New Roman" w:eastAsia="Times New Roman" w:hAnsi="Times New Roman"/>
          <w:color w:val="333333"/>
          <w:sz w:val="24"/>
          <w:szCs w:val="24"/>
          <w:highlight w:val="white"/>
          <w:rtl w:val="0"/>
        </w:rPr>
        <w:t xml:space="preserve">, 15(1), pp.23–46. doi:https://doi.org/10.1177/1362480610387461.</w:t>
      </w:r>
    </w:p>
    <w:p w:rsidR="00000000" w:rsidDel="00000000" w:rsidP="00000000" w:rsidRDefault="00000000" w:rsidRPr="00000000" w14:paraId="0000003B">
      <w:pPr>
        <w:spacing w:after="240" w:line="360" w:lineRule="auto"/>
        <w:rPr>
          <w:rFonts w:ascii="Times New Roman" w:cs="Times New Roman" w:eastAsia="Times New Roman" w:hAnsi="Times New Roman"/>
          <w:sz w:val="24"/>
          <w:szCs w:val="24"/>
        </w:rPr>
      </w:pPr>
      <w:r w:rsidDel="00000000" w:rsidR="00000000" w:rsidRPr="00000000">
        <w:rPr>
          <w:rFonts w:ascii="Arial" w:cs="Arial" w:eastAsia="Arial" w:hAnsi="Arial"/>
          <w:color w:val="333333"/>
          <w:sz w:val="24"/>
          <w:szCs w:val="24"/>
          <w:highlight w:val="white"/>
          <w:rtl w:val="0"/>
        </w:rPr>
        <w:t xml:space="preserve">Home Office. (2004). </w:t>
      </w:r>
      <w:r w:rsidDel="00000000" w:rsidR="00000000" w:rsidRPr="00000000">
        <w:rPr>
          <w:rFonts w:ascii="Arial" w:cs="Arial" w:eastAsia="Arial" w:hAnsi="Arial"/>
          <w:i w:val="1"/>
          <w:color w:val="333333"/>
          <w:sz w:val="24"/>
          <w:szCs w:val="24"/>
          <w:highlight w:val="white"/>
          <w:rtl w:val="0"/>
        </w:rPr>
        <w:t xml:space="preserve">Reducing reoffending: National action plan—Reference document, July 2004</w:t>
      </w:r>
      <w:r w:rsidDel="00000000" w:rsidR="00000000" w:rsidRPr="00000000">
        <w:rPr>
          <w:rFonts w:ascii="Arial" w:cs="Arial" w:eastAsia="Arial" w:hAnsi="Arial"/>
          <w:color w:val="333333"/>
          <w:sz w:val="24"/>
          <w:szCs w:val="24"/>
          <w:highlight w:val="white"/>
          <w:rtl w:val="0"/>
        </w:rPr>
        <w:t xml:space="preserve">. London: Author.</w:t>
      </w:r>
      <w:r w:rsidDel="00000000" w:rsidR="00000000" w:rsidRPr="00000000">
        <w:rPr>
          <w:rtl w:val="0"/>
        </w:rPr>
      </w:r>
    </w:p>
    <w:p w:rsidR="00000000" w:rsidDel="00000000" w:rsidP="00000000" w:rsidRDefault="00000000" w:rsidRPr="00000000" w14:paraId="0000003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Humayun, S., Herlitz, L., Chesnokov, M., Doolan, M., Landau, S. and Scott, S. (2017). Randomized controlled trial of Functional Family Therapy for offending and antisocial behavior in UK youth. </w:t>
      </w:r>
      <w:r w:rsidDel="00000000" w:rsidR="00000000" w:rsidRPr="00000000">
        <w:rPr>
          <w:rFonts w:ascii="Times New Roman" w:cs="Times New Roman" w:eastAsia="Times New Roman" w:hAnsi="Times New Roman"/>
          <w:i w:val="1"/>
          <w:sz w:val="24"/>
          <w:szCs w:val="24"/>
          <w:rtl w:val="0"/>
        </w:rPr>
        <w:t xml:space="preserve">Journal of Child Psychology and Psychiatry</w:t>
      </w:r>
      <w:r w:rsidDel="00000000" w:rsidR="00000000" w:rsidRPr="00000000">
        <w:rPr>
          <w:rFonts w:ascii="Times New Roman" w:cs="Times New Roman" w:eastAsia="Times New Roman" w:hAnsi="Times New Roman"/>
          <w:sz w:val="24"/>
          <w:szCs w:val="24"/>
          <w:rtl w:val="0"/>
        </w:rPr>
        <w:t xml:space="preserve">, 58(9), pp.1023–1032. doi:https://doi.org/10.1111/jcpp.12743.</w:t>
      </w:r>
    </w:p>
    <w:p w:rsidR="00000000" w:rsidDel="00000000" w:rsidP="00000000" w:rsidRDefault="00000000" w:rsidRPr="00000000" w14:paraId="0000003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IOPC (2021). </w:t>
      </w:r>
      <w:r w:rsidDel="00000000" w:rsidR="00000000" w:rsidRPr="00000000">
        <w:rPr>
          <w:rFonts w:ascii="Times New Roman" w:cs="Times New Roman" w:eastAsia="Times New Roman" w:hAnsi="Times New Roman"/>
          <w:i w:val="1"/>
          <w:sz w:val="24"/>
          <w:szCs w:val="24"/>
          <w:rtl w:val="0"/>
        </w:rPr>
        <w:t xml:space="preserve">Conduct matter Investigation name Investigation subtitle Conduct matter Operation Argens Investigation into allegations of discriminatory and inappropriate comments made by Metropolitan Police officers within a WhatsApp group chat between March and October 2019</w:t>
      </w:r>
      <w:r w:rsidDel="00000000" w:rsidR="00000000" w:rsidRPr="00000000">
        <w:rPr>
          <w:rFonts w:ascii="Times New Roman" w:cs="Times New Roman" w:eastAsia="Times New Roman" w:hAnsi="Times New Roman"/>
          <w:sz w:val="24"/>
          <w:szCs w:val="24"/>
          <w:rtl w:val="0"/>
        </w:rPr>
        <w:t xml:space="preserve">. [online] Available at: https://www.policeconduct.gov.uk/sites/default/files/Operation%20Argens%20final%20report%20-%20publication%20copy_0.pdf [Accessed 1 May 2023].</w:t>
      </w:r>
    </w:p>
    <w:p w:rsidR="00000000" w:rsidDel="00000000" w:rsidP="00000000" w:rsidRDefault="00000000" w:rsidRPr="00000000" w14:paraId="0000003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Lowerson, A.J. (2022). Proportionate? The Metropolitan Police Service Response to the Sarah Everard Vigil. </w:t>
      </w:r>
      <w:r w:rsidDel="00000000" w:rsidR="00000000" w:rsidRPr="00000000">
        <w:rPr>
          <w:rFonts w:ascii="Times New Roman" w:cs="Times New Roman" w:eastAsia="Times New Roman" w:hAnsi="Times New Roman"/>
          <w:i w:val="1"/>
          <w:sz w:val="24"/>
          <w:szCs w:val="24"/>
          <w:rtl w:val="0"/>
        </w:rPr>
        <w:t xml:space="preserve">The Journal of Criminal Law</w:t>
      </w:r>
      <w:r w:rsidDel="00000000" w:rsidR="00000000" w:rsidRPr="00000000">
        <w:rPr>
          <w:rFonts w:ascii="Times New Roman" w:cs="Times New Roman" w:eastAsia="Times New Roman" w:hAnsi="Times New Roman"/>
          <w:sz w:val="24"/>
          <w:szCs w:val="24"/>
          <w:rtl w:val="0"/>
        </w:rPr>
        <w:t xml:space="preserve">, 86(4), p.002201832211019. doi:https://doi.org/10.1177/00220183221101957.</w:t>
      </w:r>
    </w:p>
    <w:p w:rsidR="00000000" w:rsidDel="00000000" w:rsidP="00000000" w:rsidRDefault="00000000" w:rsidRPr="00000000" w14:paraId="0000003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MACPHERSON, W. (1999). </w:t>
      </w:r>
      <w:r w:rsidDel="00000000" w:rsidR="00000000" w:rsidRPr="00000000">
        <w:rPr>
          <w:rFonts w:ascii="Times New Roman" w:cs="Times New Roman" w:eastAsia="Times New Roman" w:hAnsi="Times New Roman"/>
          <w:i w:val="1"/>
          <w:sz w:val="24"/>
          <w:szCs w:val="24"/>
          <w:rtl w:val="0"/>
        </w:rPr>
        <w:t xml:space="preserve">THE STEPHEN LAWRENCE INQUIRY</w:t>
      </w:r>
      <w:r w:rsidDel="00000000" w:rsidR="00000000" w:rsidRPr="00000000">
        <w:rPr>
          <w:rFonts w:ascii="Times New Roman" w:cs="Times New Roman" w:eastAsia="Times New Roman" w:hAnsi="Times New Roman"/>
          <w:sz w:val="24"/>
          <w:szCs w:val="24"/>
          <w:rtl w:val="0"/>
        </w:rPr>
        <w:t xml:space="preserve">. [online] Available at: https://assets.publishing.service.gov.uk/government/uploads/system/uploads/attachment_data/file/277111/4262.pdf [Accessed 12 Apr. 2023].</w:t>
      </w:r>
    </w:p>
    <w:p w:rsidR="00000000" w:rsidDel="00000000" w:rsidP="00000000" w:rsidRDefault="00000000" w:rsidRPr="00000000" w14:paraId="0000004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Millie, A. and Erol, R. (2006). Rehabilitation and Resettlement. </w:t>
      </w:r>
      <w:r w:rsidDel="00000000" w:rsidR="00000000" w:rsidRPr="00000000">
        <w:rPr>
          <w:rFonts w:ascii="Times New Roman" w:cs="Times New Roman" w:eastAsia="Times New Roman" w:hAnsi="Times New Roman"/>
          <w:i w:val="1"/>
          <w:sz w:val="24"/>
          <w:szCs w:val="24"/>
          <w:rtl w:val="0"/>
        </w:rPr>
        <w:t xml:space="preserve">International Journal of Offender Therapy and Comparative Criminology</w:t>
      </w:r>
      <w:r w:rsidDel="00000000" w:rsidR="00000000" w:rsidRPr="00000000">
        <w:rPr>
          <w:rFonts w:ascii="Times New Roman" w:cs="Times New Roman" w:eastAsia="Times New Roman" w:hAnsi="Times New Roman"/>
          <w:sz w:val="24"/>
          <w:szCs w:val="24"/>
          <w:rtl w:val="0"/>
        </w:rPr>
        <w:t xml:space="preserve">, 50(6), pp.691–710. doi:https://doi.org/10.1177/0306624x06287193.</w:t>
      </w:r>
    </w:p>
    <w:p w:rsidR="00000000" w:rsidDel="00000000" w:rsidP="00000000" w:rsidRDefault="00000000" w:rsidRPr="00000000" w14:paraId="0000004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Neal, S. (2003). The Scarman Report, the Macpherson Report and the Media: How Newspapers Respond to Race-centred Social Policy Interventions. </w:t>
      </w:r>
      <w:r w:rsidDel="00000000" w:rsidR="00000000" w:rsidRPr="00000000">
        <w:rPr>
          <w:rFonts w:ascii="Times New Roman" w:cs="Times New Roman" w:eastAsia="Times New Roman" w:hAnsi="Times New Roman"/>
          <w:i w:val="1"/>
          <w:sz w:val="24"/>
          <w:szCs w:val="24"/>
          <w:rtl w:val="0"/>
        </w:rPr>
        <w:t xml:space="preserve">Journal of Social Policy</w:t>
      </w:r>
      <w:r w:rsidDel="00000000" w:rsidR="00000000" w:rsidRPr="00000000">
        <w:rPr>
          <w:rFonts w:ascii="Times New Roman" w:cs="Times New Roman" w:eastAsia="Times New Roman" w:hAnsi="Times New Roman"/>
          <w:sz w:val="24"/>
          <w:szCs w:val="24"/>
          <w:rtl w:val="0"/>
        </w:rPr>
        <w:t xml:space="preserve">, [online] 32(1), pp.55–74. doi:</w:t>
      </w:r>
      <w:hyperlink r:id="rId8">
        <w:r w:rsidDel="00000000" w:rsidR="00000000" w:rsidRPr="00000000">
          <w:rPr>
            <w:rFonts w:ascii="Times New Roman" w:cs="Times New Roman" w:eastAsia="Times New Roman" w:hAnsi="Times New Roman"/>
            <w:color w:val="1155cc"/>
            <w:sz w:val="24"/>
            <w:szCs w:val="24"/>
            <w:u w:val="single"/>
            <w:rtl w:val="0"/>
          </w:rPr>
          <w:t xml:space="preserve">https://doi.org/10.1017/s004727940200689x</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Noga, H., Foreman, A., Walsh, E., Shaw, J. and Senior, J. (2016). Multi-agency action learning: Challenging institutional barriers in policing and mental health services. </w:t>
      </w:r>
      <w:r w:rsidDel="00000000" w:rsidR="00000000" w:rsidRPr="00000000">
        <w:rPr>
          <w:rFonts w:ascii="Times New Roman" w:cs="Times New Roman" w:eastAsia="Times New Roman" w:hAnsi="Times New Roman"/>
          <w:i w:val="1"/>
          <w:sz w:val="24"/>
          <w:szCs w:val="24"/>
          <w:rtl w:val="0"/>
        </w:rPr>
        <w:t xml:space="preserve">Action Research</w:t>
      </w:r>
      <w:r w:rsidDel="00000000" w:rsidR="00000000" w:rsidRPr="00000000">
        <w:rPr>
          <w:rFonts w:ascii="Times New Roman" w:cs="Times New Roman" w:eastAsia="Times New Roman" w:hAnsi="Times New Roman"/>
          <w:sz w:val="24"/>
          <w:szCs w:val="24"/>
          <w:rtl w:val="0"/>
        </w:rPr>
        <w:t xml:space="preserve">, [online] 14(2), pp.132–150. doi:https://doi.org/10.1177/1476750315583315.</w:t>
      </w:r>
    </w:p>
    <w:p w:rsidR="00000000" w:rsidDel="00000000" w:rsidP="00000000" w:rsidRDefault="00000000" w:rsidRPr="00000000" w14:paraId="0000004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Ozin, P., Norton, H., Lay, W., Featherstone, A., Phillips, J. and Barker, D. (2019). </w:t>
      </w:r>
      <w:r w:rsidDel="00000000" w:rsidR="00000000" w:rsidRPr="00000000">
        <w:rPr>
          <w:rFonts w:ascii="Times New Roman" w:cs="Times New Roman" w:eastAsia="Times New Roman" w:hAnsi="Times New Roman"/>
          <w:i w:val="1"/>
          <w:sz w:val="24"/>
          <w:szCs w:val="24"/>
          <w:rtl w:val="0"/>
        </w:rPr>
        <w:t xml:space="preserve">PACE : a practical guide to the Police and Criminal Evidence Act 1984</w:t>
      </w:r>
      <w:r w:rsidDel="00000000" w:rsidR="00000000" w:rsidRPr="00000000">
        <w:rPr>
          <w:rFonts w:ascii="Times New Roman" w:cs="Times New Roman" w:eastAsia="Times New Roman" w:hAnsi="Times New Roman"/>
          <w:sz w:val="24"/>
          <w:szCs w:val="24"/>
          <w:rtl w:val="0"/>
        </w:rPr>
        <w:t xml:space="preserve">. Oxford, United Kingdom: Oxford University Press.</w:t>
      </w:r>
    </w:p>
    <w:p w:rsidR="00000000" w:rsidDel="00000000" w:rsidP="00000000" w:rsidRDefault="00000000" w:rsidRPr="00000000" w14:paraId="0000004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Police and Criminal Evidence Act 1984</w:t>
      </w:r>
      <w:r w:rsidDel="00000000" w:rsidR="00000000" w:rsidRPr="00000000">
        <w:rPr>
          <w:rFonts w:ascii="Times New Roman" w:cs="Times New Roman" w:eastAsia="Times New Roman" w:hAnsi="Times New Roman"/>
          <w:sz w:val="24"/>
          <w:szCs w:val="24"/>
          <w:rtl w:val="0"/>
        </w:rPr>
        <w:t xml:space="preserve">. Available at: https://www.legislation.gov.uk/ukpga/1984/60/contents [Accessed 13 Apr. 2023].</w:t>
      </w:r>
    </w:p>
    <w:p w:rsidR="00000000" w:rsidDel="00000000" w:rsidP="00000000" w:rsidRDefault="00000000" w:rsidRPr="00000000" w14:paraId="0000004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Power, J. and Nolan, A. (2017). What Makes a ‘Good Job’ after Incarceration? Perceptions of Offenders in the Community.. </w:t>
      </w:r>
      <w:r w:rsidDel="00000000" w:rsidR="00000000" w:rsidRPr="00000000">
        <w:rPr>
          <w:rFonts w:ascii="Times New Roman" w:cs="Times New Roman" w:eastAsia="Times New Roman" w:hAnsi="Times New Roman"/>
          <w:i w:val="1"/>
          <w:sz w:val="24"/>
          <w:szCs w:val="24"/>
          <w:rtl w:val="0"/>
        </w:rPr>
        <w:t xml:space="preserve">Journal of Correctional Education; Dec2017, Vol. 68 Issue 3</w:t>
      </w:r>
      <w:r w:rsidDel="00000000" w:rsidR="00000000" w:rsidRPr="00000000">
        <w:rPr>
          <w:rFonts w:ascii="Times New Roman" w:cs="Times New Roman" w:eastAsia="Times New Roman" w:hAnsi="Times New Roman"/>
          <w:sz w:val="24"/>
          <w:szCs w:val="24"/>
          <w:rtl w:val="0"/>
        </w:rPr>
        <w:t xml:space="preserve">, [online] 68(3), pp.p53-71. Available at: https://web.p.ebscohost.com/ehost/pdfviewer/pdfviewer?vid=4&amp;sid=eee91cab-5da6-4a39-aaf8-54ba5da188a6%40redis [Accessed 5 Apr. 2023].</w:t>
      </w:r>
    </w:p>
    <w:p w:rsidR="00000000" w:rsidDel="00000000" w:rsidP="00000000" w:rsidRDefault="00000000" w:rsidRPr="00000000" w14:paraId="0000004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Prenzler, T. and Ransley, J. (2002). </w:t>
      </w:r>
      <w:r w:rsidDel="00000000" w:rsidR="00000000" w:rsidRPr="00000000">
        <w:rPr>
          <w:rFonts w:ascii="Times New Roman" w:cs="Times New Roman" w:eastAsia="Times New Roman" w:hAnsi="Times New Roman"/>
          <w:i w:val="1"/>
          <w:sz w:val="24"/>
          <w:szCs w:val="24"/>
          <w:rtl w:val="0"/>
        </w:rPr>
        <w:t xml:space="preserve">Police reform : building integrity</w:t>
      </w:r>
      <w:r w:rsidDel="00000000" w:rsidR="00000000" w:rsidRPr="00000000">
        <w:rPr>
          <w:rFonts w:ascii="Times New Roman" w:cs="Times New Roman" w:eastAsia="Times New Roman" w:hAnsi="Times New Roman"/>
          <w:sz w:val="24"/>
          <w:szCs w:val="24"/>
          <w:rtl w:val="0"/>
        </w:rPr>
        <w:t xml:space="preserve">. Annandale, Nsw: Hawkins Press.</w:t>
      </w:r>
    </w:p>
    <w:p w:rsidR="00000000" w:rsidDel="00000000" w:rsidP="00000000" w:rsidRDefault="00000000" w:rsidRPr="00000000" w14:paraId="0000004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Ranee, A. (2021). THE COLOR OF JUSTICE: SELECTIVE COVERAGE OF MISSING WOMEN IN MASS MEDIA. </w:t>
      </w:r>
      <w:r w:rsidDel="00000000" w:rsidR="00000000" w:rsidRPr="00000000">
        <w:rPr>
          <w:rFonts w:ascii="Times New Roman" w:cs="Times New Roman" w:eastAsia="Times New Roman" w:hAnsi="Times New Roman"/>
          <w:i w:val="1"/>
          <w:sz w:val="24"/>
          <w:szCs w:val="24"/>
          <w:rtl w:val="0"/>
        </w:rPr>
        <w:t xml:space="preserve">academia.edu</w:t>
      </w:r>
      <w:r w:rsidDel="00000000" w:rsidR="00000000" w:rsidRPr="00000000">
        <w:rPr>
          <w:rFonts w:ascii="Times New Roman" w:cs="Times New Roman" w:eastAsia="Times New Roman" w:hAnsi="Times New Roman"/>
          <w:sz w:val="24"/>
          <w:szCs w:val="24"/>
          <w:rtl w:val="0"/>
        </w:rPr>
        <w:t xml:space="preserve">, [online] 1(1), pp.1–5. Available at: https://d1wqtxts1xzle7.cloudfront.net/73099687/THE_COLOR_OF_JUSTICE_28092021_REVISED19102021-libre.pdf?1634603809=&amp;response-content-disposition=inline%3B+filename%3DTHE_COLOR_OF_JUSTICE_SELECTIVE_COVERAGE.pdf&amp;Expires=1683543454&amp;Signature=g~erYTlVfUBKI5bFwJeCdsh9ZMD1F~7Su3~xQ8FRijpBT2r7zokPeodMXUMQFSR7Kn-cSjO8aw7-r5hFSDMa6TXNNEpzNH0~TH4dT26ooj805rqZdCejxlvmygVOi6abDbT4VGFbF0pu6u66eOWi7-EizLdcB0anQokdZ~BOIxNZ2P5Pu-VmfPS9pHmuxf6VXGcAX7jmxk5EgCRfo4YifbcxUPI9wrmxHCREXPCVGO3ZNlDM5YRIJXijfNOTqz2XSFz3LsbTBC1h18VmBgUMkjSUcymGiLxfMWXcw-KZEjOjViVa6wlENQk8OeGJGytduY~kjYiHJWizxZfXTkP8UQ__&amp;Key-Pair-Id=APKAJLOHF5GGSLRBV4ZA [Accessed 12 Mar. 2023].</w:t>
      </w:r>
    </w:p>
    <w:p w:rsidR="00000000" w:rsidDel="00000000" w:rsidP="00000000" w:rsidRDefault="00000000" w:rsidRPr="00000000" w14:paraId="0000004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Scarman, L.J. (1981). </w:t>
      </w:r>
      <w:r w:rsidDel="00000000" w:rsidR="00000000" w:rsidRPr="00000000">
        <w:rPr>
          <w:rFonts w:ascii="Times New Roman" w:cs="Times New Roman" w:eastAsia="Times New Roman" w:hAnsi="Times New Roman"/>
          <w:i w:val="1"/>
          <w:sz w:val="24"/>
          <w:szCs w:val="24"/>
          <w:rtl w:val="0"/>
        </w:rPr>
        <w:t xml:space="preserve">The Brixton Disorders, 10–12th April</w:t>
      </w:r>
      <w:r w:rsidDel="00000000" w:rsidR="00000000" w:rsidRPr="00000000">
        <w:rPr>
          <w:rFonts w:ascii="Times New Roman" w:cs="Times New Roman" w:eastAsia="Times New Roman" w:hAnsi="Times New Roman"/>
          <w:sz w:val="24"/>
          <w:szCs w:val="24"/>
          <w:rtl w:val="0"/>
        </w:rPr>
        <w:t xml:space="preserve">. London: HMSO.</w:t>
      </w:r>
    </w:p>
    <w:p w:rsidR="00000000" w:rsidDel="00000000" w:rsidP="00000000" w:rsidRDefault="00000000" w:rsidRPr="00000000" w14:paraId="0000004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Segeren, M., Fassaert, T., de Wit, M., Grimbergen, C. and Popma, A. (2020). The relationship between adverse childhood experiences and self-sufficiency problems in early adulthood among violent offenders. </w:t>
      </w:r>
      <w:r w:rsidDel="00000000" w:rsidR="00000000" w:rsidRPr="00000000">
        <w:rPr>
          <w:rFonts w:ascii="Times New Roman" w:cs="Times New Roman" w:eastAsia="Times New Roman" w:hAnsi="Times New Roman"/>
          <w:i w:val="1"/>
          <w:sz w:val="24"/>
          <w:szCs w:val="24"/>
          <w:rtl w:val="0"/>
        </w:rPr>
        <w:t xml:space="preserve">Child Abuse &amp; Neglect</w:t>
      </w:r>
      <w:r w:rsidDel="00000000" w:rsidR="00000000" w:rsidRPr="00000000">
        <w:rPr>
          <w:rFonts w:ascii="Times New Roman" w:cs="Times New Roman" w:eastAsia="Times New Roman" w:hAnsi="Times New Roman"/>
          <w:sz w:val="24"/>
          <w:szCs w:val="24"/>
          <w:rtl w:val="0"/>
        </w:rPr>
        <w:t xml:space="preserve">, 101, p.104354. doi:https://doi.org/10.1016/j.chiabu.2019.104354.</w:t>
      </w:r>
    </w:p>
    <w:p w:rsidR="00000000" w:rsidDel="00000000" w:rsidP="00000000" w:rsidRDefault="00000000" w:rsidRPr="00000000" w14:paraId="0000004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Police (Complaints and Misconduct) Regulations 2020</w:t>
      </w:r>
      <w:r w:rsidDel="00000000" w:rsidR="00000000" w:rsidRPr="00000000">
        <w:rPr>
          <w:rFonts w:ascii="Times New Roman" w:cs="Times New Roman" w:eastAsia="Times New Roman" w:hAnsi="Times New Roman"/>
          <w:sz w:val="24"/>
          <w:szCs w:val="24"/>
          <w:rtl w:val="0"/>
        </w:rPr>
        <w:t xml:space="preserve">. Available at: https://www.legislation.gov.uk/uksi/2020/2/made#:~:text=The%20Secretary%20of%20State%20makes,Crime%20Act%202017(3). [Accessed 7 Apr. 2023].</w:t>
      </w:r>
    </w:p>
    <w:p w:rsidR="00000000" w:rsidDel="00000000" w:rsidP="00000000" w:rsidRDefault="00000000" w:rsidRPr="00000000" w14:paraId="0000004B">
      <w:pPr>
        <w:spacing w:after="240" w:line="360" w:lineRule="auto"/>
        <w:rPr/>
      </w:pPr>
      <w:r w:rsidDel="00000000" w:rsidR="00000000" w:rsidRPr="00000000">
        <w:rPr>
          <w:rFonts w:ascii="Times New Roman" w:cs="Times New Roman" w:eastAsia="Times New Roman" w:hAnsi="Times New Roman"/>
          <w:i w:val="1"/>
          <w:sz w:val="24"/>
          <w:szCs w:val="24"/>
          <w:rtl w:val="0"/>
        </w:rPr>
        <w:t xml:space="preserve">The Police (Complaints and Misconduct) Regulations 2020</w:t>
      </w:r>
      <w:r w:rsidDel="00000000" w:rsidR="00000000" w:rsidRPr="00000000">
        <w:rPr>
          <w:rFonts w:ascii="Times New Roman" w:cs="Times New Roman" w:eastAsia="Times New Roman" w:hAnsi="Times New Roman"/>
          <w:sz w:val="24"/>
          <w:szCs w:val="24"/>
          <w:rtl w:val="0"/>
        </w:rPr>
        <w:t xml:space="preserve">. Available at: https://www.legislation.gov.uk/uksi/2020/2/made#:~:text=The%20Secretary%20of%20State%20makes,Crime%20Act%202017(3). [Accessed 7 Apr. 2023].</w:t>
      </w:r>
      <w:r w:rsidDel="00000000" w:rsidR="00000000" w:rsidRPr="00000000">
        <w:rPr>
          <w:rtl w:val="0"/>
        </w:rPr>
      </w:r>
    </w:p>
    <w:sectPr>
      <w:footerReference r:id="rId9" w:type="default"/>
      <w:pgSz w:h="16838" w:w="11906" w:orient="portrait"/>
      <w:pgMar w:bottom="1444.3700787401576" w:top="1440" w:left="1440" w:right="1440" w:header="0" w:foot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44"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dictionary.cambridge.org/dictionary/english/malpractice" TargetMode="External"/><Relationship Id="rId7" Type="http://schemas.openxmlformats.org/officeDocument/2006/relationships/hyperlink" Target="https://doi.org/10.18546/ijsd.09.1.05" TargetMode="External"/><Relationship Id="rId8" Type="http://schemas.openxmlformats.org/officeDocument/2006/relationships/hyperlink" Target="https://doi.org/10.1017/s004727940200689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