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F28D64"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770B305"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C7E7E0E"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1E792FE6"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26B5F11"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37AF93CE"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9A38515"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867DA38"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3C674E5"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0A067BE"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20BCDD6A" w14:textId="489A4AFE" w:rsidR="001C2A14" w:rsidRDefault="001C2A14" w:rsidP="007B2CA7">
      <w:pPr>
        <w:keepNext/>
        <w:keepLines/>
        <w:spacing w:before="200" w:after="100" w:line="360" w:lineRule="auto"/>
        <w:jc w:val="center"/>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Humayra Choudhry</w:t>
      </w:r>
    </w:p>
    <w:p w14:paraId="044D8908" w14:textId="03EC4DF6" w:rsidR="00071751" w:rsidRDefault="00071751" w:rsidP="007B2CA7">
      <w:pPr>
        <w:keepNext/>
        <w:keepLines/>
        <w:spacing w:before="200" w:after="100" w:line="360" w:lineRule="auto"/>
        <w:jc w:val="center"/>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2427072</w:t>
      </w:r>
    </w:p>
    <w:p w14:paraId="52BC62FA" w14:textId="7ABE6C46" w:rsidR="00071751" w:rsidRDefault="00071751" w:rsidP="007B2CA7">
      <w:pPr>
        <w:keepNext/>
        <w:keepLines/>
        <w:spacing w:before="200" w:after="100" w:line="360" w:lineRule="auto"/>
        <w:jc w:val="center"/>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BMHP5023</w:t>
      </w:r>
    </w:p>
    <w:p w14:paraId="75F66A90" w14:textId="4B762726" w:rsidR="00071751" w:rsidRDefault="00071751" w:rsidP="007B2CA7">
      <w:pPr>
        <w:keepNext/>
        <w:keepLines/>
        <w:spacing w:before="200" w:after="100" w:line="360" w:lineRule="auto"/>
        <w:jc w:val="center"/>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 xml:space="preserve">Introduction to Physiology </w:t>
      </w:r>
      <w:r w:rsidR="00EF613A">
        <w:rPr>
          <w:rFonts w:ascii="Arial" w:hAnsi="Arial"/>
          <w:color w:val="000000"/>
          <w:kern w:val="0"/>
          <w:sz w:val="22"/>
          <w:szCs w:val="22"/>
          <w:lang w:val="en-US" w:eastAsia="en-US"/>
          <w14:ligatures w14:val="none"/>
        </w:rPr>
        <w:t>–</w:t>
      </w:r>
      <w:r>
        <w:rPr>
          <w:rFonts w:ascii="Arial" w:hAnsi="Arial"/>
          <w:color w:val="000000"/>
          <w:kern w:val="0"/>
          <w:sz w:val="22"/>
          <w:szCs w:val="22"/>
          <w:lang w:val="en-US" w:eastAsia="en-US"/>
          <w14:ligatures w14:val="none"/>
        </w:rPr>
        <w:t xml:space="preserve"> </w:t>
      </w:r>
      <w:r w:rsidR="00736666">
        <w:rPr>
          <w:rFonts w:ascii="Arial" w:hAnsi="Arial"/>
          <w:color w:val="000000"/>
          <w:kern w:val="0"/>
          <w:sz w:val="22"/>
          <w:szCs w:val="22"/>
          <w:lang w:val="en-US" w:eastAsia="en-US"/>
          <w14:ligatures w14:val="none"/>
        </w:rPr>
        <w:t xml:space="preserve">Component 1: </w:t>
      </w:r>
      <w:r w:rsidR="00EF613A">
        <w:rPr>
          <w:rFonts w:ascii="Arial" w:hAnsi="Arial"/>
          <w:color w:val="000000"/>
          <w:kern w:val="0"/>
          <w:sz w:val="22"/>
          <w:szCs w:val="22"/>
          <w:lang w:val="en-US" w:eastAsia="en-US"/>
          <w14:ligatures w14:val="none"/>
        </w:rPr>
        <w:t>Understanding diabetes in a GP practice</w:t>
      </w:r>
    </w:p>
    <w:p w14:paraId="39645B2C"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39C3541B"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2E1DB1AD"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6739D427"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262E62DA"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0E6BC3E0"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36683A39"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0EE5505B"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F76954B"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CC9C506" w14:textId="77777777" w:rsidR="006A0B04" w:rsidRDefault="006A0B0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1320AA4C" w14:textId="72C09626" w:rsidR="006A0B04" w:rsidRPr="00687C0C" w:rsidRDefault="006A0B04" w:rsidP="00A363EE">
      <w:pPr>
        <w:keepNext/>
        <w:keepLines/>
        <w:spacing w:before="200" w:after="100" w:line="360" w:lineRule="auto"/>
        <w:outlineLvl w:val="0"/>
        <w:rPr>
          <w:rFonts w:ascii="Arial" w:hAnsi="Arial"/>
          <w:b/>
          <w:bCs/>
          <w:color w:val="000000"/>
          <w:kern w:val="0"/>
          <w:sz w:val="22"/>
          <w:szCs w:val="22"/>
          <w:lang w:val="en-US" w:eastAsia="en-US"/>
          <w14:ligatures w14:val="none"/>
        </w:rPr>
      </w:pPr>
      <w:r w:rsidRPr="00687C0C">
        <w:rPr>
          <w:rFonts w:ascii="Arial" w:hAnsi="Arial"/>
          <w:b/>
          <w:bCs/>
          <w:color w:val="000000"/>
          <w:kern w:val="0"/>
          <w:sz w:val="22"/>
          <w:szCs w:val="22"/>
          <w:lang w:val="en-US" w:eastAsia="en-US"/>
          <w14:ligatures w14:val="none"/>
        </w:rPr>
        <w:lastRenderedPageBreak/>
        <w:t xml:space="preserve">Case study </w:t>
      </w:r>
      <w:r w:rsidR="00512EF0" w:rsidRPr="00687C0C">
        <w:rPr>
          <w:rFonts w:ascii="Arial" w:hAnsi="Arial"/>
          <w:b/>
          <w:bCs/>
          <w:color w:val="000000"/>
          <w:kern w:val="0"/>
          <w:sz w:val="22"/>
          <w:szCs w:val="22"/>
          <w:lang w:val="en-US" w:eastAsia="en-US"/>
          <w14:ligatures w14:val="none"/>
        </w:rPr>
        <w:t>1:</w:t>
      </w:r>
    </w:p>
    <w:p w14:paraId="115BD685" w14:textId="28D878BA" w:rsidR="00A363EE" w:rsidRPr="00A363EE" w:rsidRDefault="00A363EE" w:rsidP="00A363EE">
      <w:pPr>
        <w:keepNext/>
        <w:keepLines/>
        <w:spacing w:before="200" w:after="100" w:line="360" w:lineRule="auto"/>
        <w:outlineLvl w:val="0"/>
        <w:rPr>
          <w:rFonts w:ascii="Arial" w:hAnsi="Arial"/>
          <w:color w:val="000000"/>
          <w:kern w:val="0"/>
          <w:sz w:val="22"/>
          <w:szCs w:val="22"/>
          <w:lang w:val="en-US" w:eastAsia="en-US"/>
          <w14:ligatures w14:val="none"/>
        </w:rPr>
      </w:pPr>
      <w:r w:rsidRPr="00A363EE">
        <w:rPr>
          <w:rFonts w:ascii="Arial" w:hAnsi="Arial"/>
          <w:color w:val="000000"/>
          <w:kern w:val="0"/>
          <w:sz w:val="22"/>
          <w:szCs w:val="22"/>
          <w:lang w:val="en-US" w:eastAsia="en-US"/>
          <w14:ligatures w14:val="none"/>
        </w:rPr>
        <w:t>Diabetes Mellitus is a chronic metabolic disease, characteri</w:t>
      </w:r>
      <w:r w:rsidR="000273A3">
        <w:rPr>
          <w:rFonts w:ascii="Arial" w:hAnsi="Arial"/>
          <w:color w:val="000000"/>
          <w:kern w:val="0"/>
          <w:sz w:val="22"/>
          <w:szCs w:val="22"/>
          <w:lang w:val="en-US" w:eastAsia="en-US"/>
          <w14:ligatures w14:val="none"/>
        </w:rPr>
        <w:t>s</w:t>
      </w:r>
      <w:r w:rsidRPr="00A363EE">
        <w:rPr>
          <w:rFonts w:ascii="Arial" w:hAnsi="Arial"/>
          <w:color w:val="000000"/>
          <w:kern w:val="0"/>
          <w:sz w:val="22"/>
          <w:szCs w:val="22"/>
          <w:lang w:val="en-US" w:eastAsia="en-US"/>
          <w14:ligatures w14:val="none"/>
        </w:rPr>
        <w:t xml:space="preserve">ed by elevated levels of blood glucose, as the body is either not producing sufficient insulin or not </w:t>
      </w:r>
      <w:r w:rsidR="00C85080">
        <w:rPr>
          <w:rFonts w:ascii="Arial" w:hAnsi="Arial"/>
          <w:color w:val="000000"/>
          <w:kern w:val="0"/>
          <w:sz w:val="22"/>
          <w:szCs w:val="22"/>
          <w:lang w:val="en-US" w:eastAsia="en-US"/>
          <w14:ligatures w14:val="none"/>
        </w:rPr>
        <w:t>using</w:t>
      </w:r>
      <w:r w:rsidRPr="00A363EE">
        <w:rPr>
          <w:rFonts w:ascii="Arial" w:hAnsi="Arial"/>
          <w:color w:val="000000"/>
          <w:kern w:val="0"/>
          <w:sz w:val="22"/>
          <w:szCs w:val="22"/>
          <w:lang w:val="en-US" w:eastAsia="en-US"/>
          <w14:ligatures w14:val="none"/>
        </w:rPr>
        <w:t xml:space="preserve"> produced insulin efficiently. Type 1 diabetes is </w:t>
      </w:r>
      <w:r w:rsidR="00654708" w:rsidRPr="00A363EE">
        <w:rPr>
          <w:rFonts w:ascii="Arial" w:hAnsi="Arial"/>
          <w:color w:val="000000"/>
          <w:kern w:val="0"/>
          <w:sz w:val="22"/>
          <w:szCs w:val="22"/>
          <w:lang w:val="en-US" w:eastAsia="en-US"/>
          <w14:ligatures w14:val="none"/>
        </w:rPr>
        <w:t>because of</w:t>
      </w:r>
      <w:r w:rsidRPr="00A363EE">
        <w:rPr>
          <w:rFonts w:ascii="Arial" w:hAnsi="Arial"/>
          <w:color w:val="000000"/>
          <w:kern w:val="0"/>
          <w:sz w:val="22"/>
          <w:szCs w:val="22"/>
          <w:lang w:val="en-US" w:eastAsia="en-US"/>
          <w14:ligatures w14:val="none"/>
        </w:rPr>
        <w:t xml:space="preserve"> autoimmune destruction of beta cells of the </w:t>
      </w:r>
      <w:r w:rsidR="00687C0C" w:rsidRPr="00A363EE">
        <w:rPr>
          <w:rFonts w:ascii="Arial" w:hAnsi="Arial"/>
          <w:color w:val="000000"/>
          <w:kern w:val="0"/>
          <w:sz w:val="22"/>
          <w:szCs w:val="22"/>
          <w:lang w:val="en-US" w:eastAsia="en-US"/>
          <w14:ligatures w14:val="none"/>
        </w:rPr>
        <w:t>pancreas;</w:t>
      </w:r>
      <w:r w:rsidR="00687C0C">
        <w:rPr>
          <w:rFonts w:ascii="Arial" w:hAnsi="Arial"/>
          <w:color w:val="000000"/>
          <w:kern w:val="0"/>
          <w:sz w:val="22"/>
          <w:szCs w:val="22"/>
          <w:lang w:val="en-US" w:eastAsia="en-US"/>
          <w14:ligatures w14:val="none"/>
        </w:rPr>
        <w:t xml:space="preserve"> </w:t>
      </w:r>
      <w:r w:rsidR="003F0BE7">
        <w:rPr>
          <w:rFonts w:ascii="Arial" w:hAnsi="Arial"/>
          <w:color w:val="000000"/>
          <w:kern w:val="0"/>
          <w:sz w:val="22"/>
          <w:szCs w:val="22"/>
          <w:lang w:val="en-US" w:eastAsia="en-US"/>
          <w14:ligatures w14:val="none"/>
        </w:rPr>
        <w:t>however,</w:t>
      </w:r>
      <w:r w:rsidR="00D01453">
        <w:rPr>
          <w:rFonts w:ascii="Arial" w:hAnsi="Arial"/>
          <w:color w:val="000000"/>
          <w:kern w:val="0"/>
          <w:sz w:val="22"/>
          <w:szCs w:val="22"/>
          <w:lang w:val="en-US" w:eastAsia="en-US"/>
          <w14:ligatures w14:val="none"/>
        </w:rPr>
        <w:t xml:space="preserve"> t</w:t>
      </w:r>
      <w:r w:rsidRPr="00A363EE">
        <w:rPr>
          <w:rFonts w:ascii="Arial" w:hAnsi="Arial"/>
          <w:color w:val="000000"/>
          <w:kern w:val="0"/>
          <w:sz w:val="22"/>
          <w:szCs w:val="22"/>
          <w:lang w:val="en-US" w:eastAsia="en-US"/>
          <w14:ligatures w14:val="none"/>
        </w:rPr>
        <w:t xml:space="preserve">ype 2 is caused by </w:t>
      </w:r>
      <w:r w:rsidR="00D01453" w:rsidRPr="00A363EE">
        <w:rPr>
          <w:rFonts w:ascii="Arial" w:hAnsi="Arial"/>
          <w:color w:val="000000"/>
          <w:kern w:val="0"/>
          <w:sz w:val="22"/>
          <w:szCs w:val="22"/>
          <w:lang w:val="en-US" w:eastAsia="en-US"/>
          <w14:ligatures w14:val="none"/>
        </w:rPr>
        <w:t>several factors</w:t>
      </w:r>
      <w:r w:rsidRPr="00A363EE">
        <w:rPr>
          <w:rFonts w:ascii="Arial" w:hAnsi="Arial"/>
          <w:color w:val="000000"/>
          <w:kern w:val="0"/>
          <w:sz w:val="22"/>
          <w:szCs w:val="22"/>
          <w:lang w:val="en-US" w:eastAsia="en-US"/>
          <w14:ligatures w14:val="none"/>
        </w:rPr>
        <w:t xml:space="preserve"> such as insulin resistance and improper insulin secretion. Other types of diabetes can occur during pregnancy (Gestational diabetes). Longstanding hyperglycemia causes damage to both small and large blood vessels, and nerves. This can cause many complications such as cardiovascular and kidney disease, blindness, and foot ulcers. (World Health Organization, 2024).</w:t>
      </w:r>
    </w:p>
    <w:p w14:paraId="0B417646" w14:textId="088D6660" w:rsidR="00A363EE" w:rsidRPr="00A363EE" w:rsidRDefault="00A363EE" w:rsidP="00A363EE">
      <w:pPr>
        <w:keepNext/>
        <w:keepLines/>
        <w:spacing w:before="200" w:after="100" w:line="360" w:lineRule="auto"/>
        <w:outlineLvl w:val="0"/>
        <w:rPr>
          <w:rFonts w:ascii="Arial" w:hAnsi="Arial"/>
          <w:color w:val="000000"/>
          <w:kern w:val="0"/>
          <w:sz w:val="22"/>
          <w:szCs w:val="22"/>
          <w:lang w:val="en-US" w:eastAsia="en-US"/>
          <w14:ligatures w14:val="none"/>
        </w:rPr>
      </w:pPr>
      <w:r w:rsidRPr="00A363EE">
        <w:rPr>
          <w:rFonts w:ascii="Arial" w:hAnsi="Arial"/>
          <w:color w:val="000000"/>
          <w:kern w:val="0"/>
          <w:sz w:val="22"/>
          <w:szCs w:val="22"/>
          <w:lang w:val="en-US" w:eastAsia="en-US"/>
          <w14:ligatures w14:val="none"/>
        </w:rPr>
        <w:t xml:space="preserve">This report addresses Case study 1, which states that a practice nurse in a GP surgery wishes to support more patients with diabetes. This report will look at Type 2 diabetes and explain some concepts such as the role of insulin in glucose regulation and cellular energy, how the process can be monitored and lifestyle management. Understanding lab results is important in diabetes management and is </w:t>
      </w:r>
      <w:r w:rsidR="004842E3">
        <w:rPr>
          <w:rFonts w:ascii="Arial" w:hAnsi="Arial"/>
          <w:color w:val="000000"/>
          <w:kern w:val="0"/>
          <w:sz w:val="22"/>
          <w:szCs w:val="22"/>
          <w:lang w:val="en-US" w:eastAsia="en-US"/>
          <w14:ligatures w14:val="none"/>
        </w:rPr>
        <w:t>vital</w:t>
      </w:r>
      <w:r w:rsidRPr="00A363EE">
        <w:rPr>
          <w:rFonts w:ascii="Arial" w:hAnsi="Arial"/>
          <w:color w:val="000000"/>
          <w:kern w:val="0"/>
          <w:sz w:val="22"/>
          <w:szCs w:val="22"/>
          <w:lang w:val="en-US" w:eastAsia="en-US"/>
          <w14:ligatures w14:val="none"/>
        </w:rPr>
        <w:t xml:space="preserve"> </w:t>
      </w:r>
      <w:r w:rsidR="004842E3">
        <w:rPr>
          <w:rFonts w:ascii="Arial" w:hAnsi="Arial"/>
          <w:color w:val="000000"/>
          <w:kern w:val="0"/>
          <w:sz w:val="22"/>
          <w:szCs w:val="22"/>
          <w:lang w:val="en-US" w:eastAsia="en-US"/>
          <w14:ligatures w14:val="none"/>
        </w:rPr>
        <w:t>in</w:t>
      </w:r>
      <w:r w:rsidRPr="00A363EE">
        <w:rPr>
          <w:rFonts w:ascii="Arial" w:hAnsi="Arial"/>
          <w:color w:val="000000"/>
          <w:kern w:val="0"/>
          <w:sz w:val="22"/>
          <w:szCs w:val="22"/>
          <w:lang w:val="en-US" w:eastAsia="en-US"/>
          <w14:ligatures w14:val="none"/>
        </w:rPr>
        <w:t xml:space="preserve"> making informed decision about treatment. Most patients may feel well and may not experience any symptoms of </w:t>
      </w:r>
      <w:r w:rsidR="00A523B1" w:rsidRPr="00A363EE">
        <w:rPr>
          <w:rFonts w:ascii="Arial" w:hAnsi="Arial"/>
          <w:color w:val="000000"/>
          <w:kern w:val="0"/>
          <w:sz w:val="22"/>
          <w:szCs w:val="22"/>
          <w:lang w:val="en-US" w:eastAsia="en-US"/>
          <w14:ligatures w14:val="none"/>
        </w:rPr>
        <w:t>diabetes and</w:t>
      </w:r>
      <w:r w:rsidRPr="00A363EE">
        <w:rPr>
          <w:rFonts w:ascii="Arial" w:hAnsi="Arial"/>
          <w:color w:val="000000"/>
          <w:kern w:val="0"/>
          <w:sz w:val="22"/>
          <w:szCs w:val="22"/>
          <w:lang w:val="en-US" w:eastAsia="en-US"/>
          <w14:ligatures w14:val="none"/>
        </w:rPr>
        <w:t xml:space="preserve"> may not feel the effects of </w:t>
      </w:r>
      <w:r w:rsidR="00A523B1" w:rsidRPr="00A363EE">
        <w:rPr>
          <w:rFonts w:ascii="Arial" w:hAnsi="Arial"/>
          <w:color w:val="000000"/>
          <w:kern w:val="0"/>
          <w:sz w:val="22"/>
          <w:szCs w:val="22"/>
          <w:lang w:val="en-US" w:eastAsia="en-US"/>
          <w14:ligatures w14:val="none"/>
        </w:rPr>
        <w:t>long-term</w:t>
      </w:r>
      <w:r w:rsidRPr="00A363EE">
        <w:rPr>
          <w:rFonts w:ascii="Arial" w:hAnsi="Arial"/>
          <w:color w:val="000000"/>
          <w:kern w:val="0"/>
          <w:sz w:val="22"/>
          <w:szCs w:val="22"/>
          <w:lang w:val="en-US" w:eastAsia="en-US"/>
          <w14:ligatures w14:val="none"/>
        </w:rPr>
        <w:t xml:space="preserve"> damage, therefore regular reviews are important (World Health Organization, 2024).</w:t>
      </w:r>
    </w:p>
    <w:p w14:paraId="6963199E" w14:textId="66FD6F56" w:rsidR="00A363EE" w:rsidRPr="00A363EE" w:rsidRDefault="00A363EE" w:rsidP="00A363EE">
      <w:pPr>
        <w:keepNext/>
        <w:keepLines/>
        <w:spacing w:before="200" w:after="100" w:line="360" w:lineRule="auto"/>
        <w:outlineLvl w:val="0"/>
        <w:rPr>
          <w:rFonts w:ascii="Arial" w:hAnsi="Arial"/>
          <w:color w:val="000000"/>
          <w:kern w:val="0"/>
          <w:sz w:val="22"/>
          <w:szCs w:val="22"/>
          <w:lang w:val="en-US" w:eastAsia="en-US"/>
          <w14:ligatures w14:val="none"/>
        </w:rPr>
      </w:pPr>
      <w:r w:rsidRPr="00A363EE">
        <w:rPr>
          <w:rFonts w:ascii="Arial" w:hAnsi="Arial"/>
          <w:color w:val="000000"/>
          <w:kern w:val="0"/>
          <w:sz w:val="22"/>
          <w:szCs w:val="22"/>
          <w:lang w:val="en-US" w:eastAsia="en-US"/>
          <w14:ligatures w14:val="none"/>
        </w:rPr>
        <w:t xml:space="preserve">Risk factors include increasing age, a parent or sibling with type 2 diabetes, </w:t>
      </w:r>
      <w:r w:rsidR="00577090" w:rsidRPr="00A363EE">
        <w:rPr>
          <w:rFonts w:ascii="Arial" w:hAnsi="Arial"/>
          <w:color w:val="000000"/>
          <w:kern w:val="0"/>
          <w:sz w:val="22"/>
          <w:szCs w:val="22"/>
          <w:lang w:val="en-US" w:eastAsia="en-US"/>
          <w14:ligatures w14:val="none"/>
        </w:rPr>
        <w:t>earlier</w:t>
      </w:r>
      <w:r w:rsidRPr="00A363EE">
        <w:rPr>
          <w:rFonts w:ascii="Arial" w:hAnsi="Arial"/>
          <w:color w:val="000000"/>
          <w:kern w:val="0"/>
          <w:sz w:val="22"/>
          <w:szCs w:val="22"/>
          <w:lang w:val="en-US" w:eastAsia="en-US"/>
          <w14:ligatures w14:val="none"/>
        </w:rPr>
        <w:t xml:space="preserve"> gestational diabetes, </w:t>
      </w:r>
      <w:r w:rsidR="003B7E7F" w:rsidRPr="00A363EE">
        <w:rPr>
          <w:rFonts w:ascii="Arial" w:hAnsi="Arial"/>
          <w:color w:val="000000"/>
          <w:kern w:val="0"/>
          <w:sz w:val="22"/>
          <w:szCs w:val="22"/>
          <w:lang w:val="en-US" w:eastAsia="en-US"/>
          <w14:ligatures w14:val="none"/>
        </w:rPr>
        <w:t>pre-diabetes</w:t>
      </w:r>
      <w:r w:rsidRPr="00A363EE">
        <w:rPr>
          <w:rFonts w:ascii="Arial" w:hAnsi="Arial"/>
          <w:color w:val="000000"/>
          <w:kern w:val="0"/>
          <w:sz w:val="22"/>
          <w:szCs w:val="22"/>
          <w:lang w:val="en-US" w:eastAsia="en-US"/>
          <w14:ligatures w14:val="none"/>
        </w:rPr>
        <w:t xml:space="preserve">, excess body weight, and physical inactivity (hereafter CDC, 2024d). Central fat accumulation can lead to insulin resistance, and although people without obesity can also develop insulin resistance (CDC, 2024b), smoking increases the risk as well (CDC, 2024c). During surgery, the nurse should assess family history, activity, </w:t>
      </w:r>
      <w:r w:rsidR="00671084" w:rsidRPr="00A363EE">
        <w:rPr>
          <w:rFonts w:ascii="Arial" w:hAnsi="Arial"/>
          <w:color w:val="000000"/>
          <w:kern w:val="0"/>
          <w:sz w:val="22"/>
          <w:szCs w:val="22"/>
          <w:lang w:val="en-US" w:eastAsia="en-US"/>
          <w14:ligatures w14:val="none"/>
        </w:rPr>
        <w:t>diet,</w:t>
      </w:r>
      <w:r w:rsidRPr="00A363EE">
        <w:rPr>
          <w:rFonts w:ascii="Arial" w:hAnsi="Arial"/>
          <w:color w:val="000000"/>
          <w:kern w:val="0"/>
          <w:sz w:val="22"/>
          <w:szCs w:val="22"/>
          <w:lang w:val="en-US" w:eastAsia="en-US"/>
          <w14:ligatures w14:val="none"/>
        </w:rPr>
        <w:t xml:space="preserve"> and smoking in addition to the clinical assessments. Health risk assessment focuses on the patient’s changeable risk factors</w:t>
      </w:r>
      <w:r w:rsidR="00A85469">
        <w:rPr>
          <w:rFonts w:ascii="Arial" w:hAnsi="Arial"/>
          <w:color w:val="000000"/>
          <w:kern w:val="0"/>
          <w:sz w:val="22"/>
          <w:szCs w:val="22"/>
          <w:lang w:val="en-US" w:eastAsia="en-US"/>
          <w14:ligatures w14:val="none"/>
        </w:rPr>
        <w:t xml:space="preserve"> and discussing </w:t>
      </w:r>
      <w:r w:rsidRPr="00A363EE">
        <w:rPr>
          <w:rFonts w:ascii="Arial" w:hAnsi="Arial"/>
          <w:color w:val="000000"/>
          <w:kern w:val="0"/>
          <w:sz w:val="22"/>
          <w:szCs w:val="22"/>
          <w:lang w:val="en-US" w:eastAsia="en-US"/>
          <w14:ligatures w14:val="none"/>
        </w:rPr>
        <w:t xml:space="preserve">health risk factors with the patient is essential. The assessment should not place blame on the patient. Limited income and working patterns can </w:t>
      </w:r>
      <w:r w:rsidR="003F0BE7" w:rsidRPr="00A363EE">
        <w:rPr>
          <w:rFonts w:ascii="Arial" w:hAnsi="Arial"/>
          <w:color w:val="000000"/>
          <w:kern w:val="0"/>
          <w:sz w:val="22"/>
          <w:szCs w:val="22"/>
          <w:lang w:val="en-US" w:eastAsia="en-US"/>
          <w14:ligatures w14:val="none"/>
        </w:rPr>
        <w:t>affect</w:t>
      </w:r>
      <w:r w:rsidRPr="00A363EE">
        <w:rPr>
          <w:rFonts w:ascii="Arial" w:hAnsi="Arial"/>
          <w:color w:val="000000"/>
          <w:kern w:val="0"/>
          <w:sz w:val="22"/>
          <w:szCs w:val="22"/>
          <w:lang w:val="en-US" w:eastAsia="en-US"/>
          <w14:ligatures w14:val="none"/>
        </w:rPr>
        <w:t xml:space="preserve"> where and what the patient eats, as well as opportunities for physical activity (Davies et al., 2022).</w:t>
      </w:r>
    </w:p>
    <w:p w14:paraId="4E3A66B3" w14:textId="499A7D28" w:rsidR="00ED5C1B" w:rsidRPr="00ED5C1B" w:rsidRDefault="00ED5C1B" w:rsidP="00ED5C1B">
      <w:pPr>
        <w:keepNext/>
        <w:spacing w:after="120" w:line="360" w:lineRule="auto"/>
        <w:rPr>
          <w:rFonts w:ascii="Arial" w:hAnsi="Arial"/>
          <w:color w:val="000000"/>
          <w:kern w:val="0"/>
          <w:sz w:val="22"/>
          <w:szCs w:val="22"/>
          <w:lang w:val="en-US" w:eastAsia="en-US"/>
          <w14:ligatures w14:val="none"/>
        </w:rPr>
      </w:pPr>
      <w:r w:rsidRPr="00ED5C1B">
        <w:rPr>
          <w:rFonts w:ascii="Arial" w:hAnsi="Arial"/>
          <w:color w:val="000000"/>
          <w:kern w:val="0"/>
          <w:sz w:val="22"/>
          <w:szCs w:val="22"/>
          <w:lang w:val="en-US" w:eastAsia="en-US"/>
          <w14:ligatures w14:val="none"/>
        </w:rPr>
        <w:t xml:space="preserve">Maintaining an adequate supply of fuel, while preventing overabundance, is essential for cellular function. The pancreas is composed of pancreatic islets that are arranged in a bunch-like </w:t>
      </w:r>
      <w:r w:rsidR="00577090" w:rsidRPr="00ED5C1B">
        <w:rPr>
          <w:rFonts w:ascii="Arial" w:hAnsi="Arial"/>
          <w:color w:val="000000"/>
          <w:kern w:val="0"/>
          <w:sz w:val="22"/>
          <w:szCs w:val="22"/>
          <w:lang w:val="en-US" w:eastAsia="en-US"/>
          <w14:ligatures w14:val="none"/>
        </w:rPr>
        <w:t>structure and</w:t>
      </w:r>
      <w:r w:rsidRPr="00ED5C1B">
        <w:rPr>
          <w:rFonts w:ascii="Arial" w:hAnsi="Arial"/>
          <w:color w:val="000000"/>
          <w:kern w:val="0"/>
          <w:sz w:val="22"/>
          <w:szCs w:val="22"/>
          <w:lang w:val="en-US" w:eastAsia="en-US"/>
          <w14:ligatures w14:val="none"/>
        </w:rPr>
        <w:t xml:space="preserve"> </w:t>
      </w:r>
      <w:r w:rsidR="00577090" w:rsidRPr="00ED5C1B">
        <w:rPr>
          <w:rFonts w:ascii="Arial" w:hAnsi="Arial"/>
          <w:color w:val="000000"/>
          <w:kern w:val="0"/>
          <w:sz w:val="22"/>
          <w:szCs w:val="22"/>
          <w:lang w:val="en-US" w:eastAsia="en-US"/>
          <w14:ligatures w14:val="none"/>
        </w:rPr>
        <w:t>hold</w:t>
      </w:r>
      <w:r w:rsidRPr="00ED5C1B">
        <w:rPr>
          <w:rFonts w:ascii="Arial" w:hAnsi="Arial"/>
          <w:color w:val="000000"/>
          <w:kern w:val="0"/>
          <w:sz w:val="22"/>
          <w:szCs w:val="22"/>
          <w:lang w:val="en-US" w:eastAsia="en-US"/>
          <w14:ligatures w14:val="none"/>
        </w:rPr>
        <w:t xml:space="preserve"> alpha and beta cells. Alpha cells produce glucagon and beta cells produce insulin. These cells regulate metabolism through the endocrine system. </w:t>
      </w:r>
      <w:r w:rsidRPr="00ED5C1B">
        <w:rPr>
          <w:rFonts w:ascii="Arial" w:hAnsi="Arial"/>
          <w:color w:val="000000"/>
          <w:kern w:val="0"/>
          <w:sz w:val="22"/>
          <w:szCs w:val="22"/>
          <w:lang w:val="en-US" w:eastAsia="en-US"/>
          <w14:ligatures w14:val="none"/>
        </w:rPr>
        <w:lastRenderedPageBreak/>
        <w:t>Communication with the liver, skeletal muscle and adipose tissue links the pancreas to the regulation of metabolism (Betts et al., 2022).</w:t>
      </w:r>
    </w:p>
    <w:p w14:paraId="3182BE64" w14:textId="579D4646" w:rsidR="00ED5C1B" w:rsidRPr="00ED5C1B" w:rsidRDefault="00ED5C1B" w:rsidP="00ED5C1B">
      <w:pPr>
        <w:keepNext/>
        <w:spacing w:after="120" w:line="360" w:lineRule="auto"/>
        <w:rPr>
          <w:rFonts w:ascii="Arial" w:hAnsi="Arial"/>
          <w:color w:val="000000"/>
          <w:kern w:val="0"/>
          <w:sz w:val="22"/>
          <w:szCs w:val="22"/>
          <w:lang w:val="en-US" w:eastAsia="en-US"/>
          <w14:ligatures w14:val="none"/>
        </w:rPr>
      </w:pPr>
      <w:r w:rsidRPr="00ED5C1B">
        <w:rPr>
          <w:rFonts w:ascii="Arial" w:hAnsi="Arial"/>
          <w:color w:val="000000"/>
          <w:kern w:val="0"/>
          <w:sz w:val="22"/>
          <w:szCs w:val="22"/>
          <w:lang w:val="en-US" w:eastAsia="en-US"/>
          <w14:ligatures w14:val="none"/>
        </w:rPr>
        <w:t xml:space="preserve">Digestion of a carbohydrate meal results in the absorption of glucose into the circulation through the small intestine. Increased levels of circulating glucose </w:t>
      </w:r>
      <w:r w:rsidR="00577090" w:rsidRPr="00ED5C1B">
        <w:rPr>
          <w:rFonts w:ascii="Arial" w:hAnsi="Arial"/>
          <w:color w:val="000000"/>
          <w:kern w:val="0"/>
          <w:sz w:val="22"/>
          <w:szCs w:val="22"/>
          <w:lang w:val="en-US" w:eastAsia="en-US"/>
          <w14:ligatures w14:val="none"/>
        </w:rPr>
        <w:t>stimulate</w:t>
      </w:r>
      <w:r w:rsidRPr="00ED5C1B">
        <w:rPr>
          <w:rFonts w:ascii="Arial" w:hAnsi="Arial"/>
          <w:color w:val="000000"/>
          <w:kern w:val="0"/>
          <w:sz w:val="22"/>
          <w:szCs w:val="22"/>
          <w:lang w:val="en-US" w:eastAsia="en-US"/>
          <w14:ligatures w14:val="none"/>
        </w:rPr>
        <w:t xml:space="preserve"> the beta cells to secrete insulin. The major effect of insulin is to promote the movement of GLUT4 transporters to the cell membrane of skeletal muscle and adipose cells where it increases the cell’s ability to take in glucose, a process known as “insulin stimulated glucose uptake.” Insulin also plays a role in inhibiting the process of </w:t>
      </w:r>
      <w:r w:rsidR="00577090" w:rsidRPr="00ED5C1B">
        <w:rPr>
          <w:rFonts w:ascii="Arial" w:hAnsi="Arial"/>
          <w:color w:val="000000"/>
          <w:kern w:val="0"/>
          <w:sz w:val="22"/>
          <w:szCs w:val="22"/>
          <w:lang w:val="en-US" w:eastAsia="en-US"/>
          <w14:ligatures w14:val="none"/>
        </w:rPr>
        <w:t>glycogenesis</w:t>
      </w:r>
      <w:r w:rsidRPr="00ED5C1B">
        <w:rPr>
          <w:rFonts w:ascii="Arial" w:hAnsi="Arial"/>
          <w:color w:val="000000"/>
          <w:kern w:val="0"/>
          <w:sz w:val="22"/>
          <w:szCs w:val="22"/>
          <w:lang w:val="en-US" w:eastAsia="en-US"/>
          <w14:ligatures w14:val="none"/>
        </w:rPr>
        <w:t xml:space="preserve"> in the liver and muscle by signaling the synthesis of glycogen from glucose. Insulin also decreases glucose production in the liver.</w:t>
      </w:r>
    </w:p>
    <w:p w14:paraId="2F78A881" w14:textId="0FFFF6C9" w:rsidR="0057589C" w:rsidRDefault="00ED5C1B">
      <w:pPr>
        <w:rPr>
          <w:rFonts w:ascii="Arial" w:hAnsi="Arial"/>
          <w:color w:val="000000"/>
          <w:kern w:val="0"/>
          <w:sz w:val="22"/>
          <w:szCs w:val="22"/>
          <w:lang w:val="en-US" w:eastAsia="en-US"/>
          <w14:ligatures w14:val="none"/>
        </w:rPr>
      </w:pPr>
      <w:r w:rsidRPr="00ED5C1B">
        <w:rPr>
          <w:rFonts w:ascii="Arial" w:hAnsi="Arial"/>
          <w:color w:val="000000"/>
          <w:kern w:val="0"/>
          <w:sz w:val="22"/>
          <w:szCs w:val="22"/>
          <w:lang w:val="en-US" w:eastAsia="en-US"/>
          <w14:ligatures w14:val="none"/>
        </w:rPr>
        <w:t>As blood glucose levels approach the normal range, the amount of insulin released is</w:t>
      </w:r>
      <w:r w:rsidR="002E215F">
        <w:rPr>
          <w:rFonts w:ascii="Arial" w:hAnsi="Arial"/>
          <w:color w:val="000000"/>
          <w:kern w:val="0"/>
          <w:sz w:val="22"/>
          <w:szCs w:val="22"/>
          <w:lang w:val="en-US" w:eastAsia="en-US"/>
          <w14:ligatures w14:val="none"/>
        </w:rPr>
        <w:t xml:space="preserve"> </w:t>
      </w:r>
      <w:r w:rsidRPr="00ED5C1B">
        <w:rPr>
          <w:rFonts w:ascii="Arial" w:hAnsi="Arial"/>
          <w:color w:val="000000"/>
          <w:kern w:val="0"/>
          <w:sz w:val="22"/>
          <w:szCs w:val="22"/>
          <w:lang w:val="en-US" w:eastAsia="en-US"/>
          <w14:ligatures w14:val="none"/>
        </w:rPr>
        <w:t>reduced. This is considered negative feedback as the response to the stimulus (in this case lowered blood glucose levels) reduces the original stimulus.</w:t>
      </w:r>
    </w:p>
    <w:p w14:paraId="77B50B77" w14:textId="77777777" w:rsidR="00ED5C1B" w:rsidRDefault="00ED5C1B">
      <w:pPr>
        <w:rPr>
          <w:rFonts w:ascii="Arial" w:hAnsi="Arial"/>
          <w:color w:val="000000"/>
          <w:kern w:val="0"/>
          <w:sz w:val="22"/>
          <w:szCs w:val="22"/>
          <w:lang w:val="en-US" w:eastAsia="en-US"/>
          <w14:ligatures w14:val="none"/>
        </w:rPr>
      </w:pPr>
    </w:p>
    <w:p w14:paraId="60484521" w14:textId="25A18065" w:rsidR="00ED5C1B" w:rsidRDefault="00186530">
      <w:r>
        <w:rPr>
          <w:noProof/>
        </w:rPr>
        <w:drawing>
          <wp:inline distT="0" distB="0" distL="0" distR="0" wp14:anchorId="3FC76B5F" wp14:editId="606EFCB1">
            <wp:extent cx="6080760" cy="2060702"/>
            <wp:effectExtent l="0" t="0" r="0" b="0"/>
            <wp:docPr id="1" name="Picture 1" descr="Two pathways show insulin lowering raised glucose after a meal and glucagon increasing low glucose between meals through liver glucose p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lucose_feedback.png"/>
                    <pic:cNvPicPr/>
                  </pic:nvPicPr>
                  <pic:blipFill>
                    <a:blip r:embed="rId7"/>
                    <a:stretch>
                      <a:fillRect/>
                    </a:stretch>
                  </pic:blipFill>
                  <pic:spPr>
                    <a:xfrm>
                      <a:off x="0" y="0"/>
                      <a:ext cx="6080760" cy="2060702"/>
                    </a:xfrm>
                    <a:prstGeom prst="rect">
                      <a:avLst/>
                    </a:prstGeom>
                  </pic:spPr>
                </pic:pic>
              </a:graphicData>
            </a:graphic>
          </wp:inline>
        </w:drawing>
      </w:r>
    </w:p>
    <w:p w14:paraId="352513E5" w14:textId="77777777" w:rsidR="00C038B3" w:rsidRPr="00577090" w:rsidRDefault="00C038B3" w:rsidP="00C038B3">
      <w:pPr>
        <w:spacing w:after="120" w:line="360" w:lineRule="auto"/>
        <w:rPr>
          <w:rFonts w:ascii="Arial" w:hAnsi="Arial"/>
          <w:color w:val="000000"/>
          <w:kern w:val="0"/>
          <w:sz w:val="20"/>
          <w:szCs w:val="20"/>
          <w:lang w:val="en-US" w:eastAsia="en-US"/>
          <w14:ligatures w14:val="none"/>
        </w:rPr>
      </w:pPr>
      <w:r w:rsidRPr="00577090">
        <w:rPr>
          <w:rFonts w:ascii="Arial" w:hAnsi="Arial"/>
          <w:color w:val="000000"/>
          <w:kern w:val="0"/>
          <w:sz w:val="20"/>
          <w:szCs w:val="20"/>
          <w:lang w:val="en-US" w:eastAsia="en-US"/>
          <w14:ligatures w14:val="none"/>
        </w:rPr>
        <w:t xml:space="preserve">Figure 1: Negative Feedback and Regulation of Blood Glucose Levels. Original Schematic by </w:t>
      </w:r>
      <w:proofErr w:type="spellStart"/>
      <w:r w:rsidRPr="00577090">
        <w:rPr>
          <w:rFonts w:ascii="Arial" w:hAnsi="Arial"/>
          <w:color w:val="000000"/>
          <w:kern w:val="0"/>
          <w:sz w:val="20"/>
          <w:szCs w:val="20"/>
          <w:lang w:val="en-US" w:eastAsia="en-US"/>
          <w14:ligatures w14:val="none"/>
        </w:rPr>
        <w:t>Hantzidiamantis</w:t>
      </w:r>
      <w:proofErr w:type="spellEnd"/>
      <w:r w:rsidRPr="00577090">
        <w:rPr>
          <w:rFonts w:ascii="Arial" w:hAnsi="Arial"/>
          <w:color w:val="000000"/>
          <w:kern w:val="0"/>
          <w:sz w:val="20"/>
          <w:szCs w:val="20"/>
          <w:lang w:val="en-US" w:eastAsia="en-US"/>
          <w14:ligatures w14:val="none"/>
        </w:rPr>
        <w:t xml:space="preserve">, </w:t>
      </w:r>
      <w:proofErr w:type="spellStart"/>
      <w:r w:rsidRPr="00577090">
        <w:rPr>
          <w:rFonts w:ascii="Arial" w:hAnsi="Arial"/>
          <w:color w:val="000000"/>
          <w:kern w:val="0"/>
          <w:sz w:val="20"/>
          <w:szCs w:val="20"/>
          <w:lang w:val="en-US" w:eastAsia="en-US"/>
          <w14:ligatures w14:val="none"/>
        </w:rPr>
        <w:t>Awosika</w:t>
      </w:r>
      <w:proofErr w:type="spellEnd"/>
      <w:r w:rsidRPr="00577090">
        <w:rPr>
          <w:rFonts w:ascii="Arial" w:hAnsi="Arial"/>
          <w:color w:val="000000"/>
          <w:kern w:val="0"/>
          <w:sz w:val="20"/>
          <w:szCs w:val="20"/>
          <w:lang w:val="en-US" w:eastAsia="en-US"/>
          <w14:ligatures w14:val="none"/>
        </w:rPr>
        <w:t xml:space="preserve"> and </w:t>
      </w:r>
      <w:proofErr w:type="spellStart"/>
      <w:r w:rsidRPr="00577090">
        <w:rPr>
          <w:rFonts w:ascii="Arial" w:hAnsi="Arial"/>
          <w:color w:val="000000"/>
          <w:kern w:val="0"/>
          <w:sz w:val="20"/>
          <w:szCs w:val="20"/>
          <w:lang w:val="en-US" w:eastAsia="en-US"/>
          <w14:ligatures w14:val="none"/>
        </w:rPr>
        <w:t>Lappin</w:t>
      </w:r>
      <w:proofErr w:type="spellEnd"/>
      <w:r w:rsidRPr="00577090">
        <w:rPr>
          <w:rFonts w:ascii="Arial" w:hAnsi="Arial"/>
          <w:color w:val="000000"/>
          <w:kern w:val="0"/>
          <w:sz w:val="20"/>
          <w:szCs w:val="20"/>
          <w:lang w:val="en-US" w:eastAsia="en-US"/>
          <w14:ligatures w14:val="none"/>
        </w:rPr>
        <w:t xml:space="preserve"> (2024) and </w:t>
      </w:r>
      <w:proofErr w:type="spellStart"/>
      <w:r w:rsidRPr="00577090">
        <w:rPr>
          <w:rFonts w:ascii="Arial" w:hAnsi="Arial"/>
          <w:color w:val="000000"/>
          <w:kern w:val="0"/>
          <w:sz w:val="20"/>
          <w:szCs w:val="20"/>
          <w:lang w:val="en-US" w:eastAsia="en-US"/>
          <w14:ligatures w14:val="none"/>
        </w:rPr>
        <w:t>Venugopal</w:t>
      </w:r>
      <w:proofErr w:type="spellEnd"/>
      <w:r w:rsidRPr="00577090">
        <w:rPr>
          <w:rFonts w:ascii="Arial" w:hAnsi="Arial"/>
          <w:color w:val="000000"/>
          <w:kern w:val="0"/>
          <w:sz w:val="20"/>
          <w:szCs w:val="20"/>
          <w:lang w:val="en-US" w:eastAsia="en-US"/>
          <w14:ligatures w14:val="none"/>
        </w:rPr>
        <w:t xml:space="preserve">, </w:t>
      </w:r>
      <w:proofErr w:type="spellStart"/>
      <w:r w:rsidRPr="00577090">
        <w:rPr>
          <w:rFonts w:ascii="Arial" w:hAnsi="Arial"/>
          <w:color w:val="000000"/>
          <w:kern w:val="0"/>
          <w:sz w:val="20"/>
          <w:szCs w:val="20"/>
          <w:lang w:val="en-US" w:eastAsia="en-US"/>
          <w14:ligatures w14:val="none"/>
        </w:rPr>
        <w:t>Sankar</w:t>
      </w:r>
      <w:proofErr w:type="spellEnd"/>
      <w:r w:rsidRPr="00577090">
        <w:rPr>
          <w:rFonts w:ascii="Arial" w:hAnsi="Arial"/>
          <w:color w:val="000000"/>
          <w:kern w:val="0"/>
          <w:sz w:val="20"/>
          <w:szCs w:val="20"/>
          <w:lang w:val="en-US" w:eastAsia="en-US"/>
          <w14:ligatures w14:val="none"/>
        </w:rPr>
        <w:t xml:space="preserve"> and </w:t>
      </w:r>
      <w:proofErr w:type="spellStart"/>
      <w:r w:rsidRPr="00577090">
        <w:rPr>
          <w:rFonts w:ascii="Arial" w:hAnsi="Arial"/>
          <w:color w:val="000000"/>
          <w:kern w:val="0"/>
          <w:sz w:val="20"/>
          <w:szCs w:val="20"/>
          <w:lang w:val="en-US" w:eastAsia="en-US"/>
          <w14:ligatures w14:val="none"/>
        </w:rPr>
        <w:t>Jialal</w:t>
      </w:r>
      <w:proofErr w:type="spellEnd"/>
      <w:r w:rsidRPr="00577090">
        <w:rPr>
          <w:rFonts w:ascii="Arial" w:hAnsi="Arial"/>
          <w:color w:val="000000"/>
          <w:kern w:val="0"/>
          <w:sz w:val="20"/>
          <w:szCs w:val="20"/>
          <w:lang w:val="en-US" w:eastAsia="en-US"/>
          <w14:ligatures w14:val="none"/>
        </w:rPr>
        <w:t xml:space="preserve"> (2023).</w:t>
      </w:r>
    </w:p>
    <w:p w14:paraId="6A79097D" w14:textId="5789955D" w:rsidR="00C038B3" w:rsidRPr="00C038B3" w:rsidRDefault="00C038B3" w:rsidP="00C038B3">
      <w:pPr>
        <w:keepNext/>
        <w:keepLines/>
        <w:spacing w:before="200" w:after="100" w:line="360" w:lineRule="auto"/>
        <w:outlineLvl w:val="0"/>
        <w:rPr>
          <w:rFonts w:ascii="Arial" w:hAnsi="Arial"/>
          <w:bCs/>
          <w:color w:val="000000"/>
          <w:kern w:val="0"/>
          <w:sz w:val="22"/>
          <w:szCs w:val="22"/>
          <w:lang w:val="en-US" w:eastAsia="en-US"/>
          <w14:ligatures w14:val="none"/>
        </w:rPr>
      </w:pPr>
      <w:bookmarkStart w:id="0" w:name="Section3"/>
      <w:r w:rsidRPr="00C038B3">
        <w:rPr>
          <w:rFonts w:ascii="Arial" w:hAnsi="Arial"/>
          <w:bCs/>
          <w:color w:val="000000"/>
          <w:kern w:val="0"/>
          <w:sz w:val="22"/>
          <w:szCs w:val="22"/>
          <w:lang w:val="en-US" w:eastAsia="en-US"/>
          <w14:ligatures w14:val="none"/>
        </w:rPr>
        <w:lastRenderedPageBreak/>
        <w:t xml:space="preserve">In Type 2 diabetes, muscle, </w:t>
      </w:r>
      <w:r w:rsidR="00577090" w:rsidRPr="00C038B3">
        <w:rPr>
          <w:rFonts w:ascii="Arial" w:hAnsi="Arial"/>
          <w:bCs/>
          <w:color w:val="000000"/>
          <w:kern w:val="0"/>
          <w:sz w:val="22"/>
          <w:szCs w:val="22"/>
          <w:lang w:val="en-US" w:eastAsia="en-US"/>
          <w14:ligatures w14:val="none"/>
        </w:rPr>
        <w:t>fat,</w:t>
      </w:r>
      <w:r w:rsidRPr="00C038B3">
        <w:rPr>
          <w:rFonts w:ascii="Arial" w:hAnsi="Arial"/>
          <w:bCs/>
          <w:color w:val="000000"/>
          <w:kern w:val="0"/>
          <w:sz w:val="22"/>
          <w:szCs w:val="22"/>
          <w:lang w:val="en-US" w:eastAsia="en-US"/>
          <w14:ligatures w14:val="none"/>
        </w:rPr>
        <w:t xml:space="preserve"> and liver cells do not respond as well to the insulin produced by the body. The pancreas initially makes up for this by producing more insulin, but eventually the pancreas is unable to make enough to keep up with the demand. As a result, blood glucose levels rise and remain high (CDC, 2024b). Other causes of hyperglycemia include glucagon, which is counter-regulatory to insulin and encourages the production of glucose in the liver (</w:t>
      </w:r>
      <w:proofErr w:type="spellStart"/>
      <w:r w:rsidRPr="00C038B3">
        <w:rPr>
          <w:rFonts w:ascii="Arial" w:hAnsi="Arial"/>
          <w:bCs/>
          <w:color w:val="000000"/>
          <w:kern w:val="0"/>
          <w:sz w:val="22"/>
          <w:szCs w:val="22"/>
          <w:lang w:val="en-US" w:eastAsia="en-US"/>
          <w14:ligatures w14:val="none"/>
        </w:rPr>
        <w:t>Venugopal</w:t>
      </w:r>
      <w:proofErr w:type="spellEnd"/>
      <w:r w:rsidRPr="00C038B3">
        <w:rPr>
          <w:rFonts w:ascii="Arial" w:hAnsi="Arial"/>
          <w:bCs/>
          <w:color w:val="000000"/>
          <w:kern w:val="0"/>
          <w:sz w:val="22"/>
          <w:szCs w:val="22"/>
          <w:lang w:val="en-US" w:eastAsia="en-US"/>
          <w14:ligatures w14:val="none"/>
        </w:rPr>
        <w:t xml:space="preserve">, </w:t>
      </w:r>
      <w:proofErr w:type="spellStart"/>
      <w:r w:rsidRPr="00C038B3">
        <w:rPr>
          <w:rFonts w:ascii="Arial" w:hAnsi="Arial"/>
          <w:bCs/>
          <w:color w:val="000000"/>
          <w:kern w:val="0"/>
          <w:sz w:val="22"/>
          <w:szCs w:val="22"/>
          <w:lang w:val="en-US" w:eastAsia="en-US"/>
          <w14:ligatures w14:val="none"/>
        </w:rPr>
        <w:t>Sankar</w:t>
      </w:r>
      <w:proofErr w:type="spellEnd"/>
      <w:r w:rsidRPr="00C038B3">
        <w:rPr>
          <w:rFonts w:ascii="Arial" w:hAnsi="Arial"/>
          <w:bCs/>
          <w:color w:val="000000"/>
          <w:kern w:val="0"/>
          <w:sz w:val="22"/>
          <w:szCs w:val="22"/>
          <w:lang w:val="en-US" w:eastAsia="en-US"/>
          <w14:ligatures w14:val="none"/>
        </w:rPr>
        <w:t xml:space="preserve"> and </w:t>
      </w:r>
      <w:proofErr w:type="spellStart"/>
      <w:r w:rsidRPr="00C038B3">
        <w:rPr>
          <w:rFonts w:ascii="Arial" w:hAnsi="Arial"/>
          <w:bCs/>
          <w:color w:val="000000"/>
          <w:kern w:val="0"/>
          <w:sz w:val="22"/>
          <w:szCs w:val="22"/>
          <w:lang w:val="en-US" w:eastAsia="en-US"/>
          <w14:ligatures w14:val="none"/>
        </w:rPr>
        <w:t>Jialal</w:t>
      </w:r>
      <w:proofErr w:type="spellEnd"/>
      <w:r w:rsidRPr="00C038B3">
        <w:rPr>
          <w:rFonts w:ascii="Arial" w:hAnsi="Arial"/>
          <w:bCs/>
          <w:color w:val="000000"/>
          <w:kern w:val="0"/>
          <w:sz w:val="22"/>
          <w:szCs w:val="22"/>
          <w:lang w:val="en-US" w:eastAsia="en-US"/>
          <w14:ligatures w14:val="none"/>
        </w:rPr>
        <w:t>, 2023). This means high blood glucose levels can occur even if a person has not eaten recently.</w:t>
      </w:r>
    </w:p>
    <w:p w14:paraId="406DDD52" w14:textId="77777777" w:rsidR="00C038B3" w:rsidRPr="00C038B3" w:rsidRDefault="00C038B3" w:rsidP="00C038B3">
      <w:pPr>
        <w:keepNext/>
        <w:keepLines/>
        <w:spacing w:before="200" w:after="100" w:line="360" w:lineRule="auto"/>
        <w:outlineLvl w:val="0"/>
        <w:rPr>
          <w:rFonts w:ascii="Arial" w:hAnsi="Arial"/>
          <w:bCs/>
          <w:color w:val="000000"/>
          <w:kern w:val="0"/>
          <w:sz w:val="22"/>
          <w:szCs w:val="22"/>
          <w:lang w:val="en-US" w:eastAsia="en-US"/>
          <w14:ligatures w14:val="none"/>
        </w:rPr>
      </w:pPr>
      <w:r w:rsidRPr="00C038B3">
        <w:rPr>
          <w:rFonts w:ascii="Arial" w:hAnsi="Arial"/>
          <w:bCs/>
          <w:color w:val="000000"/>
          <w:kern w:val="0"/>
          <w:sz w:val="22"/>
          <w:szCs w:val="22"/>
          <w:lang w:val="en-US" w:eastAsia="en-US"/>
          <w14:ligatures w14:val="none"/>
        </w:rPr>
        <w:t xml:space="preserve">This information can be used by the nurse to explain the need for regular glucose monitoring, the rationale for prescribed treatment and the need for continued activity, and to answer the patient’s questions, e.g. why does glucose go up after eating? Why does glucose go down overnight? It can also help explain to patients that not all cells in the body require insulin to take up glucose. </w:t>
      </w:r>
    </w:p>
    <w:p w14:paraId="51D0759E" w14:textId="77777777" w:rsidR="00C038B3" w:rsidRPr="00C038B3" w:rsidRDefault="00C038B3" w:rsidP="00C038B3">
      <w:pPr>
        <w:spacing w:after="120" w:line="360" w:lineRule="auto"/>
        <w:rPr>
          <w:rFonts w:ascii="Arial" w:hAnsi="Arial"/>
          <w:color w:val="000000"/>
          <w:kern w:val="0"/>
          <w:sz w:val="22"/>
          <w:szCs w:val="22"/>
          <w:lang w:val="en-US" w:eastAsia="en-US"/>
          <w14:ligatures w14:val="none"/>
        </w:rPr>
      </w:pPr>
    </w:p>
    <w:p w14:paraId="453D1EA4" w14:textId="3A86CFA1" w:rsidR="00C038B3" w:rsidRPr="00C038B3" w:rsidRDefault="00C038B3" w:rsidP="00C038B3">
      <w:pPr>
        <w:keepNext/>
        <w:keepLines/>
        <w:spacing w:before="200" w:after="100" w:line="360" w:lineRule="auto"/>
        <w:outlineLvl w:val="0"/>
        <w:rPr>
          <w:rFonts w:ascii="Arial" w:hAnsi="Arial"/>
          <w:bCs/>
          <w:color w:val="000000"/>
          <w:kern w:val="0"/>
          <w:sz w:val="22"/>
          <w:szCs w:val="22"/>
          <w:lang w:val="en-US" w:eastAsia="en-US"/>
          <w14:ligatures w14:val="none"/>
        </w:rPr>
      </w:pPr>
      <w:r w:rsidRPr="00C038B3">
        <w:rPr>
          <w:rFonts w:ascii="Arial" w:hAnsi="Arial"/>
          <w:bCs/>
          <w:color w:val="000000"/>
          <w:kern w:val="0"/>
          <w:sz w:val="22"/>
          <w:szCs w:val="22"/>
          <w:lang w:val="en-US" w:eastAsia="en-US"/>
          <w14:ligatures w14:val="none"/>
        </w:rPr>
        <w:t xml:space="preserve">For </w:t>
      </w:r>
      <w:r w:rsidR="00E8618D">
        <w:rPr>
          <w:rFonts w:ascii="Arial" w:hAnsi="Arial"/>
          <w:bCs/>
          <w:color w:val="000000"/>
          <w:kern w:val="0"/>
          <w:sz w:val="22"/>
          <w:szCs w:val="22"/>
          <w:lang w:val="en-US" w:eastAsia="en-US"/>
          <w14:ligatures w14:val="none"/>
        </w:rPr>
        <w:t>instance,</w:t>
      </w:r>
      <w:r w:rsidRPr="00C038B3">
        <w:rPr>
          <w:rFonts w:ascii="Arial" w:hAnsi="Arial"/>
          <w:bCs/>
          <w:color w:val="000000"/>
          <w:kern w:val="0"/>
          <w:sz w:val="22"/>
          <w:szCs w:val="22"/>
          <w:lang w:val="en-US" w:eastAsia="en-US"/>
          <w14:ligatures w14:val="none"/>
        </w:rPr>
        <w:t xml:space="preserve"> glucose uptake by brain and red blood cells is </w:t>
      </w:r>
      <w:r w:rsidR="00A9757F" w:rsidRPr="00C038B3">
        <w:rPr>
          <w:rFonts w:ascii="Arial" w:hAnsi="Arial"/>
          <w:bCs/>
          <w:color w:val="000000"/>
          <w:kern w:val="0"/>
          <w:sz w:val="22"/>
          <w:szCs w:val="22"/>
          <w:lang w:val="en-US" w:eastAsia="en-US"/>
          <w14:ligatures w14:val="none"/>
        </w:rPr>
        <w:t>insulin</w:t>
      </w:r>
      <w:r w:rsidRPr="00C038B3">
        <w:rPr>
          <w:rFonts w:ascii="Arial" w:hAnsi="Arial"/>
          <w:bCs/>
          <w:color w:val="000000"/>
          <w:kern w:val="0"/>
          <w:sz w:val="22"/>
          <w:szCs w:val="22"/>
          <w:lang w:val="en-US" w:eastAsia="en-US"/>
          <w14:ligatures w14:val="none"/>
        </w:rPr>
        <w:t xml:space="preserve"> independent (</w:t>
      </w:r>
      <w:proofErr w:type="spellStart"/>
      <w:r w:rsidRPr="00C038B3">
        <w:rPr>
          <w:rFonts w:ascii="Arial" w:hAnsi="Arial"/>
          <w:bCs/>
          <w:color w:val="000000"/>
          <w:kern w:val="0"/>
          <w:sz w:val="22"/>
          <w:szCs w:val="22"/>
          <w:lang w:val="en-US" w:eastAsia="en-US"/>
          <w14:ligatures w14:val="none"/>
        </w:rPr>
        <w:t>Hantzidiamantis</w:t>
      </w:r>
      <w:proofErr w:type="spellEnd"/>
      <w:r w:rsidRPr="00C038B3">
        <w:rPr>
          <w:rFonts w:ascii="Arial" w:hAnsi="Arial"/>
          <w:bCs/>
          <w:color w:val="000000"/>
          <w:kern w:val="0"/>
          <w:sz w:val="22"/>
          <w:szCs w:val="22"/>
          <w:lang w:val="en-US" w:eastAsia="en-US"/>
          <w14:ligatures w14:val="none"/>
        </w:rPr>
        <w:t xml:space="preserve">, </w:t>
      </w:r>
      <w:proofErr w:type="spellStart"/>
      <w:r w:rsidRPr="00C038B3">
        <w:rPr>
          <w:rFonts w:ascii="Arial" w:hAnsi="Arial"/>
          <w:bCs/>
          <w:color w:val="000000"/>
          <w:kern w:val="0"/>
          <w:sz w:val="22"/>
          <w:szCs w:val="22"/>
          <w:lang w:val="en-US" w:eastAsia="en-US"/>
          <w14:ligatures w14:val="none"/>
        </w:rPr>
        <w:t>Awosika</w:t>
      </w:r>
      <w:proofErr w:type="spellEnd"/>
      <w:r w:rsidRPr="00C038B3">
        <w:rPr>
          <w:rFonts w:ascii="Arial" w:hAnsi="Arial"/>
          <w:bCs/>
          <w:color w:val="000000"/>
          <w:kern w:val="0"/>
          <w:sz w:val="22"/>
          <w:szCs w:val="22"/>
          <w:lang w:val="en-US" w:eastAsia="en-US"/>
          <w14:ligatures w14:val="none"/>
        </w:rPr>
        <w:t xml:space="preserve"> and </w:t>
      </w:r>
      <w:proofErr w:type="spellStart"/>
      <w:r w:rsidRPr="00C038B3">
        <w:rPr>
          <w:rFonts w:ascii="Arial" w:hAnsi="Arial"/>
          <w:bCs/>
          <w:color w:val="000000"/>
          <w:kern w:val="0"/>
          <w:sz w:val="22"/>
          <w:szCs w:val="22"/>
          <w:lang w:val="en-US" w:eastAsia="en-US"/>
          <w14:ligatures w14:val="none"/>
        </w:rPr>
        <w:t>Lappin</w:t>
      </w:r>
      <w:proofErr w:type="spellEnd"/>
      <w:r w:rsidRPr="00C038B3">
        <w:rPr>
          <w:rFonts w:ascii="Arial" w:hAnsi="Arial"/>
          <w:bCs/>
          <w:color w:val="000000"/>
          <w:kern w:val="0"/>
          <w:sz w:val="22"/>
          <w:szCs w:val="22"/>
          <w:lang w:val="en-US" w:eastAsia="en-US"/>
          <w14:ligatures w14:val="none"/>
        </w:rPr>
        <w:t xml:space="preserve">, 2024). It is important that normal and high levels of blood glucose are explained to patients, as they vary throughout the day and are dependent on food intake and physical activity. There are individually agreed treatment goals for diabetes, and these vary from the physiological range for glucose levels. It is </w:t>
      </w:r>
      <w:r w:rsidR="00960FBA">
        <w:rPr>
          <w:rFonts w:ascii="Arial" w:hAnsi="Arial"/>
          <w:bCs/>
          <w:color w:val="000000"/>
          <w:kern w:val="0"/>
          <w:sz w:val="22"/>
          <w:szCs w:val="22"/>
          <w:lang w:val="en-US" w:eastAsia="en-US"/>
          <w14:ligatures w14:val="none"/>
        </w:rPr>
        <w:t>vital</w:t>
      </w:r>
      <w:r w:rsidRPr="00C038B3">
        <w:rPr>
          <w:rFonts w:ascii="Arial" w:hAnsi="Arial"/>
          <w:bCs/>
          <w:color w:val="000000"/>
          <w:kern w:val="0"/>
          <w:sz w:val="22"/>
          <w:szCs w:val="22"/>
          <w:lang w:val="en-US" w:eastAsia="en-US"/>
          <w14:ligatures w14:val="none"/>
        </w:rPr>
        <w:t xml:space="preserve"> to distinguish between the two. The regularly agreed goals for diabetes control are chosen to help avert the risks of hypoglycemia (</w:t>
      </w:r>
      <w:proofErr w:type="spellStart"/>
      <w:r w:rsidRPr="00C038B3">
        <w:rPr>
          <w:rFonts w:ascii="Arial" w:hAnsi="Arial"/>
          <w:bCs/>
          <w:color w:val="000000"/>
          <w:kern w:val="0"/>
          <w:sz w:val="22"/>
          <w:szCs w:val="22"/>
          <w:lang w:val="en-US" w:eastAsia="en-US"/>
          <w14:ligatures w14:val="none"/>
        </w:rPr>
        <w:t>Hantzidiamantis</w:t>
      </w:r>
      <w:proofErr w:type="spellEnd"/>
      <w:r w:rsidRPr="00C038B3">
        <w:rPr>
          <w:rFonts w:ascii="Arial" w:hAnsi="Arial"/>
          <w:bCs/>
          <w:color w:val="000000"/>
          <w:kern w:val="0"/>
          <w:sz w:val="22"/>
          <w:szCs w:val="22"/>
          <w:lang w:val="en-US" w:eastAsia="en-US"/>
          <w14:ligatures w14:val="none"/>
        </w:rPr>
        <w:t xml:space="preserve">, </w:t>
      </w:r>
      <w:proofErr w:type="spellStart"/>
      <w:r w:rsidRPr="00C038B3">
        <w:rPr>
          <w:rFonts w:ascii="Arial" w:hAnsi="Arial"/>
          <w:bCs/>
          <w:color w:val="000000"/>
          <w:kern w:val="0"/>
          <w:sz w:val="22"/>
          <w:szCs w:val="22"/>
          <w:lang w:val="en-US" w:eastAsia="en-US"/>
          <w14:ligatures w14:val="none"/>
        </w:rPr>
        <w:t>Awosika</w:t>
      </w:r>
      <w:proofErr w:type="spellEnd"/>
      <w:r w:rsidRPr="00C038B3">
        <w:rPr>
          <w:rFonts w:ascii="Arial" w:hAnsi="Arial"/>
          <w:bCs/>
          <w:color w:val="000000"/>
          <w:kern w:val="0"/>
          <w:sz w:val="22"/>
          <w:szCs w:val="22"/>
          <w:lang w:val="en-US" w:eastAsia="en-US"/>
          <w14:ligatures w14:val="none"/>
        </w:rPr>
        <w:t xml:space="preserve"> and </w:t>
      </w:r>
      <w:proofErr w:type="spellStart"/>
      <w:r w:rsidRPr="00C038B3">
        <w:rPr>
          <w:rFonts w:ascii="Arial" w:hAnsi="Arial"/>
          <w:bCs/>
          <w:color w:val="000000"/>
          <w:kern w:val="0"/>
          <w:sz w:val="22"/>
          <w:szCs w:val="22"/>
          <w:lang w:val="en-US" w:eastAsia="en-US"/>
          <w14:ligatures w14:val="none"/>
        </w:rPr>
        <w:t>Lappin</w:t>
      </w:r>
      <w:proofErr w:type="spellEnd"/>
      <w:r w:rsidRPr="00C038B3">
        <w:rPr>
          <w:rFonts w:ascii="Arial" w:hAnsi="Arial"/>
          <w:bCs/>
          <w:color w:val="000000"/>
          <w:kern w:val="0"/>
          <w:sz w:val="22"/>
          <w:szCs w:val="22"/>
          <w:lang w:val="en-US" w:eastAsia="en-US"/>
          <w14:ligatures w14:val="none"/>
        </w:rPr>
        <w:t>, 2024; NICE, 2026).</w:t>
      </w:r>
    </w:p>
    <w:bookmarkEnd w:id="0"/>
    <w:p w14:paraId="6495BB13" w14:textId="77777777" w:rsidR="00C038B3" w:rsidRPr="00C038B3" w:rsidRDefault="00C038B3" w:rsidP="00C038B3">
      <w:pPr>
        <w:spacing w:after="120" w:line="360" w:lineRule="auto"/>
        <w:rPr>
          <w:rFonts w:ascii="Arial" w:hAnsi="Arial"/>
          <w:color w:val="000000"/>
          <w:kern w:val="0"/>
          <w:sz w:val="22"/>
          <w:szCs w:val="22"/>
          <w:lang w:val="en-US" w:eastAsia="en-US"/>
          <w14:ligatures w14:val="none"/>
        </w:rPr>
      </w:pPr>
      <w:r w:rsidRPr="00C038B3">
        <w:rPr>
          <w:rFonts w:ascii="Arial" w:hAnsi="Arial"/>
          <w:color w:val="000000"/>
          <w:kern w:val="0"/>
          <w:sz w:val="22"/>
          <w:szCs w:val="22"/>
          <w:lang w:val="en-US" w:eastAsia="en-US"/>
          <w14:ligatures w14:val="none"/>
        </w:rPr>
        <w:t xml:space="preserve">Cells convert chemical energy in nutrients to the energy-rich molecule adenosine triphosphate (ATP). This is used by cells for many activities including muscle contraction and movement, active transport, synthesis of other molecules and several other processes. Glucose reaches the tissues via the circulatory system. Oxygen reaches the tissues via the lungs and combines with hemoglobin of the RBCs (Betts et al., 2022; </w:t>
      </w:r>
      <w:proofErr w:type="spellStart"/>
      <w:r w:rsidRPr="00C038B3">
        <w:rPr>
          <w:rFonts w:ascii="Arial" w:hAnsi="Arial"/>
          <w:color w:val="000000"/>
          <w:kern w:val="0"/>
          <w:sz w:val="22"/>
          <w:szCs w:val="22"/>
          <w:lang w:val="en-US" w:eastAsia="en-US"/>
          <w14:ligatures w14:val="none"/>
        </w:rPr>
        <w:t>Nakrani</w:t>
      </w:r>
      <w:proofErr w:type="spellEnd"/>
      <w:r w:rsidRPr="00C038B3">
        <w:rPr>
          <w:rFonts w:ascii="Arial" w:hAnsi="Arial"/>
          <w:color w:val="000000"/>
          <w:kern w:val="0"/>
          <w:sz w:val="22"/>
          <w:szCs w:val="22"/>
          <w:lang w:val="en-US" w:eastAsia="en-US"/>
          <w14:ligatures w14:val="none"/>
        </w:rPr>
        <w:t xml:space="preserve">, </w:t>
      </w:r>
      <w:proofErr w:type="spellStart"/>
      <w:r w:rsidRPr="00C038B3">
        <w:rPr>
          <w:rFonts w:ascii="Arial" w:hAnsi="Arial"/>
          <w:color w:val="000000"/>
          <w:kern w:val="0"/>
          <w:sz w:val="22"/>
          <w:szCs w:val="22"/>
          <w:lang w:val="en-US" w:eastAsia="en-US"/>
          <w14:ligatures w14:val="none"/>
        </w:rPr>
        <w:t>Wineland</w:t>
      </w:r>
      <w:proofErr w:type="spellEnd"/>
      <w:r w:rsidRPr="00C038B3">
        <w:rPr>
          <w:rFonts w:ascii="Arial" w:hAnsi="Arial"/>
          <w:color w:val="000000"/>
          <w:kern w:val="0"/>
          <w:sz w:val="22"/>
          <w:szCs w:val="22"/>
          <w:lang w:val="en-US" w:eastAsia="en-US"/>
          <w14:ligatures w14:val="none"/>
        </w:rPr>
        <w:t xml:space="preserve"> and </w:t>
      </w:r>
      <w:proofErr w:type="spellStart"/>
      <w:r w:rsidRPr="00C038B3">
        <w:rPr>
          <w:rFonts w:ascii="Arial" w:hAnsi="Arial"/>
          <w:color w:val="000000"/>
          <w:kern w:val="0"/>
          <w:sz w:val="22"/>
          <w:szCs w:val="22"/>
          <w:lang w:val="en-US" w:eastAsia="en-US"/>
          <w14:ligatures w14:val="none"/>
        </w:rPr>
        <w:t>Anjum</w:t>
      </w:r>
      <w:proofErr w:type="spellEnd"/>
      <w:r w:rsidRPr="00C038B3">
        <w:rPr>
          <w:rFonts w:ascii="Arial" w:hAnsi="Arial"/>
          <w:color w:val="000000"/>
          <w:kern w:val="0"/>
          <w:sz w:val="22"/>
          <w:szCs w:val="22"/>
          <w:lang w:val="en-US" w:eastAsia="en-US"/>
          <w14:ligatures w14:val="none"/>
        </w:rPr>
        <w:t xml:space="preserve">, 2023). Several cells undergo the process of aerobic respiration to produce energy for many cellular processes. </w:t>
      </w:r>
    </w:p>
    <w:p w14:paraId="5F36B96B" w14:textId="11643C72" w:rsidR="00C038B3" w:rsidRPr="00C038B3" w:rsidRDefault="00C038B3" w:rsidP="00C038B3">
      <w:pPr>
        <w:spacing w:after="120" w:line="360" w:lineRule="auto"/>
        <w:rPr>
          <w:rFonts w:ascii="Arial" w:hAnsi="Arial"/>
          <w:color w:val="000000"/>
          <w:kern w:val="0"/>
          <w:sz w:val="22"/>
          <w:szCs w:val="22"/>
          <w:lang w:val="en-US" w:eastAsia="en-US"/>
          <w14:ligatures w14:val="none"/>
        </w:rPr>
      </w:pPr>
      <w:r w:rsidRPr="00C038B3">
        <w:rPr>
          <w:rFonts w:ascii="Arial" w:hAnsi="Arial"/>
          <w:color w:val="000000"/>
          <w:kern w:val="0"/>
          <w:sz w:val="22"/>
          <w:szCs w:val="22"/>
          <w:lang w:val="en-US" w:eastAsia="en-US"/>
          <w14:ligatures w14:val="none"/>
        </w:rPr>
        <w:t xml:space="preserve">A process of splitting glucose molecules into two molecules of pyruvate by glycolysis occurs in the cytosol. Each glycolysis results in net production of two molecules of ATP, and reduces NAD to NADH. There is no requirement of O2 for this process. However, for pyruvate to be completely </w:t>
      </w:r>
      <w:proofErr w:type="spellStart"/>
      <w:r w:rsidRPr="00C038B3">
        <w:rPr>
          <w:rFonts w:ascii="Arial" w:hAnsi="Arial"/>
          <w:color w:val="000000"/>
          <w:kern w:val="0"/>
          <w:sz w:val="22"/>
          <w:szCs w:val="22"/>
          <w:lang w:val="en-US" w:eastAsia="en-US"/>
          <w14:ligatures w14:val="none"/>
        </w:rPr>
        <w:t>metaboli</w:t>
      </w:r>
      <w:r w:rsidR="000D3BBB">
        <w:rPr>
          <w:rFonts w:ascii="Arial" w:hAnsi="Arial"/>
          <w:color w:val="000000"/>
          <w:kern w:val="0"/>
          <w:sz w:val="22"/>
          <w:szCs w:val="22"/>
          <w:lang w:val="en-US" w:eastAsia="en-US"/>
          <w14:ligatures w14:val="none"/>
        </w:rPr>
        <w:t>s</w:t>
      </w:r>
      <w:r w:rsidRPr="00C038B3">
        <w:rPr>
          <w:rFonts w:ascii="Arial" w:hAnsi="Arial"/>
          <w:color w:val="000000"/>
          <w:kern w:val="0"/>
          <w:sz w:val="22"/>
          <w:szCs w:val="22"/>
          <w:lang w:val="en-US" w:eastAsia="en-US"/>
          <w14:ligatures w14:val="none"/>
        </w:rPr>
        <w:t>ed</w:t>
      </w:r>
      <w:proofErr w:type="spellEnd"/>
      <w:r w:rsidRPr="00C038B3">
        <w:rPr>
          <w:rFonts w:ascii="Arial" w:hAnsi="Arial"/>
          <w:color w:val="000000"/>
          <w:kern w:val="0"/>
          <w:sz w:val="22"/>
          <w:szCs w:val="22"/>
          <w:lang w:val="en-US" w:eastAsia="en-US"/>
          <w14:ligatures w14:val="none"/>
        </w:rPr>
        <w:t xml:space="preserve">, </w:t>
      </w:r>
      <w:r w:rsidR="000D3BBB">
        <w:rPr>
          <w:rFonts w:ascii="Arial" w:hAnsi="Arial"/>
          <w:color w:val="000000"/>
          <w:kern w:val="0"/>
          <w:sz w:val="22"/>
          <w:szCs w:val="22"/>
          <w:lang w:val="en-US" w:eastAsia="en-US"/>
          <w14:ligatures w14:val="none"/>
        </w:rPr>
        <w:t>oxygen</w:t>
      </w:r>
      <w:r w:rsidRPr="00C038B3">
        <w:rPr>
          <w:rFonts w:ascii="Arial" w:hAnsi="Arial"/>
          <w:color w:val="000000"/>
          <w:kern w:val="0"/>
          <w:sz w:val="22"/>
          <w:szCs w:val="22"/>
          <w:lang w:val="en-US" w:eastAsia="en-US"/>
          <w14:ligatures w14:val="none"/>
        </w:rPr>
        <w:t xml:space="preserve"> is required. The citric acid cycle also results in the reduction of NAD and FADH2. Pyruvate enters the mitochondria, is converted to acetyl CoA and then coupled with oxaloacetic acid (OAA) to form citric acid (Betts et al., 2022). These carriers transport electrons to the electron transport chain in the inner mitochondrial </w:t>
      </w:r>
      <w:r w:rsidRPr="00C038B3">
        <w:rPr>
          <w:rFonts w:ascii="Arial" w:hAnsi="Arial"/>
          <w:color w:val="000000"/>
          <w:kern w:val="0"/>
          <w:sz w:val="22"/>
          <w:szCs w:val="22"/>
          <w:lang w:val="en-US" w:eastAsia="en-US"/>
          <w14:ligatures w14:val="none"/>
        </w:rPr>
        <w:lastRenderedPageBreak/>
        <w:t xml:space="preserve">membrane. Electron transfer causes proton pumping, which generates an electrical gradient that is used to synthesize ATP using the enzyme ATP synthase. Oxygen accepts electrons in the last step of the electron transport chain. The acceptance of the last electron by the oxygen generates water. The process that produces most of the ATP from the aerobic breakdown of glucose is </w:t>
      </w:r>
      <w:r w:rsidR="002969B8">
        <w:rPr>
          <w:rFonts w:ascii="Arial" w:hAnsi="Arial"/>
          <w:color w:val="000000"/>
          <w:kern w:val="0"/>
          <w:sz w:val="22"/>
          <w:szCs w:val="22"/>
          <w:lang w:val="en-US" w:eastAsia="en-US"/>
          <w14:ligatures w14:val="none"/>
        </w:rPr>
        <w:t>known as</w:t>
      </w:r>
      <w:r w:rsidRPr="00C038B3">
        <w:rPr>
          <w:rFonts w:ascii="Arial" w:hAnsi="Arial"/>
          <w:color w:val="000000"/>
          <w:kern w:val="0"/>
          <w:sz w:val="22"/>
          <w:szCs w:val="22"/>
          <w:lang w:val="en-US" w:eastAsia="en-US"/>
          <w14:ligatures w14:val="none"/>
        </w:rPr>
        <w:t xml:space="preserve"> the oxidative phosphorylation. The folded inner membrane of the mitochondria provided space for these energy producing enzymes. Glucose and oxygen, in the presence of mitochondria, generate water, carbon dioxide, and energy in the form of ATP, and a small amount of energy is dissipated as heat. (Betts et al., 2022, section 24.2).</w:t>
      </w:r>
    </w:p>
    <w:p w14:paraId="573F3572" w14:textId="77777777" w:rsidR="00D55478" w:rsidRDefault="00C038B3" w:rsidP="00BF03F3">
      <w:pPr>
        <w:spacing w:after="120" w:line="360" w:lineRule="auto"/>
        <w:rPr>
          <w:rFonts w:ascii="Arial" w:hAnsi="Arial"/>
          <w:color w:val="000000"/>
          <w:kern w:val="0"/>
          <w:sz w:val="22"/>
          <w:szCs w:val="22"/>
          <w:lang w:val="en-US" w:eastAsia="en-US"/>
          <w14:ligatures w14:val="none"/>
        </w:rPr>
      </w:pPr>
      <w:r w:rsidRPr="00C038B3">
        <w:rPr>
          <w:rFonts w:ascii="Arial" w:hAnsi="Arial"/>
          <w:color w:val="000000"/>
          <w:kern w:val="0"/>
          <w:sz w:val="22"/>
          <w:szCs w:val="22"/>
          <w:lang w:val="en-US" w:eastAsia="en-US"/>
          <w14:ligatures w14:val="none"/>
        </w:rPr>
        <w:t>If there is not enough oxygen, the glucose goes through glycolysis to generate lactate. The NAD+ is regenerated and the glycolysis continues to produce little ATP. The practical aspect for the nurse is glucose must be available for cell metabolism, and an elevated glucose level in the blood do</w:t>
      </w:r>
      <w:r w:rsidR="00BF03F3">
        <w:rPr>
          <w:rFonts w:ascii="Arial" w:hAnsi="Arial"/>
          <w:color w:val="000000"/>
          <w:kern w:val="0"/>
          <w:sz w:val="22"/>
          <w:szCs w:val="22"/>
          <w:lang w:val="en-US" w:eastAsia="en-US"/>
          <w14:ligatures w14:val="none"/>
        </w:rPr>
        <w:t>e</w:t>
      </w:r>
      <w:r w:rsidRPr="00C038B3">
        <w:rPr>
          <w:rFonts w:ascii="Arial" w:hAnsi="Arial"/>
          <w:color w:val="000000"/>
          <w:kern w:val="0"/>
          <w:sz w:val="22"/>
          <w:szCs w:val="22"/>
          <w:lang w:val="en-US" w:eastAsia="en-US"/>
          <w14:ligatures w14:val="none"/>
        </w:rPr>
        <w:t xml:space="preserve">s not guarantee that the cells are using the glucose adequately. </w:t>
      </w:r>
      <w:bookmarkStart w:id="1" w:name="Section5"/>
    </w:p>
    <w:p w14:paraId="1526EF74" w14:textId="77777777" w:rsidR="00D55478" w:rsidRDefault="008474B6" w:rsidP="00D55478">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Monitoring allows the nurse, GP and patient to evaluate management. A finger-prick meter measures capillary glucose at a given moment in time. An HbA1c test reflects blood glucose levels for approximately the previous three months. HbA1c can reveal sustained changes for the better or worse and can be used for long term </w:t>
      </w:r>
      <w:r w:rsidR="002969B8" w:rsidRPr="008474B6">
        <w:rPr>
          <w:rFonts w:ascii="Arial" w:hAnsi="Arial"/>
          <w:color w:val="000000"/>
          <w:kern w:val="0"/>
          <w:sz w:val="22"/>
          <w:szCs w:val="22"/>
          <w:lang w:val="en-US" w:eastAsia="en-US"/>
          <w14:ligatures w14:val="none"/>
        </w:rPr>
        <w:t>management but</w:t>
      </w:r>
      <w:r w:rsidRPr="008474B6">
        <w:rPr>
          <w:rFonts w:ascii="Arial" w:hAnsi="Arial"/>
          <w:color w:val="000000"/>
          <w:kern w:val="0"/>
          <w:sz w:val="22"/>
          <w:szCs w:val="22"/>
          <w:lang w:val="en-US" w:eastAsia="en-US"/>
          <w14:ligatures w14:val="none"/>
        </w:rPr>
        <w:t xml:space="preserve"> can conceal the daily variation in glucose levels (both highs and lows) and spikes. There are several conditions which effect the interpretation of HbA1c, for example anemia and changes in the turnover of red blood cells (CDC, 2024a).</w:t>
      </w:r>
    </w:p>
    <w:p w14:paraId="54E76879" w14:textId="77777777" w:rsidR="00D55478" w:rsidRDefault="008474B6" w:rsidP="00D55478">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According to NICE, HbA1c tests should be repeated every 3-6 months until stable and then every 6-12 months thereafter. Individual targets should be agreed based on treatment, the risks of hypoglycemia and the person's overall health. Offering finger-prick testing at home to a person with type 2 diabetes should be based on factors such as treatment with insulin, risk of hypoglycemia, driving and/or pregnancy. Short-term testing may be used to monitor changes when starting a course of corticosteroids or when trying to confirm hypoglycemia (NICE, 2026).</w:t>
      </w:r>
    </w:p>
    <w:p w14:paraId="11BC06E9" w14:textId="77777777" w:rsidR="00D55478" w:rsidRDefault="008474B6" w:rsidP="00D55478">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For most adults, particularly if they are being treated with lifestyle changes or a regimen which does not put them at risk of hypoglycemia, NICE (2026) recommends that HbA1c should be less than or equal to 48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 xml:space="preserve">/mol (6.5%). If a person is being treated with a medication which increases the risk of hypoglycemia, a less strict target of HbA1c of 53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/mol (7.0%) may be more appropriate (NICE, 2026). These are targets for the long term and not for finger-prick tests.</w:t>
      </w:r>
    </w:p>
    <w:p w14:paraId="395FE0AC" w14:textId="77777777" w:rsidR="00A17EF9" w:rsidRDefault="008474B6" w:rsidP="00A17EF9">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The nurse should teach appropriate testing and what to do with results.  They should explain to record the results in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 xml:space="preserve">/L and time, and relate the results to meals, medications, and </w:t>
      </w:r>
      <w:r w:rsidRPr="008474B6">
        <w:rPr>
          <w:rFonts w:ascii="Arial" w:hAnsi="Arial"/>
          <w:color w:val="000000"/>
          <w:kern w:val="0"/>
          <w:sz w:val="22"/>
          <w:szCs w:val="22"/>
          <w:lang w:val="en-US" w:eastAsia="en-US"/>
          <w14:ligatures w14:val="none"/>
        </w:rPr>
        <w:lastRenderedPageBreak/>
        <w:t>activities.</w:t>
      </w:r>
      <w:r w:rsidR="00E77855">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Reviewing results over time and in the context of the patient is more useful than acting on a single, out-of-context result. For example, noting multiple high post-meal readings could prompt a discussion regarding the patient’s meal size and timing and dose of medication. The recurrence of low readings could prompt a different clinical conversation regarding the patient’s risk for hypoglycemia. Numerical data is only useful when it facilitates a clinical conversation</w:t>
      </w:r>
      <w:r w:rsidR="00C668E5">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(NICE, 2026</w:t>
      </w:r>
      <w:r w:rsidR="00D55478">
        <w:rPr>
          <w:rFonts w:ascii="Arial" w:hAnsi="Arial"/>
          <w:color w:val="000000"/>
          <w:kern w:val="0"/>
          <w:sz w:val="22"/>
          <w:szCs w:val="22"/>
          <w:lang w:val="en-US" w:eastAsia="en-US"/>
          <w14:ligatures w14:val="none"/>
        </w:rPr>
        <w:t>)</w:t>
      </w:r>
    </w:p>
    <w:p w14:paraId="4843B56A" w14:textId="77777777" w:rsidR="00A17EF9" w:rsidRDefault="008474B6" w:rsidP="00A17EF9">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Continuous glucose monitoring m</w:t>
      </w:r>
      <w:r w:rsidR="006A00D2">
        <w:rPr>
          <w:rFonts w:ascii="Arial" w:hAnsi="Arial"/>
          <w:color w:val="000000"/>
          <w:kern w:val="0"/>
          <w:sz w:val="22"/>
          <w:szCs w:val="22"/>
          <w:lang w:val="en-US" w:eastAsia="en-US"/>
          <w14:ligatures w14:val="none"/>
        </w:rPr>
        <w:t>ea</w:t>
      </w:r>
      <w:r w:rsidRPr="008474B6">
        <w:rPr>
          <w:rFonts w:ascii="Arial" w:hAnsi="Arial"/>
          <w:color w:val="000000"/>
          <w:kern w:val="0"/>
          <w:sz w:val="22"/>
          <w:szCs w:val="22"/>
          <w:lang w:val="en-US" w:eastAsia="en-US"/>
          <w14:ligatures w14:val="none"/>
        </w:rPr>
        <w:t xml:space="preserve">sures the level of glucose in the fluid between the body’s cells. This type of monitoring can provide glucose readings over time and show how long a patient is within a desired range. </w:t>
      </w:r>
      <w:proofErr w:type="spellStart"/>
      <w:r w:rsidRPr="008474B6">
        <w:rPr>
          <w:rFonts w:ascii="Arial" w:hAnsi="Arial"/>
          <w:color w:val="000000"/>
          <w:kern w:val="0"/>
          <w:sz w:val="22"/>
          <w:szCs w:val="22"/>
          <w:lang w:val="en-US" w:eastAsia="en-US"/>
          <w14:ligatures w14:val="none"/>
        </w:rPr>
        <w:t>Jancev</w:t>
      </w:r>
      <w:proofErr w:type="spellEnd"/>
      <w:r w:rsidRPr="008474B6">
        <w:rPr>
          <w:rFonts w:ascii="Arial" w:hAnsi="Arial"/>
          <w:color w:val="000000"/>
          <w:kern w:val="0"/>
          <w:sz w:val="22"/>
          <w:szCs w:val="22"/>
          <w:lang w:val="en-US" w:eastAsia="en-US"/>
          <w14:ligatures w14:val="none"/>
        </w:rPr>
        <w:t xml:space="preserve"> et al. (2024) reported a 3.43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 xml:space="preserve">/mol decrease in A1C in a group of 1,248 adults from a 12-study pool in which continuous glucose monitoring was used instead of traditional finger stick readings. </w:t>
      </w:r>
      <w:bookmarkStart w:id="2" w:name="Section6"/>
      <w:bookmarkEnd w:id="1"/>
    </w:p>
    <w:p w14:paraId="2F23940B" w14:textId="77777777" w:rsidR="00A17EF9" w:rsidRDefault="008474B6" w:rsidP="00A17EF9">
      <w:pPr>
        <w:spacing w:after="120" w:line="360" w:lineRule="auto"/>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Individuali</w:t>
      </w:r>
      <w:r w:rsidR="000266C4">
        <w:rPr>
          <w:rFonts w:ascii="Arial" w:hAnsi="Arial"/>
          <w:color w:val="000000"/>
          <w:kern w:val="0"/>
          <w:sz w:val="22"/>
          <w:szCs w:val="22"/>
          <w:lang w:val="en-US" w:eastAsia="en-US"/>
          <w14:ligatures w14:val="none"/>
        </w:rPr>
        <w:t>s</w:t>
      </w:r>
      <w:r w:rsidRPr="008474B6">
        <w:rPr>
          <w:rFonts w:ascii="Arial" w:hAnsi="Arial"/>
          <w:color w:val="000000"/>
          <w:kern w:val="0"/>
          <w:sz w:val="22"/>
          <w:szCs w:val="22"/>
          <w:lang w:val="en-US" w:eastAsia="en-US"/>
          <w14:ligatures w14:val="none"/>
        </w:rPr>
        <w:t>ed</w:t>
      </w:r>
      <w:proofErr w:type="spellEnd"/>
      <w:r w:rsidRPr="008474B6">
        <w:rPr>
          <w:rFonts w:ascii="Arial" w:hAnsi="Arial"/>
          <w:color w:val="000000"/>
          <w:kern w:val="0"/>
          <w:sz w:val="22"/>
          <w:szCs w:val="22"/>
          <w:lang w:val="en-US" w:eastAsia="en-US"/>
          <w14:ligatures w14:val="none"/>
        </w:rPr>
        <w:t xml:space="preserve"> dietary recommendations based on an assessment by a registered dietitian, if available, is best practice. If tools or resources are </w:t>
      </w:r>
      <w:r w:rsidR="00F213B5" w:rsidRPr="008474B6">
        <w:rPr>
          <w:rFonts w:ascii="Arial" w:hAnsi="Arial"/>
          <w:color w:val="000000"/>
          <w:kern w:val="0"/>
          <w:sz w:val="22"/>
          <w:szCs w:val="22"/>
          <w:lang w:val="en-US" w:eastAsia="en-US"/>
          <w14:ligatures w14:val="none"/>
        </w:rPr>
        <w:t>limited, beginning</w:t>
      </w:r>
      <w:r w:rsidRPr="008474B6">
        <w:rPr>
          <w:rFonts w:ascii="Arial" w:hAnsi="Arial"/>
          <w:color w:val="000000"/>
          <w:kern w:val="0"/>
          <w:sz w:val="22"/>
          <w:szCs w:val="22"/>
          <w:lang w:val="en-US" w:eastAsia="en-US"/>
          <w14:ligatures w14:val="none"/>
        </w:rPr>
        <w:t xml:space="preserve"> to eat fewer sugary drinks, more vegetables, beans and other legumes and whole grains and adjusting portion sizes of carbohydrates is advised. Davies et al (2022) state there is not a single best macronutrient ratio for all. They note that evidence suggests that early benefits of carbohydrate restriction may not be seen after longer periods of follow-up. At the surgery, focusing on changes to familiar meals is more practical and may better </w:t>
      </w:r>
      <w:r w:rsidR="009061A3" w:rsidRPr="008474B6">
        <w:rPr>
          <w:rFonts w:ascii="Arial" w:hAnsi="Arial"/>
          <w:color w:val="000000"/>
          <w:kern w:val="0"/>
          <w:sz w:val="22"/>
          <w:szCs w:val="22"/>
          <w:lang w:val="en-US" w:eastAsia="en-US"/>
          <w14:ligatures w14:val="none"/>
        </w:rPr>
        <w:t>ease</w:t>
      </w:r>
      <w:r w:rsidRPr="008474B6">
        <w:rPr>
          <w:rFonts w:ascii="Arial" w:hAnsi="Arial"/>
          <w:color w:val="000000"/>
          <w:kern w:val="0"/>
          <w:sz w:val="22"/>
          <w:szCs w:val="22"/>
          <w:lang w:val="en-US" w:eastAsia="en-US"/>
          <w14:ligatures w14:val="none"/>
        </w:rPr>
        <w:t xml:space="preserve"> behavior change, rather than prescribing an extremely restrictive diet.</w:t>
      </w:r>
    </w:p>
    <w:p w14:paraId="3D0410DD" w14:textId="77777777" w:rsidR="00A17EF9" w:rsidRDefault="008474B6" w:rsidP="00A17EF9">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For patients with overweight or obesity, supported weight loss improves insulin sensitivity.  However, remission should be discussed realistically. In the five-year direct extension, only 13% of assessed intervention participants achieved remission (Lean et al., 2024). While remission is achievable, the study points out the challenges in achieving and sustaining remission. Participation in the extension and follow-up also limits generalization to the whole patient population. The nurse should discuss weight management or remission services, check </w:t>
      </w:r>
      <w:r w:rsidR="006304D9" w:rsidRPr="008474B6">
        <w:rPr>
          <w:rFonts w:ascii="Arial" w:hAnsi="Arial"/>
          <w:color w:val="000000"/>
          <w:kern w:val="0"/>
          <w:sz w:val="22"/>
          <w:szCs w:val="22"/>
          <w:lang w:val="en-US" w:eastAsia="en-US"/>
          <w14:ligatures w14:val="none"/>
        </w:rPr>
        <w:t>eligibility,</w:t>
      </w:r>
      <w:r w:rsidRPr="008474B6">
        <w:rPr>
          <w:rFonts w:ascii="Arial" w:hAnsi="Arial"/>
          <w:color w:val="000000"/>
          <w:kern w:val="0"/>
          <w:sz w:val="22"/>
          <w:szCs w:val="22"/>
          <w:lang w:val="en-US" w:eastAsia="en-US"/>
          <w14:ligatures w14:val="none"/>
        </w:rPr>
        <w:t xml:space="preserve"> and request continued review. While remission has been achieved, close monitoring is still needed.</w:t>
      </w:r>
    </w:p>
    <w:p w14:paraId="310FADDC" w14:textId="77777777" w:rsidR="00A17EF9" w:rsidRDefault="008474B6" w:rsidP="00A17EF9">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Gradual increases in physical activity towards 150 minutes per week of moderate aerobic activity, with resistance exercise 2 or more days per week, is recommended. Regular exercise helps to increase muscle contraction, which increases glucose uptake, and helps to increase insulin sensitivity. Taking breaks to move throughout the day to help combat the effects of prolonged sitting is beneficial as well (</w:t>
      </w:r>
      <w:proofErr w:type="spellStart"/>
      <w:r w:rsidRPr="008474B6">
        <w:rPr>
          <w:rFonts w:ascii="Arial" w:hAnsi="Arial"/>
          <w:color w:val="000000"/>
          <w:kern w:val="0"/>
          <w:sz w:val="22"/>
          <w:szCs w:val="22"/>
          <w:lang w:val="en-US" w:eastAsia="en-US"/>
          <w14:ligatures w14:val="none"/>
        </w:rPr>
        <w:t>Kanaley</w:t>
      </w:r>
      <w:proofErr w:type="spellEnd"/>
      <w:r w:rsidRPr="008474B6">
        <w:rPr>
          <w:rFonts w:ascii="Arial" w:hAnsi="Arial"/>
          <w:color w:val="000000"/>
          <w:kern w:val="0"/>
          <w:sz w:val="22"/>
          <w:szCs w:val="22"/>
          <w:lang w:val="en-US" w:eastAsia="en-US"/>
          <w14:ligatures w14:val="none"/>
        </w:rPr>
        <w:t xml:space="preserve"> et al., 2022). </w:t>
      </w:r>
    </w:p>
    <w:p w14:paraId="781943BD" w14:textId="6F76866B" w:rsidR="008474B6" w:rsidRPr="008474B6" w:rsidRDefault="008474B6" w:rsidP="00A17EF9">
      <w:pPr>
        <w:spacing w:after="120" w:line="360" w:lineRule="auto"/>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Recommendations should be negotiated rather than delivered as a list of instructions. Person-centered approaches are recommended by Davies et al. (2022) due to the impacts of social situation. The nurse should assess food and employment costs, </w:t>
      </w:r>
      <w:r w:rsidR="00703A4B" w:rsidRPr="008474B6">
        <w:rPr>
          <w:rFonts w:ascii="Arial" w:hAnsi="Arial"/>
          <w:color w:val="000000"/>
          <w:kern w:val="0"/>
          <w:sz w:val="22"/>
          <w:szCs w:val="22"/>
          <w:lang w:val="en-US" w:eastAsia="en-US"/>
          <w14:ligatures w14:val="none"/>
        </w:rPr>
        <w:t>confidence,</w:t>
      </w:r>
      <w:r w:rsidRPr="008474B6">
        <w:rPr>
          <w:rFonts w:ascii="Arial" w:hAnsi="Arial"/>
          <w:color w:val="000000"/>
          <w:kern w:val="0"/>
          <w:sz w:val="22"/>
          <w:szCs w:val="22"/>
          <w:lang w:val="en-US" w:eastAsia="en-US"/>
          <w14:ligatures w14:val="none"/>
        </w:rPr>
        <w:t xml:space="preserve"> and </w:t>
      </w:r>
      <w:r w:rsidRPr="008474B6">
        <w:rPr>
          <w:rFonts w:ascii="Arial" w:hAnsi="Arial"/>
          <w:color w:val="000000"/>
          <w:kern w:val="0"/>
          <w:sz w:val="22"/>
          <w:szCs w:val="22"/>
          <w:lang w:val="en-US" w:eastAsia="en-US"/>
          <w14:ligatures w14:val="none"/>
        </w:rPr>
        <w:lastRenderedPageBreak/>
        <w:t xml:space="preserve">support, and agree one or two short term manageable goals. An example could be the patient setting a goal to go on a short walk after lunch on a pre-agreed day, reporting how manageable it was. Explaining the plan in their own words could clarify if </w:t>
      </w:r>
      <w:r w:rsidR="00662EAD" w:rsidRPr="008474B6">
        <w:rPr>
          <w:rFonts w:ascii="Arial" w:hAnsi="Arial"/>
          <w:color w:val="000000"/>
          <w:kern w:val="0"/>
          <w:sz w:val="22"/>
          <w:szCs w:val="22"/>
          <w:lang w:val="en-US" w:eastAsia="en-US"/>
          <w14:ligatures w14:val="none"/>
        </w:rPr>
        <w:t>they have</w:t>
      </w:r>
      <w:r w:rsidRPr="008474B6">
        <w:rPr>
          <w:rFonts w:ascii="Arial" w:hAnsi="Arial"/>
          <w:color w:val="000000"/>
          <w:kern w:val="0"/>
          <w:sz w:val="22"/>
          <w:szCs w:val="22"/>
          <w:lang w:val="en-US" w:eastAsia="en-US"/>
          <w14:ligatures w14:val="none"/>
        </w:rPr>
        <w:t xml:space="preserve"> misunderstood and possibly help justify if goals should be modified. Written information should reinforce the discussion. Follow-up may refer to relevant blood tests, glucose readings, the patient’s </w:t>
      </w:r>
      <w:r w:rsidR="00493E1B" w:rsidRPr="008474B6">
        <w:rPr>
          <w:rFonts w:ascii="Arial" w:hAnsi="Arial"/>
          <w:color w:val="000000"/>
          <w:kern w:val="0"/>
          <w:sz w:val="22"/>
          <w:szCs w:val="22"/>
          <w:lang w:val="en-US" w:eastAsia="en-US"/>
          <w14:ligatures w14:val="none"/>
        </w:rPr>
        <w:t>experience,</w:t>
      </w:r>
      <w:r w:rsidRPr="008474B6">
        <w:rPr>
          <w:rFonts w:ascii="Arial" w:hAnsi="Arial"/>
          <w:color w:val="000000"/>
          <w:kern w:val="0"/>
          <w:sz w:val="22"/>
          <w:szCs w:val="22"/>
          <w:lang w:val="en-US" w:eastAsia="en-US"/>
          <w14:ligatures w14:val="none"/>
        </w:rPr>
        <w:t xml:space="preserve"> and other agreed goals. Lifestyle measures should be used alongside, and in conjunction with, prescribed treatment. Regular reviews should support ongoing screening for complications (World Health Organization, 2024).</w:t>
      </w:r>
    </w:p>
    <w:bookmarkEnd w:id="2"/>
    <w:p w14:paraId="0BCBA7E6" w14:textId="7AA6E6D0" w:rsidR="008474B6" w:rsidRPr="008474B6" w:rsidRDefault="008474B6" w:rsidP="008474B6">
      <w:pPr>
        <w:keepNext/>
        <w:keepLines/>
        <w:spacing w:before="200" w:after="100" w:line="360" w:lineRule="auto"/>
        <w:outlineLvl w:val="0"/>
        <w:rPr>
          <w:rFonts w:ascii="Arial" w:hAnsi="Arial"/>
          <w:b/>
          <w:bCs/>
          <w:color w:val="000000"/>
          <w:kern w:val="0"/>
          <w:lang w:val="en-US" w:eastAsia="en-US"/>
          <w14:ligatures w14:val="none"/>
        </w:rPr>
      </w:pPr>
    </w:p>
    <w:p w14:paraId="1EF4DB6D" w14:textId="77777777"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bookmarkStart w:id="3" w:name="References"/>
      <w:r w:rsidRPr="008474B6">
        <w:rPr>
          <w:rFonts w:ascii="Arial" w:hAnsi="Arial"/>
          <w:color w:val="000000"/>
          <w:kern w:val="0"/>
          <w:sz w:val="22"/>
          <w:szCs w:val="22"/>
          <w:lang w:val="en-US" w:eastAsia="en-US"/>
          <w14:ligatures w14:val="none"/>
        </w:rPr>
        <w:t>Type 2 diabetes disrupts the integrated actions of insulin, glucagon and the tissues that use glucose. This can be explained to patients by focusing on the regulation of cellular ATP production. The practice nurse at the general practitioner (GP) surgery understands and integrates physiology with practical patient education. The practice nurse reviews glucose records and HbA1c, identifies when management should be revised and responds accordingly. Monitoring should be deliberate, goal-directed and reflect the aim of the self-management plan. Options for the integration of evidence-based changes to self-management in conjunction with active shared decision-making enhances the safety and effectiveness of self-management.</w:t>
      </w:r>
    </w:p>
    <w:p w14:paraId="3292B945" w14:textId="77777777" w:rsidR="008474B6" w:rsidRDefault="008474B6" w:rsidP="008474B6">
      <w:pPr>
        <w:spacing w:after="120" w:line="360" w:lineRule="auto"/>
        <w:jc w:val="both"/>
        <w:rPr>
          <w:rFonts w:ascii="Arial" w:hAnsi="Arial"/>
          <w:color w:val="000000"/>
          <w:kern w:val="0"/>
          <w:sz w:val="22"/>
          <w:szCs w:val="22"/>
          <w:lang w:val="en-US" w:eastAsia="en-US"/>
          <w14:ligatures w14:val="none"/>
        </w:rPr>
      </w:pPr>
    </w:p>
    <w:p w14:paraId="642721E5"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246B8CB8"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6A7A80F4"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5EA52986"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31740EEF"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2990966A"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035FFDE3"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32B08142"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29C87E35"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5B932A03"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4D7BB3DF"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62A633BF" w14:textId="77777777" w:rsidR="00F61A77" w:rsidRPr="008474B6" w:rsidRDefault="00F61A77" w:rsidP="008474B6">
      <w:pPr>
        <w:spacing w:after="120" w:line="360" w:lineRule="auto"/>
        <w:jc w:val="both"/>
        <w:rPr>
          <w:rFonts w:ascii="Arial" w:hAnsi="Arial"/>
          <w:color w:val="000000"/>
          <w:kern w:val="0"/>
          <w:sz w:val="22"/>
          <w:szCs w:val="22"/>
          <w:lang w:val="en-US" w:eastAsia="en-US"/>
          <w14:ligatures w14:val="none"/>
        </w:rPr>
      </w:pPr>
    </w:p>
    <w:p w14:paraId="41DA4948" w14:textId="41DEC2B3" w:rsidR="008474B6" w:rsidRPr="008474B6" w:rsidRDefault="008474B6" w:rsidP="008474B6">
      <w:pPr>
        <w:keepNext/>
        <w:keepLines/>
        <w:spacing w:before="200" w:after="100" w:line="360" w:lineRule="auto"/>
        <w:outlineLvl w:val="0"/>
        <w:rPr>
          <w:rFonts w:ascii="Arial" w:hAnsi="Arial"/>
          <w:b/>
          <w:bCs/>
          <w:color w:val="000000"/>
          <w:kern w:val="0"/>
          <w:lang w:val="en-US" w:eastAsia="en-US"/>
          <w14:ligatures w14:val="none"/>
        </w:rPr>
      </w:pPr>
      <w:r w:rsidRPr="008474B6">
        <w:rPr>
          <w:rFonts w:ascii="Arial" w:hAnsi="Arial"/>
          <w:b/>
          <w:bCs/>
          <w:color w:val="000000"/>
          <w:kern w:val="0"/>
          <w:lang w:val="en-US" w:eastAsia="en-US"/>
          <w14:ligatures w14:val="none"/>
        </w:rPr>
        <w:lastRenderedPageBreak/>
        <w:t>Reference</w:t>
      </w:r>
      <w:bookmarkEnd w:id="3"/>
      <w:r w:rsidR="00F61A77">
        <w:rPr>
          <w:rFonts w:ascii="Arial" w:hAnsi="Arial"/>
          <w:b/>
          <w:bCs/>
          <w:color w:val="000000"/>
          <w:kern w:val="0"/>
          <w:lang w:val="en-US" w:eastAsia="en-US"/>
          <w14:ligatures w14:val="none"/>
        </w:rPr>
        <w:t>s</w:t>
      </w:r>
    </w:p>
    <w:p w14:paraId="6E3A385A" w14:textId="03947B7F" w:rsid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Betts, J.G., Young, K.A., Wise, J.A., Johnson, E., Poe, B., Kruse, D.H., </w:t>
      </w:r>
      <w:proofErr w:type="spellStart"/>
      <w:r w:rsidRPr="008474B6">
        <w:rPr>
          <w:rFonts w:ascii="Arial" w:hAnsi="Arial"/>
          <w:color w:val="000000"/>
          <w:kern w:val="0"/>
          <w:sz w:val="22"/>
          <w:szCs w:val="22"/>
          <w:lang w:val="en-US" w:eastAsia="en-US"/>
          <w14:ligatures w14:val="none"/>
        </w:rPr>
        <w:t>Korol</w:t>
      </w:r>
      <w:proofErr w:type="spellEnd"/>
      <w:r w:rsidRPr="008474B6">
        <w:rPr>
          <w:rFonts w:ascii="Arial" w:hAnsi="Arial"/>
          <w:color w:val="000000"/>
          <w:kern w:val="0"/>
          <w:sz w:val="22"/>
          <w:szCs w:val="22"/>
          <w:lang w:val="en-US" w:eastAsia="en-US"/>
          <w14:ligatures w14:val="none"/>
        </w:rPr>
        <w:t xml:space="preserve">, O., Johnson, J.E., </w:t>
      </w:r>
      <w:proofErr w:type="spellStart"/>
      <w:r w:rsidRPr="008474B6">
        <w:rPr>
          <w:rFonts w:ascii="Arial" w:hAnsi="Arial"/>
          <w:color w:val="000000"/>
          <w:kern w:val="0"/>
          <w:sz w:val="22"/>
          <w:szCs w:val="22"/>
          <w:lang w:val="en-US" w:eastAsia="en-US"/>
          <w14:ligatures w14:val="none"/>
        </w:rPr>
        <w:t>Womble</w:t>
      </w:r>
      <w:proofErr w:type="spellEnd"/>
      <w:r w:rsidRPr="008474B6">
        <w:rPr>
          <w:rFonts w:ascii="Arial" w:hAnsi="Arial"/>
          <w:color w:val="000000"/>
          <w:kern w:val="0"/>
          <w:sz w:val="22"/>
          <w:szCs w:val="22"/>
          <w:lang w:val="en-US" w:eastAsia="en-US"/>
          <w14:ligatures w14:val="none"/>
        </w:rPr>
        <w:t xml:space="preserve">, M. and </w:t>
      </w:r>
      <w:proofErr w:type="spellStart"/>
      <w:r w:rsidRPr="008474B6">
        <w:rPr>
          <w:rFonts w:ascii="Arial" w:hAnsi="Arial"/>
          <w:color w:val="000000"/>
          <w:kern w:val="0"/>
          <w:sz w:val="22"/>
          <w:szCs w:val="22"/>
          <w:lang w:val="en-US" w:eastAsia="en-US"/>
          <w14:ligatures w14:val="none"/>
        </w:rPr>
        <w:t>DeSaix</w:t>
      </w:r>
      <w:proofErr w:type="spellEnd"/>
      <w:r w:rsidRPr="008474B6">
        <w:rPr>
          <w:rFonts w:ascii="Arial" w:hAnsi="Arial"/>
          <w:color w:val="000000"/>
          <w:kern w:val="0"/>
          <w:sz w:val="22"/>
          <w:szCs w:val="22"/>
          <w:lang w:val="en-US" w:eastAsia="en-US"/>
          <w14:ligatures w14:val="none"/>
        </w:rPr>
        <w:t xml:space="preserve">, P. (2022) </w:t>
      </w:r>
      <w:r w:rsidRPr="008474B6">
        <w:rPr>
          <w:rFonts w:ascii="Arial" w:hAnsi="Arial"/>
          <w:i/>
          <w:color w:val="000000"/>
          <w:kern w:val="0"/>
          <w:sz w:val="22"/>
          <w:szCs w:val="22"/>
          <w:lang w:val="en-US" w:eastAsia="en-US"/>
          <w14:ligatures w14:val="none"/>
        </w:rPr>
        <w:t>Anatomy and physiology 2e</w:t>
      </w:r>
      <w:r w:rsidRPr="008474B6">
        <w:rPr>
          <w:rFonts w:ascii="Arial" w:hAnsi="Arial"/>
          <w:color w:val="000000"/>
          <w:kern w:val="0"/>
          <w:sz w:val="22"/>
          <w:szCs w:val="22"/>
          <w:lang w:val="en-US" w:eastAsia="en-US"/>
          <w14:ligatures w14:val="none"/>
        </w:rPr>
        <w:t xml:space="preserve">. Houston, TX: </w:t>
      </w:r>
      <w:proofErr w:type="spellStart"/>
      <w:r w:rsidRPr="008474B6">
        <w:rPr>
          <w:rFonts w:ascii="Arial" w:hAnsi="Arial"/>
          <w:color w:val="000000"/>
          <w:kern w:val="0"/>
          <w:sz w:val="22"/>
          <w:szCs w:val="22"/>
          <w:lang w:val="en-US" w:eastAsia="en-US"/>
          <w14:ligatures w14:val="none"/>
        </w:rPr>
        <w:t>OpenStax</w:t>
      </w:r>
      <w:proofErr w:type="spellEnd"/>
      <w:r w:rsidRPr="008474B6">
        <w:rPr>
          <w:rFonts w:ascii="Arial" w:hAnsi="Arial"/>
          <w:color w:val="000000"/>
          <w:kern w:val="0"/>
          <w:sz w:val="22"/>
          <w:szCs w:val="22"/>
          <w:lang w:val="en-US" w:eastAsia="en-US"/>
          <w14:ligatures w14:val="none"/>
        </w:rPr>
        <w:t xml:space="preserve">. Available at: </w:t>
      </w:r>
      <w:hyperlink r:id="rId8" w:history="1">
        <w:r w:rsidRPr="008474B6">
          <w:rPr>
            <w:rFonts w:ascii="Arial" w:hAnsi="Arial"/>
            <w:color w:val="467886" w:themeColor="hyperlink"/>
            <w:kern w:val="0"/>
            <w:sz w:val="22"/>
            <w:szCs w:val="22"/>
            <w:u w:val="single"/>
            <w:lang w:val="en-US" w:eastAsia="en-US"/>
            <w14:ligatures w14:val="none"/>
          </w:rPr>
          <w:t>https://openstax.org/details/books/anatomy-and-physiology-2e</w:t>
        </w:r>
      </w:hyperlink>
      <w:r w:rsidRPr="008474B6">
        <w:rPr>
          <w:rFonts w:ascii="Arial" w:hAnsi="Arial"/>
          <w:color w:val="000000"/>
          <w:kern w:val="0"/>
          <w:sz w:val="22"/>
          <w:szCs w:val="22"/>
          <w:lang w:val="en-US" w:eastAsia="en-US"/>
          <w14:ligatures w14:val="none"/>
        </w:rPr>
        <w:t xml:space="preserve">   (Accessed </w:t>
      </w:r>
      <w:r w:rsidR="00185263">
        <w:rPr>
          <w:rFonts w:ascii="Arial" w:hAnsi="Arial"/>
          <w:color w:val="000000"/>
          <w:kern w:val="0"/>
          <w:sz w:val="22"/>
          <w:szCs w:val="22"/>
          <w:lang w:val="en-US" w:eastAsia="en-US"/>
          <w14:ligatures w14:val="none"/>
        </w:rPr>
        <w:t>15th</w:t>
      </w:r>
      <w:r w:rsidRPr="008474B6">
        <w:rPr>
          <w:rFonts w:ascii="Arial" w:hAnsi="Arial"/>
          <w:color w:val="000000"/>
          <w:kern w:val="0"/>
          <w:sz w:val="22"/>
          <w:szCs w:val="22"/>
          <w:lang w:val="en-US" w:eastAsia="en-US"/>
          <w14:ligatures w14:val="none"/>
        </w:rPr>
        <w:t xml:space="preserve"> October 2026).</w:t>
      </w:r>
    </w:p>
    <w:p w14:paraId="710C6742" w14:textId="77777777" w:rsidR="00185263" w:rsidRPr="008474B6" w:rsidRDefault="00185263" w:rsidP="00EC25B7">
      <w:pPr>
        <w:keepLines/>
        <w:spacing w:before="120" w:after="120" w:line="360" w:lineRule="auto"/>
        <w:ind w:left="360"/>
        <w:contextualSpacing/>
        <w:rPr>
          <w:rFonts w:ascii="Arial" w:hAnsi="Arial"/>
          <w:color w:val="000000"/>
          <w:kern w:val="0"/>
          <w:sz w:val="22"/>
          <w:szCs w:val="22"/>
          <w:lang w:val="en-US" w:eastAsia="en-US"/>
          <w14:ligatures w14:val="none"/>
        </w:rPr>
      </w:pPr>
    </w:p>
    <w:p w14:paraId="4A90D5CC" w14:textId="050B8CBE" w:rsidR="008474B6" w:rsidRP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(2024a) </w:t>
      </w:r>
      <w:r w:rsidRPr="008474B6">
        <w:rPr>
          <w:rFonts w:ascii="Arial" w:hAnsi="Arial"/>
          <w:i/>
          <w:color w:val="000000"/>
          <w:kern w:val="0"/>
          <w:sz w:val="22"/>
          <w:szCs w:val="22"/>
          <w:lang w:val="en-US" w:eastAsia="en-US"/>
          <w14:ligatures w14:val="none"/>
        </w:rPr>
        <w:t xml:space="preserve">A1C test for diabetes and </w:t>
      </w:r>
      <w:proofErr w:type="spellStart"/>
      <w:r w:rsidRPr="008474B6">
        <w:rPr>
          <w:rFonts w:ascii="Arial" w:hAnsi="Arial"/>
          <w:i/>
          <w:color w:val="000000"/>
          <w:kern w:val="0"/>
          <w:sz w:val="22"/>
          <w:szCs w:val="22"/>
          <w:lang w:val="en-US" w:eastAsia="en-US"/>
          <w14:ligatures w14:val="none"/>
        </w:rPr>
        <w:t>prediabetes</w:t>
      </w:r>
      <w:proofErr w:type="spellEnd"/>
      <w:r w:rsidRPr="008474B6">
        <w:rPr>
          <w:rFonts w:ascii="Arial" w:hAnsi="Arial"/>
          <w:color w:val="000000"/>
          <w:kern w:val="0"/>
          <w:sz w:val="22"/>
          <w:szCs w:val="22"/>
          <w:lang w:val="en-US" w:eastAsia="en-US"/>
          <w14:ligatures w14:val="none"/>
        </w:rPr>
        <w:t xml:space="preserve">. Available at: </w:t>
      </w:r>
      <w:hyperlink r:id="rId9" w:history="1">
        <w:r w:rsidRPr="008474B6">
          <w:rPr>
            <w:rFonts w:ascii="Arial" w:hAnsi="Arial"/>
            <w:color w:val="467886" w:themeColor="hyperlink"/>
            <w:kern w:val="0"/>
            <w:sz w:val="22"/>
            <w:szCs w:val="22"/>
            <w:u w:val="single"/>
            <w:lang w:val="en-US" w:eastAsia="en-US"/>
            <w14:ligatures w14:val="none"/>
          </w:rPr>
          <w:t>https://www.cdc.gov/diabetes/diabetes-testing/prediabetes-a1c-test.html</w:t>
        </w:r>
      </w:hyperlink>
      <w:r w:rsidRPr="008474B6">
        <w:rPr>
          <w:rFonts w:ascii="Arial" w:hAnsi="Arial"/>
          <w:color w:val="000000"/>
          <w:kern w:val="0"/>
          <w:sz w:val="22"/>
          <w:szCs w:val="22"/>
          <w:lang w:val="en-US" w:eastAsia="en-US"/>
          <w14:ligatures w14:val="none"/>
        </w:rPr>
        <w:t xml:space="preserve"> (Accessed</w:t>
      </w:r>
      <w:r w:rsidR="00185263">
        <w:rPr>
          <w:rFonts w:ascii="Arial" w:hAnsi="Arial"/>
          <w:color w:val="000000"/>
          <w:kern w:val="0"/>
          <w:sz w:val="22"/>
          <w:szCs w:val="22"/>
          <w:lang w:val="en-US" w:eastAsia="en-US"/>
          <w14:ligatures w14:val="none"/>
        </w:rPr>
        <w:t xml:space="preserve"> 15th </w:t>
      </w:r>
      <w:r w:rsidRPr="008474B6">
        <w:rPr>
          <w:rFonts w:ascii="Arial" w:hAnsi="Arial"/>
          <w:color w:val="000000"/>
          <w:kern w:val="0"/>
          <w:sz w:val="22"/>
          <w:szCs w:val="22"/>
          <w:lang w:val="en-US" w:eastAsia="en-US"/>
          <w14:ligatures w14:val="none"/>
        </w:rPr>
        <w:t>October 2026).</w:t>
      </w:r>
    </w:p>
    <w:p w14:paraId="5DA4689C" w14:textId="77777777" w:rsidR="00185263" w:rsidRDefault="00185263" w:rsidP="00185263">
      <w:pPr>
        <w:keepLines/>
        <w:spacing w:before="120" w:after="120" w:line="360" w:lineRule="auto"/>
        <w:contextualSpacing/>
        <w:rPr>
          <w:rFonts w:ascii="Arial" w:hAnsi="Arial"/>
          <w:color w:val="000000"/>
          <w:kern w:val="0"/>
          <w:sz w:val="22"/>
          <w:szCs w:val="22"/>
          <w:lang w:val="en-US" w:eastAsia="en-US"/>
          <w14:ligatures w14:val="none"/>
        </w:rPr>
      </w:pPr>
    </w:p>
    <w:p w14:paraId="31B3A1D7" w14:textId="6C2260EC" w:rsidR="00185263" w:rsidRP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(2024b). </w:t>
      </w:r>
      <w:r w:rsidRPr="008474B6">
        <w:rPr>
          <w:rFonts w:ascii="Arial" w:hAnsi="Arial"/>
          <w:i/>
          <w:color w:val="000000"/>
          <w:kern w:val="0"/>
          <w:sz w:val="22"/>
          <w:szCs w:val="22"/>
          <w:lang w:val="en-US" w:eastAsia="en-US"/>
          <w14:ligatures w14:val="none"/>
        </w:rPr>
        <w:t>About insulin resistance and type 2 diabetes</w:t>
      </w:r>
      <w:r w:rsidRPr="008474B6">
        <w:rPr>
          <w:rFonts w:ascii="Arial" w:hAnsi="Arial"/>
          <w:color w:val="000000"/>
          <w:kern w:val="0"/>
          <w:sz w:val="22"/>
          <w:szCs w:val="22"/>
          <w:lang w:val="en-US" w:eastAsia="en-US"/>
          <w14:ligatures w14:val="none"/>
        </w:rPr>
        <w:t xml:space="preserve">. Available at: </w:t>
      </w:r>
      <w:hyperlink r:id="rId10" w:history="1">
        <w:r w:rsidRPr="008474B6">
          <w:rPr>
            <w:rFonts w:ascii="Arial" w:hAnsi="Arial"/>
            <w:color w:val="467886" w:themeColor="hyperlink"/>
            <w:kern w:val="0"/>
            <w:sz w:val="22"/>
            <w:szCs w:val="22"/>
            <w:u w:val="single"/>
            <w:lang w:val="en-US" w:eastAsia="en-US"/>
            <w14:ligatures w14:val="none"/>
          </w:rPr>
          <w:t>https://www.cdc.gov/diabetes/about/insulin-resistance-type-2-diabetes.html</w:t>
        </w:r>
      </w:hyperlink>
      <w:r w:rsidRPr="008474B6">
        <w:rPr>
          <w:rFonts w:ascii="Arial" w:hAnsi="Arial"/>
          <w:color w:val="000000"/>
          <w:kern w:val="0"/>
          <w:sz w:val="22"/>
          <w:szCs w:val="22"/>
          <w:lang w:val="en-US" w:eastAsia="en-US"/>
          <w14:ligatures w14:val="none"/>
        </w:rPr>
        <w:t xml:space="preserve"> (Accessed</w:t>
      </w:r>
      <w:r w:rsidR="00185263">
        <w:rPr>
          <w:rFonts w:ascii="Arial" w:hAnsi="Arial"/>
          <w:color w:val="000000"/>
          <w:kern w:val="0"/>
          <w:sz w:val="22"/>
          <w:szCs w:val="22"/>
          <w:lang w:val="en-US" w:eastAsia="en-US"/>
          <w14:ligatures w14:val="none"/>
        </w:rPr>
        <w:t xml:space="preserve"> 15th </w:t>
      </w:r>
      <w:r w:rsidRPr="008474B6">
        <w:rPr>
          <w:rFonts w:ascii="Arial" w:hAnsi="Arial"/>
          <w:color w:val="000000"/>
          <w:kern w:val="0"/>
          <w:sz w:val="22"/>
          <w:szCs w:val="22"/>
          <w:lang w:val="en-US" w:eastAsia="en-US"/>
          <w14:ligatures w14:val="none"/>
        </w:rPr>
        <w:t>October 2026)</w:t>
      </w:r>
    </w:p>
    <w:p w14:paraId="0FC764E0" w14:textId="77777777" w:rsidR="00185263" w:rsidRDefault="00185263" w:rsidP="00185263">
      <w:pPr>
        <w:keepLines/>
        <w:spacing w:before="120" w:after="120" w:line="360" w:lineRule="auto"/>
        <w:contextualSpacing/>
        <w:rPr>
          <w:rFonts w:ascii="Arial" w:hAnsi="Arial"/>
          <w:color w:val="000000"/>
          <w:kern w:val="0"/>
          <w:sz w:val="22"/>
          <w:szCs w:val="22"/>
          <w:lang w:val="en-US" w:eastAsia="en-US"/>
          <w14:ligatures w14:val="none"/>
        </w:rPr>
      </w:pPr>
    </w:p>
    <w:p w14:paraId="252E7126" w14:textId="682CCD75" w:rsidR="00185263"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(2024c) </w:t>
      </w:r>
      <w:r w:rsidRPr="008474B6">
        <w:rPr>
          <w:rFonts w:ascii="Arial" w:hAnsi="Arial"/>
          <w:i/>
          <w:color w:val="000000"/>
          <w:kern w:val="0"/>
          <w:sz w:val="22"/>
          <w:szCs w:val="22"/>
          <w:lang w:val="en-US" w:eastAsia="en-US"/>
          <w14:ligatures w14:val="none"/>
        </w:rPr>
        <w:t>Diabetes and smoking</w:t>
      </w:r>
      <w:r w:rsidRPr="008474B6">
        <w:rPr>
          <w:rFonts w:ascii="Arial" w:hAnsi="Arial"/>
          <w:color w:val="000000"/>
          <w:kern w:val="0"/>
          <w:sz w:val="22"/>
          <w:szCs w:val="22"/>
          <w:lang w:val="en-US" w:eastAsia="en-US"/>
          <w14:ligatures w14:val="none"/>
        </w:rPr>
        <w:t xml:space="preserve">. Available at: </w:t>
      </w:r>
      <w:hyperlink r:id="rId11" w:history="1">
        <w:r w:rsidRPr="008474B6">
          <w:rPr>
            <w:rFonts w:ascii="Arial" w:hAnsi="Arial"/>
            <w:color w:val="467886" w:themeColor="hyperlink"/>
            <w:kern w:val="0"/>
            <w:sz w:val="22"/>
            <w:szCs w:val="22"/>
            <w:u w:val="single"/>
            <w:lang w:val="en-US" w:eastAsia="en-US"/>
            <w14:ligatures w14:val="none"/>
          </w:rPr>
          <w:t>https://www.cdc.gov/diabetes/risk-factors/diabetes-and-smoking.html</w:t>
        </w:r>
      </w:hyperlink>
      <w:r w:rsidRPr="008474B6">
        <w:rPr>
          <w:rFonts w:ascii="Arial" w:hAnsi="Arial"/>
          <w:color w:val="000000"/>
          <w:kern w:val="0"/>
          <w:sz w:val="22"/>
          <w:szCs w:val="22"/>
          <w:lang w:val="en-US" w:eastAsia="en-US"/>
          <w14:ligatures w14:val="none"/>
        </w:rPr>
        <w:t xml:space="preserve"> (Accesse</w:t>
      </w:r>
      <w:r w:rsidR="00C607DA">
        <w:rPr>
          <w:rFonts w:ascii="Arial" w:hAnsi="Arial"/>
          <w:color w:val="000000"/>
          <w:kern w:val="0"/>
          <w:sz w:val="22"/>
          <w:szCs w:val="22"/>
          <w:lang w:val="en-US" w:eastAsia="en-US"/>
          <w14:ligatures w14:val="none"/>
        </w:rPr>
        <w:t xml:space="preserve">d </w:t>
      </w:r>
      <w:proofErr w:type="spellStart"/>
      <w:r w:rsidR="00C607DA">
        <w:rPr>
          <w:rFonts w:ascii="Arial" w:hAnsi="Arial"/>
          <w:color w:val="000000"/>
          <w:kern w:val="0"/>
          <w:sz w:val="22"/>
          <w:szCs w:val="22"/>
          <w:lang w:val="en-US" w:eastAsia="en-US"/>
          <w14:ligatures w14:val="none"/>
        </w:rPr>
        <w:t>17th</w:t>
      </w:r>
      <w:r w:rsidRPr="008474B6">
        <w:rPr>
          <w:rFonts w:ascii="Arial" w:hAnsi="Arial"/>
          <w:color w:val="000000"/>
          <w:kern w:val="0"/>
          <w:sz w:val="22"/>
          <w:szCs w:val="22"/>
          <w:lang w:val="en-US" w:eastAsia="en-US"/>
          <w14:ligatures w14:val="none"/>
        </w:rPr>
        <w:t>October</w:t>
      </w:r>
      <w:proofErr w:type="spellEnd"/>
      <w:r w:rsidRPr="008474B6">
        <w:rPr>
          <w:rFonts w:ascii="Arial" w:hAnsi="Arial"/>
          <w:color w:val="000000"/>
          <w:kern w:val="0"/>
          <w:sz w:val="22"/>
          <w:szCs w:val="22"/>
          <w:lang w:val="en-US" w:eastAsia="en-US"/>
          <w14:ligatures w14:val="none"/>
        </w:rPr>
        <w:t xml:space="preserve"> 2026)</w:t>
      </w:r>
    </w:p>
    <w:p w14:paraId="7AE9494D" w14:textId="77777777" w:rsidR="00185263" w:rsidRDefault="00185263" w:rsidP="00185263">
      <w:pPr>
        <w:keepLines/>
        <w:spacing w:before="120" w:after="120" w:line="360" w:lineRule="auto"/>
        <w:contextualSpacing/>
        <w:rPr>
          <w:rFonts w:ascii="Arial" w:hAnsi="Arial"/>
          <w:color w:val="000000"/>
          <w:kern w:val="0"/>
          <w:sz w:val="22"/>
          <w:szCs w:val="22"/>
          <w:lang w:val="en-US" w:eastAsia="en-US"/>
          <w14:ligatures w14:val="none"/>
        </w:rPr>
      </w:pPr>
    </w:p>
    <w:p w14:paraId="48C1406A" w14:textId="1F66BFC5" w:rsidR="008474B6" w:rsidRP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(2024d) </w:t>
      </w:r>
      <w:r w:rsidRPr="008474B6">
        <w:rPr>
          <w:rFonts w:ascii="Arial" w:hAnsi="Arial"/>
          <w:i/>
          <w:color w:val="000000"/>
          <w:kern w:val="0"/>
          <w:sz w:val="22"/>
          <w:szCs w:val="22"/>
          <w:lang w:val="en-US" w:eastAsia="en-US"/>
          <w14:ligatures w14:val="none"/>
        </w:rPr>
        <w:t>Diabetes risk factors</w:t>
      </w:r>
      <w:r w:rsidRPr="008474B6">
        <w:rPr>
          <w:rFonts w:ascii="Arial" w:hAnsi="Arial"/>
          <w:color w:val="000000"/>
          <w:kern w:val="0"/>
          <w:sz w:val="22"/>
          <w:szCs w:val="22"/>
          <w:lang w:val="en-US" w:eastAsia="en-US"/>
          <w14:ligatures w14:val="none"/>
        </w:rPr>
        <w:t xml:space="preserve">.                          Available at: </w:t>
      </w:r>
      <w:hyperlink r:id="rId12" w:history="1">
        <w:r w:rsidRPr="008474B6">
          <w:rPr>
            <w:rFonts w:ascii="Arial" w:hAnsi="Arial"/>
            <w:color w:val="467886" w:themeColor="hyperlink"/>
            <w:kern w:val="0"/>
            <w:sz w:val="22"/>
            <w:szCs w:val="22"/>
            <w:u w:val="single"/>
            <w:lang w:val="en-US" w:eastAsia="en-US"/>
            <w14:ligatures w14:val="none"/>
          </w:rPr>
          <w:t>https://www.cdc.gov/diabetes/risk-factors/index.html</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17th </w:t>
      </w:r>
      <w:r w:rsidRPr="008474B6">
        <w:rPr>
          <w:rFonts w:ascii="Arial" w:hAnsi="Arial"/>
          <w:color w:val="000000"/>
          <w:kern w:val="0"/>
          <w:sz w:val="22"/>
          <w:szCs w:val="22"/>
          <w:lang w:val="en-US" w:eastAsia="en-US"/>
          <w14:ligatures w14:val="none"/>
        </w:rPr>
        <w:t>October 2026)</w:t>
      </w:r>
    </w:p>
    <w:p w14:paraId="429B3762"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38D1111A" w14:textId="570D2DD2"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Davies, M.J., </w:t>
      </w:r>
      <w:proofErr w:type="spellStart"/>
      <w:r w:rsidRPr="008474B6">
        <w:rPr>
          <w:rFonts w:ascii="Arial" w:hAnsi="Arial"/>
          <w:color w:val="000000"/>
          <w:kern w:val="0"/>
          <w:sz w:val="22"/>
          <w:szCs w:val="22"/>
          <w:lang w:val="en-US" w:eastAsia="en-US"/>
          <w14:ligatures w14:val="none"/>
        </w:rPr>
        <w:t>Aroda</w:t>
      </w:r>
      <w:proofErr w:type="spellEnd"/>
      <w:r w:rsidRPr="008474B6">
        <w:rPr>
          <w:rFonts w:ascii="Arial" w:hAnsi="Arial"/>
          <w:color w:val="000000"/>
          <w:kern w:val="0"/>
          <w:sz w:val="22"/>
          <w:szCs w:val="22"/>
          <w:lang w:val="en-US" w:eastAsia="en-US"/>
          <w14:ligatures w14:val="none"/>
        </w:rPr>
        <w:t xml:space="preserve">, V.R., Collins, B.S., </w:t>
      </w:r>
      <w:proofErr w:type="spellStart"/>
      <w:r w:rsidRPr="008474B6">
        <w:rPr>
          <w:rFonts w:ascii="Arial" w:hAnsi="Arial"/>
          <w:color w:val="000000"/>
          <w:kern w:val="0"/>
          <w:sz w:val="22"/>
          <w:szCs w:val="22"/>
          <w:lang w:val="en-US" w:eastAsia="en-US"/>
          <w14:ligatures w14:val="none"/>
        </w:rPr>
        <w:t>Gabbay</w:t>
      </w:r>
      <w:proofErr w:type="spellEnd"/>
      <w:r w:rsidRPr="008474B6">
        <w:rPr>
          <w:rFonts w:ascii="Arial" w:hAnsi="Arial"/>
          <w:color w:val="000000"/>
          <w:kern w:val="0"/>
          <w:sz w:val="22"/>
          <w:szCs w:val="22"/>
          <w:lang w:val="en-US" w:eastAsia="en-US"/>
          <w14:ligatures w14:val="none"/>
        </w:rPr>
        <w:t xml:space="preserve">, R.A., Green, J., </w:t>
      </w:r>
      <w:proofErr w:type="spellStart"/>
      <w:r w:rsidRPr="008474B6">
        <w:rPr>
          <w:rFonts w:ascii="Arial" w:hAnsi="Arial"/>
          <w:color w:val="000000"/>
          <w:kern w:val="0"/>
          <w:sz w:val="22"/>
          <w:szCs w:val="22"/>
          <w:lang w:val="en-US" w:eastAsia="en-US"/>
          <w14:ligatures w14:val="none"/>
        </w:rPr>
        <w:t>Maruthur</w:t>
      </w:r>
      <w:proofErr w:type="spellEnd"/>
      <w:r w:rsidRPr="008474B6">
        <w:rPr>
          <w:rFonts w:ascii="Arial" w:hAnsi="Arial"/>
          <w:color w:val="000000"/>
          <w:kern w:val="0"/>
          <w:sz w:val="22"/>
          <w:szCs w:val="22"/>
          <w:lang w:val="en-US" w:eastAsia="en-US"/>
          <w14:ligatures w14:val="none"/>
        </w:rPr>
        <w:t xml:space="preserve">, N.M., Rosas, S.E., Del Prato, S., Mathieu, C., </w:t>
      </w:r>
      <w:proofErr w:type="spellStart"/>
      <w:r w:rsidRPr="008474B6">
        <w:rPr>
          <w:rFonts w:ascii="Arial" w:hAnsi="Arial"/>
          <w:color w:val="000000"/>
          <w:kern w:val="0"/>
          <w:sz w:val="22"/>
          <w:szCs w:val="22"/>
          <w:lang w:val="en-US" w:eastAsia="en-US"/>
          <w14:ligatures w14:val="none"/>
        </w:rPr>
        <w:t>Mingrone</w:t>
      </w:r>
      <w:proofErr w:type="spellEnd"/>
      <w:r w:rsidRPr="008474B6">
        <w:rPr>
          <w:rFonts w:ascii="Arial" w:hAnsi="Arial"/>
          <w:color w:val="000000"/>
          <w:kern w:val="0"/>
          <w:sz w:val="22"/>
          <w:szCs w:val="22"/>
          <w:lang w:val="en-US" w:eastAsia="en-US"/>
          <w14:ligatures w14:val="none"/>
        </w:rPr>
        <w:t xml:space="preserve">, G., </w:t>
      </w:r>
      <w:proofErr w:type="spellStart"/>
      <w:r w:rsidRPr="008474B6">
        <w:rPr>
          <w:rFonts w:ascii="Arial" w:hAnsi="Arial"/>
          <w:color w:val="000000"/>
          <w:kern w:val="0"/>
          <w:sz w:val="22"/>
          <w:szCs w:val="22"/>
          <w:lang w:val="en-US" w:eastAsia="en-US"/>
          <w14:ligatures w14:val="none"/>
        </w:rPr>
        <w:t>Rossing</w:t>
      </w:r>
      <w:proofErr w:type="spellEnd"/>
      <w:r w:rsidRPr="008474B6">
        <w:rPr>
          <w:rFonts w:ascii="Arial" w:hAnsi="Arial"/>
          <w:color w:val="000000"/>
          <w:kern w:val="0"/>
          <w:sz w:val="22"/>
          <w:szCs w:val="22"/>
          <w:lang w:val="en-US" w:eastAsia="en-US"/>
          <w14:ligatures w14:val="none"/>
        </w:rPr>
        <w:t xml:space="preserve">, P., </w:t>
      </w:r>
      <w:proofErr w:type="spellStart"/>
      <w:r w:rsidRPr="008474B6">
        <w:rPr>
          <w:rFonts w:ascii="Arial" w:hAnsi="Arial"/>
          <w:color w:val="000000"/>
          <w:kern w:val="0"/>
          <w:sz w:val="22"/>
          <w:szCs w:val="22"/>
          <w:lang w:val="en-US" w:eastAsia="en-US"/>
          <w14:ligatures w14:val="none"/>
        </w:rPr>
        <w:t>Tankova</w:t>
      </w:r>
      <w:proofErr w:type="spellEnd"/>
      <w:r w:rsidRPr="008474B6">
        <w:rPr>
          <w:rFonts w:ascii="Arial" w:hAnsi="Arial"/>
          <w:color w:val="000000"/>
          <w:kern w:val="0"/>
          <w:sz w:val="22"/>
          <w:szCs w:val="22"/>
          <w:lang w:val="en-US" w:eastAsia="en-US"/>
          <w14:ligatures w14:val="none"/>
        </w:rPr>
        <w:t xml:space="preserve">, T., </w:t>
      </w:r>
      <w:proofErr w:type="spellStart"/>
      <w:r w:rsidRPr="008474B6">
        <w:rPr>
          <w:rFonts w:ascii="Arial" w:hAnsi="Arial"/>
          <w:color w:val="000000"/>
          <w:kern w:val="0"/>
          <w:sz w:val="22"/>
          <w:szCs w:val="22"/>
          <w:lang w:val="en-US" w:eastAsia="en-US"/>
          <w14:ligatures w14:val="none"/>
        </w:rPr>
        <w:t>Tsapas</w:t>
      </w:r>
      <w:proofErr w:type="spellEnd"/>
      <w:r w:rsidRPr="008474B6">
        <w:rPr>
          <w:rFonts w:ascii="Arial" w:hAnsi="Arial"/>
          <w:color w:val="000000"/>
          <w:kern w:val="0"/>
          <w:sz w:val="22"/>
          <w:szCs w:val="22"/>
          <w:lang w:val="en-US" w:eastAsia="en-US"/>
          <w14:ligatures w14:val="none"/>
        </w:rPr>
        <w:t xml:space="preserve">, A. and </w:t>
      </w:r>
      <w:proofErr w:type="spellStart"/>
      <w:r w:rsidRPr="008474B6">
        <w:rPr>
          <w:rFonts w:ascii="Arial" w:hAnsi="Arial"/>
          <w:color w:val="000000"/>
          <w:kern w:val="0"/>
          <w:sz w:val="22"/>
          <w:szCs w:val="22"/>
          <w:lang w:val="en-US" w:eastAsia="en-US"/>
          <w14:ligatures w14:val="none"/>
        </w:rPr>
        <w:t>Buse</w:t>
      </w:r>
      <w:proofErr w:type="spellEnd"/>
      <w:r w:rsidRPr="008474B6">
        <w:rPr>
          <w:rFonts w:ascii="Arial" w:hAnsi="Arial"/>
          <w:color w:val="000000"/>
          <w:kern w:val="0"/>
          <w:sz w:val="22"/>
          <w:szCs w:val="22"/>
          <w:lang w:val="en-US" w:eastAsia="en-US"/>
          <w14:ligatures w14:val="none"/>
        </w:rPr>
        <w:t xml:space="preserve">, J.B. (2022) 'Management of </w:t>
      </w:r>
      <w:proofErr w:type="spellStart"/>
      <w:r w:rsidRPr="008474B6">
        <w:rPr>
          <w:rFonts w:ascii="Arial" w:hAnsi="Arial"/>
          <w:color w:val="000000"/>
          <w:kern w:val="0"/>
          <w:sz w:val="22"/>
          <w:szCs w:val="22"/>
          <w:lang w:val="en-US" w:eastAsia="en-US"/>
          <w14:ligatures w14:val="none"/>
        </w:rPr>
        <w:t>hyperglycaemia</w:t>
      </w:r>
      <w:proofErr w:type="spellEnd"/>
      <w:r w:rsidRPr="008474B6">
        <w:rPr>
          <w:rFonts w:ascii="Arial" w:hAnsi="Arial"/>
          <w:color w:val="000000"/>
          <w:kern w:val="0"/>
          <w:sz w:val="22"/>
          <w:szCs w:val="22"/>
          <w:lang w:val="en-US" w:eastAsia="en-US"/>
          <w14:ligatures w14:val="none"/>
        </w:rPr>
        <w:t xml:space="preserve"> in type 2 diabetes, 2022. A consensus report by the American Diabetes Association (ADA) and the European Association for the Study of Diabetes (EASD)', </w:t>
      </w:r>
      <w:proofErr w:type="spellStart"/>
      <w:r w:rsidRPr="008474B6">
        <w:rPr>
          <w:rFonts w:ascii="Arial" w:hAnsi="Arial"/>
          <w:i/>
          <w:color w:val="000000"/>
          <w:kern w:val="0"/>
          <w:sz w:val="22"/>
          <w:szCs w:val="22"/>
          <w:lang w:val="en-US" w:eastAsia="en-US"/>
          <w14:ligatures w14:val="none"/>
        </w:rPr>
        <w:t>Diabetologia</w:t>
      </w:r>
      <w:proofErr w:type="spellEnd"/>
      <w:r w:rsidRPr="008474B6">
        <w:rPr>
          <w:rFonts w:ascii="Arial" w:hAnsi="Arial"/>
          <w:color w:val="000000"/>
          <w:kern w:val="0"/>
          <w:sz w:val="22"/>
          <w:szCs w:val="22"/>
          <w:lang w:val="en-US" w:eastAsia="en-US"/>
          <w14:ligatures w14:val="none"/>
        </w:rPr>
        <w:t xml:space="preserve">, 65(12), pp. 1925-1966                                                Available at: </w:t>
      </w:r>
      <w:hyperlink r:id="rId13" w:history="1">
        <w:r w:rsidRPr="008474B6">
          <w:rPr>
            <w:rFonts w:ascii="Arial" w:hAnsi="Arial"/>
            <w:color w:val="467886" w:themeColor="hyperlink"/>
            <w:kern w:val="0"/>
            <w:sz w:val="22"/>
            <w:szCs w:val="22"/>
            <w:u w:val="single"/>
            <w:lang w:val="en-US" w:eastAsia="en-US"/>
            <w14:ligatures w14:val="none"/>
          </w:rPr>
          <w:t>https://doi.org/10.1007/s00125-022-05787-2</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17th </w:t>
      </w:r>
      <w:r w:rsidRPr="008474B6">
        <w:rPr>
          <w:rFonts w:ascii="Arial" w:hAnsi="Arial"/>
          <w:color w:val="000000"/>
          <w:kern w:val="0"/>
          <w:sz w:val="22"/>
          <w:szCs w:val="22"/>
          <w:lang w:val="en-US" w:eastAsia="en-US"/>
          <w14:ligatures w14:val="none"/>
        </w:rPr>
        <w:t>October 2026).</w:t>
      </w:r>
    </w:p>
    <w:p w14:paraId="4789F02E" w14:textId="77777777" w:rsidR="008474B6" w:rsidRPr="008474B6" w:rsidRDefault="008474B6" w:rsidP="00EC25B7">
      <w:pPr>
        <w:keepLines/>
        <w:spacing w:before="120" w:after="120" w:line="360" w:lineRule="auto"/>
        <w:ind w:left="720"/>
        <w:contextualSpacing/>
        <w:rPr>
          <w:rFonts w:ascii="Arial" w:hAnsi="Arial"/>
          <w:color w:val="000000"/>
          <w:kern w:val="0"/>
          <w:sz w:val="22"/>
          <w:szCs w:val="22"/>
          <w:lang w:val="en-US" w:eastAsia="en-US"/>
          <w14:ligatures w14:val="none"/>
        </w:rPr>
      </w:pPr>
    </w:p>
    <w:p w14:paraId="11CFF778" w14:textId="6F54B206"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Hantzidiamantis</w:t>
      </w:r>
      <w:proofErr w:type="spellEnd"/>
      <w:r w:rsidRPr="008474B6">
        <w:rPr>
          <w:rFonts w:ascii="Arial" w:hAnsi="Arial"/>
          <w:color w:val="000000"/>
          <w:kern w:val="0"/>
          <w:sz w:val="22"/>
          <w:szCs w:val="22"/>
          <w:lang w:val="en-US" w:eastAsia="en-US"/>
          <w14:ligatures w14:val="none"/>
        </w:rPr>
        <w:t xml:space="preserve">, P.J., </w:t>
      </w:r>
      <w:proofErr w:type="spellStart"/>
      <w:r w:rsidRPr="008474B6">
        <w:rPr>
          <w:rFonts w:ascii="Arial" w:hAnsi="Arial"/>
          <w:color w:val="000000"/>
          <w:kern w:val="0"/>
          <w:sz w:val="22"/>
          <w:szCs w:val="22"/>
          <w:lang w:val="en-US" w:eastAsia="en-US"/>
          <w14:ligatures w14:val="none"/>
        </w:rPr>
        <w:t>Awosika</w:t>
      </w:r>
      <w:proofErr w:type="spellEnd"/>
      <w:r w:rsidRPr="008474B6">
        <w:rPr>
          <w:rFonts w:ascii="Arial" w:hAnsi="Arial"/>
          <w:color w:val="000000"/>
          <w:kern w:val="0"/>
          <w:sz w:val="22"/>
          <w:szCs w:val="22"/>
          <w:lang w:val="en-US" w:eastAsia="en-US"/>
          <w14:ligatures w14:val="none"/>
        </w:rPr>
        <w:t xml:space="preserve">, A.O. and </w:t>
      </w:r>
      <w:proofErr w:type="spellStart"/>
      <w:r w:rsidRPr="008474B6">
        <w:rPr>
          <w:rFonts w:ascii="Arial" w:hAnsi="Arial"/>
          <w:color w:val="000000"/>
          <w:kern w:val="0"/>
          <w:sz w:val="22"/>
          <w:szCs w:val="22"/>
          <w:lang w:val="en-US" w:eastAsia="en-US"/>
          <w14:ligatures w14:val="none"/>
        </w:rPr>
        <w:t>Lappin</w:t>
      </w:r>
      <w:proofErr w:type="spellEnd"/>
      <w:r w:rsidRPr="008474B6">
        <w:rPr>
          <w:rFonts w:ascii="Arial" w:hAnsi="Arial"/>
          <w:color w:val="000000"/>
          <w:kern w:val="0"/>
          <w:sz w:val="22"/>
          <w:szCs w:val="22"/>
          <w:lang w:val="en-US" w:eastAsia="en-US"/>
          <w14:ligatures w14:val="none"/>
        </w:rPr>
        <w:t xml:space="preserve">, S.L. (2024) 'Physiology, glucose', in </w:t>
      </w:r>
      <w:r w:rsidRPr="008474B6">
        <w:rPr>
          <w:rFonts w:ascii="Arial" w:hAnsi="Arial"/>
          <w:i/>
          <w:color w:val="000000"/>
          <w:kern w:val="0"/>
          <w:sz w:val="22"/>
          <w:szCs w:val="22"/>
          <w:lang w:val="en-US" w:eastAsia="en-US"/>
          <w14:ligatures w14:val="none"/>
        </w:rPr>
        <w:t>StatPearls</w:t>
      </w:r>
      <w:r w:rsidRPr="008474B6">
        <w:rPr>
          <w:rFonts w:ascii="Arial" w:hAnsi="Arial"/>
          <w:color w:val="000000"/>
          <w:kern w:val="0"/>
          <w:sz w:val="22"/>
          <w:szCs w:val="22"/>
          <w:lang w:val="en-US" w:eastAsia="en-US"/>
          <w14:ligatures w14:val="none"/>
        </w:rPr>
        <w:t xml:space="preserve">. Treasure Island, FL: StatPearls Publishing. Available at: </w:t>
      </w:r>
      <w:hyperlink r:id="rId14" w:history="1">
        <w:r w:rsidRPr="008474B6">
          <w:rPr>
            <w:rFonts w:ascii="Arial" w:hAnsi="Arial"/>
            <w:color w:val="467886" w:themeColor="hyperlink"/>
            <w:kern w:val="0"/>
            <w:sz w:val="22"/>
            <w:szCs w:val="22"/>
            <w:u w:val="single"/>
            <w:lang w:val="en-US" w:eastAsia="en-US"/>
            <w14:ligatures w14:val="none"/>
          </w:rPr>
          <w:t>https://www.ncbi.nlm.nih.gov/books/NBK545201/</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18</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3AD1B868"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72557981" w14:textId="1193059E"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lastRenderedPageBreak/>
        <w:t>Jancev</w:t>
      </w:r>
      <w:proofErr w:type="spellEnd"/>
      <w:r w:rsidRPr="008474B6">
        <w:rPr>
          <w:rFonts w:ascii="Arial" w:hAnsi="Arial"/>
          <w:color w:val="000000"/>
          <w:kern w:val="0"/>
          <w:sz w:val="22"/>
          <w:szCs w:val="22"/>
          <w:lang w:val="en-US" w:eastAsia="en-US"/>
          <w14:ligatures w14:val="none"/>
        </w:rPr>
        <w:t xml:space="preserve">, M., </w:t>
      </w:r>
      <w:proofErr w:type="spellStart"/>
      <w:r w:rsidRPr="008474B6">
        <w:rPr>
          <w:rFonts w:ascii="Arial" w:hAnsi="Arial"/>
          <w:color w:val="000000"/>
          <w:kern w:val="0"/>
          <w:sz w:val="22"/>
          <w:szCs w:val="22"/>
          <w:lang w:val="en-US" w:eastAsia="en-US"/>
          <w14:ligatures w14:val="none"/>
        </w:rPr>
        <w:t>Vissers</w:t>
      </w:r>
      <w:proofErr w:type="spellEnd"/>
      <w:r w:rsidRPr="008474B6">
        <w:rPr>
          <w:rFonts w:ascii="Arial" w:hAnsi="Arial"/>
          <w:color w:val="000000"/>
          <w:kern w:val="0"/>
          <w:sz w:val="22"/>
          <w:szCs w:val="22"/>
          <w:lang w:val="en-US" w:eastAsia="en-US"/>
          <w14:ligatures w14:val="none"/>
        </w:rPr>
        <w:t xml:space="preserve">, T.A.C.M., </w:t>
      </w:r>
      <w:proofErr w:type="spellStart"/>
      <w:r w:rsidRPr="008474B6">
        <w:rPr>
          <w:rFonts w:ascii="Arial" w:hAnsi="Arial"/>
          <w:color w:val="000000"/>
          <w:kern w:val="0"/>
          <w:sz w:val="22"/>
          <w:szCs w:val="22"/>
          <w:lang w:val="en-US" w:eastAsia="en-US"/>
          <w14:ligatures w14:val="none"/>
        </w:rPr>
        <w:t>Visseren</w:t>
      </w:r>
      <w:proofErr w:type="spellEnd"/>
      <w:r w:rsidRPr="008474B6">
        <w:rPr>
          <w:rFonts w:ascii="Arial" w:hAnsi="Arial"/>
          <w:color w:val="000000"/>
          <w:kern w:val="0"/>
          <w:sz w:val="22"/>
          <w:szCs w:val="22"/>
          <w:lang w:val="en-US" w:eastAsia="en-US"/>
          <w14:ligatures w14:val="none"/>
        </w:rPr>
        <w:t xml:space="preserve">, F.L.J., van Bon, A.C., </w:t>
      </w:r>
      <w:proofErr w:type="spellStart"/>
      <w:r w:rsidRPr="008474B6">
        <w:rPr>
          <w:rFonts w:ascii="Arial" w:hAnsi="Arial"/>
          <w:color w:val="000000"/>
          <w:kern w:val="0"/>
          <w:sz w:val="22"/>
          <w:szCs w:val="22"/>
          <w:lang w:val="en-US" w:eastAsia="en-US"/>
          <w14:ligatures w14:val="none"/>
        </w:rPr>
        <w:t>Serné</w:t>
      </w:r>
      <w:proofErr w:type="spellEnd"/>
      <w:r w:rsidRPr="008474B6">
        <w:rPr>
          <w:rFonts w:ascii="Arial" w:hAnsi="Arial"/>
          <w:color w:val="000000"/>
          <w:kern w:val="0"/>
          <w:sz w:val="22"/>
          <w:szCs w:val="22"/>
          <w:lang w:val="en-US" w:eastAsia="en-US"/>
          <w14:ligatures w14:val="none"/>
        </w:rPr>
        <w:t xml:space="preserve">, E.H., DeVries, J.H., de </w:t>
      </w:r>
      <w:proofErr w:type="spellStart"/>
      <w:r w:rsidRPr="008474B6">
        <w:rPr>
          <w:rFonts w:ascii="Arial" w:hAnsi="Arial"/>
          <w:color w:val="000000"/>
          <w:kern w:val="0"/>
          <w:sz w:val="22"/>
          <w:szCs w:val="22"/>
          <w:lang w:val="en-US" w:eastAsia="en-US"/>
          <w14:ligatures w14:val="none"/>
        </w:rPr>
        <w:t>Valk</w:t>
      </w:r>
      <w:proofErr w:type="spellEnd"/>
      <w:r w:rsidRPr="008474B6">
        <w:rPr>
          <w:rFonts w:ascii="Arial" w:hAnsi="Arial"/>
          <w:color w:val="000000"/>
          <w:kern w:val="0"/>
          <w:sz w:val="22"/>
          <w:szCs w:val="22"/>
          <w:lang w:val="en-US" w:eastAsia="en-US"/>
          <w14:ligatures w14:val="none"/>
        </w:rPr>
        <w:t xml:space="preserve">, H.W. and van </w:t>
      </w:r>
      <w:proofErr w:type="spellStart"/>
      <w:r w:rsidRPr="008474B6">
        <w:rPr>
          <w:rFonts w:ascii="Arial" w:hAnsi="Arial"/>
          <w:color w:val="000000"/>
          <w:kern w:val="0"/>
          <w:sz w:val="22"/>
          <w:szCs w:val="22"/>
          <w:lang w:val="en-US" w:eastAsia="en-US"/>
          <w14:ligatures w14:val="none"/>
        </w:rPr>
        <w:t>Sloten</w:t>
      </w:r>
      <w:proofErr w:type="spellEnd"/>
      <w:r w:rsidRPr="008474B6">
        <w:rPr>
          <w:rFonts w:ascii="Arial" w:hAnsi="Arial"/>
          <w:color w:val="000000"/>
          <w:kern w:val="0"/>
          <w:sz w:val="22"/>
          <w:szCs w:val="22"/>
          <w:lang w:val="en-US" w:eastAsia="en-US"/>
          <w14:ligatures w14:val="none"/>
        </w:rPr>
        <w:t xml:space="preserve">, T.T. (2024) 'Continuous glucose monitoring in adults with type 2 diabetes: a systematic review and meta-analysis', </w:t>
      </w:r>
      <w:proofErr w:type="spellStart"/>
      <w:r w:rsidRPr="008474B6">
        <w:rPr>
          <w:rFonts w:ascii="Arial" w:hAnsi="Arial"/>
          <w:i/>
          <w:color w:val="000000"/>
          <w:kern w:val="0"/>
          <w:sz w:val="22"/>
          <w:szCs w:val="22"/>
          <w:lang w:val="en-US" w:eastAsia="en-US"/>
          <w14:ligatures w14:val="none"/>
        </w:rPr>
        <w:t>Diabetologia</w:t>
      </w:r>
      <w:proofErr w:type="spellEnd"/>
      <w:r w:rsidRPr="008474B6">
        <w:rPr>
          <w:rFonts w:ascii="Arial" w:hAnsi="Arial"/>
          <w:color w:val="000000"/>
          <w:kern w:val="0"/>
          <w:sz w:val="22"/>
          <w:szCs w:val="22"/>
          <w:lang w:val="en-US" w:eastAsia="en-US"/>
          <w14:ligatures w14:val="none"/>
        </w:rPr>
        <w:t xml:space="preserve">, 67(5), pp. 798-810. Available at: </w:t>
      </w:r>
      <w:hyperlink r:id="rId15" w:history="1">
        <w:r w:rsidRPr="008474B6">
          <w:rPr>
            <w:rFonts w:ascii="Arial" w:hAnsi="Arial"/>
            <w:color w:val="467886" w:themeColor="hyperlink"/>
            <w:kern w:val="0"/>
            <w:sz w:val="22"/>
            <w:szCs w:val="22"/>
            <w:u w:val="single"/>
            <w:lang w:val="en-US" w:eastAsia="en-US"/>
            <w14:ligatures w14:val="none"/>
          </w:rPr>
          <w:t>https://doi.org/10.1007/s00125-024-06107-6</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17</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6E49C11E" w14:textId="77777777" w:rsidR="00CD3CC4" w:rsidRPr="008474B6"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54232B92" w14:textId="6EB35F3E"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Kanaley</w:t>
      </w:r>
      <w:proofErr w:type="spellEnd"/>
      <w:r w:rsidRPr="008474B6">
        <w:rPr>
          <w:rFonts w:ascii="Arial" w:hAnsi="Arial"/>
          <w:color w:val="000000"/>
          <w:kern w:val="0"/>
          <w:sz w:val="22"/>
          <w:szCs w:val="22"/>
          <w:lang w:val="en-US" w:eastAsia="en-US"/>
          <w14:ligatures w14:val="none"/>
        </w:rPr>
        <w:t xml:space="preserve">, J.A., </w:t>
      </w:r>
      <w:proofErr w:type="spellStart"/>
      <w:r w:rsidRPr="008474B6">
        <w:rPr>
          <w:rFonts w:ascii="Arial" w:hAnsi="Arial"/>
          <w:color w:val="000000"/>
          <w:kern w:val="0"/>
          <w:sz w:val="22"/>
          <w:szCs w:val="22"/>
          <w:lang w:val="en-US" w:eastAsia="en-US"/>
          <w14:ligatures w14:val="none"/>
        </w:rPr>
        <w:t>Colberg</w:t>
      </w:r>
      <w:proofErr w:type="spellEnd"/>
      <w:r w:rsidRPr="008474B6">
        <w:rPr>
          <w:rFonts w:ascii="Arial" w:hAnsi="Arial"/>
          <w:color w:val="000000"/>
          <w:kern w:val="0"/>
          <w:sz w:val="22"/>
          <w:szCs w:val="22"/>
          <w:lang w:val="en-US" w:eastAsia="en-US"/>
          <w14:ligatures w14:val="none"/>
        </w:rPr>
        <w:t xml:space="preserve">, S.R., Corcoran, M.H., Malin, S.K., Rodriguez, N.R., </w:t>
      </w:r>
      <w:proofErr w:type="spellStart"/>
      <w:r w:rsidRPr="008474B6">
        <w:rPr>
          <w:rFonts w:ascii="Arial" w:hAnsi="Arial"/>
          <w:color w:val="000000"/>
          <w:kern w:val="0"/>
          <w:sz w:val="22"/>
          <w:szCs w:val="22"/>
          <w:lang w:val="en-US" w:eastAsia="en-US"/>
          <w14:ligatures w14:val="none"/>
        </w:rPr>
        <w:t>Crespo</w:t>
      </w:r>
      <w:proofErr w:type="spellEnd"/>
      <w:r w:rsidRPr="008474B6">
        <w:rPr>
          <w:rFonts w:ascii="Arial" w:hAnsi="Arial"/>
          <w:color w:val="000000"/>
          <w:kern w:val="0"/>
          <w:sz w:val="22"/>
          <w:szCs w:val="22"/>
          <w:lang w:val="en-US" w:eastAsia="en-US"/>
          <w14:ligatures w14:val="none"/>
        </w:rPr>
        <w:t xml:space="preserve">, C.J., </w:t>
      </w:r>
      <w:proofErr w:type="spellStart"/>
      <w:r w:rsidRPr="008474B6">
        <w:rPr>
          <w:rFonts w:ascii="Arial" w:hAnsi="Arial"/>
          <w:color w:val="000000"/>
          <w:kern w:val="0"/>
          <w:sz w:val="22"/>
          <w:szCs w:val="22"/>
          <w:lang w:val="en-US" w:eastAsia="en-US"/>
          <w14:ligatures w14:val="none"/>
        </w:rPr>
        <w:t>Kirwan</w:t>
      </w:r>
      <w:proofErr w:type="spellEnd"/>
      <w:r w:rsidRPr="008474B6">
        <w:rPr>
          <w:rFonts w:ascii="Arial" w:hAnsi="Arial"/>
          <w:color w:val="000000"/>
          <w:kern w:val="0"/>
          <w:sz w:val="22"/>
          <w:szCs w:val="22"/>
          <w:lang w:val="en-US" w:eastAsia="en-US"/>
          <w14:ligatures w14:val="none"/>
        </w:rPr>
        <w:t xml:space="preserve">, J.P. and </w:t>
      </w:r>
      <w:proofErr w:type="spellStart"/>
      <w:r w:rsidRPr="008474B6">
        <w:rPr>
          <w:rFonts w:ascii="Arial" w:hAnsi="Arial"/>
          <w:color w:val="000000"/>
          <w:kern w:val="0"/>
          <w:sz w:val="22"/>
          <w:szCs w:val="22"/>
          <w:lang w:val="en-US" w:eastAsia="en-US"/>
          <w14:ligatures w14:val="none"/>
        </w:rPr>
        <w:t>Zierath</w:t>
      </w:r>
      <w:proofErr w:type="spellEnd"/>
      <w:r w:rsidRPr="008474B6">
        <w:rPr>
          <w:rFonts w:ascii="Arial" w:hAnsi="Arial"/>
          <w:color w:val="000000"/>
          <w:kern w:val="0"/>
          <w:sz w:val="22"/>
          <w:szCs w:val="22"/>
          <w:lang w:val="en-US" w:eastAsia="en-US"/>
          <w14:ligatures w14:val="none"/>
        </w:rPr>
        <w:t xml:space="preserve">, J.R. (2022) 'Exercise/Physical Activity in Individuals with Type 2 Diabetes: A Consensus Statement from the American College of Sports Medicine', </w:t>
      </w:r>
      <w:r w:rsidRPr="008474B6">
        <w:rPr>
          <w:rFonts w:ascii="Arial" w:hAnsi="Arial"/>
          <w:i/>
          <w:color w:val="000000"/>
          <w:kern w:val="0"/>
          <w:sz w:val="22"/>
          <w:szCs w:val="22"/>
          <w:lang w:val="en-US" w:eastAsia="en-US"/>
          <w14:ligatures w14:val="none"/>
        </w:rPr>
        <w:t>Medicine &amp; Science in Sports &amp; Exercise</w:t>
      </w:r>
      <w:r w:rsidRPr="008474B6">
        <w:rPr>
          <w:rFonts w:ascii="Arial" w:hAnsi="Arial"/>
          <w:color w:val="000000"/>
          <w:kern w:val="0"/>
          <w:sz w:val="22"/>
          <w:szCs w:val="22"/>
          <w:lang w:val="en-US" w:eastAsia="en-US"/>
          <w14:ligatures w14:val="none"/>
        </w:rPr>
        <w:t xml:space="preserve">, 54(2), pp. 353-368. Available at: </w:t>
      </w:r>
      <w:hyperlink r:id="rId16" w:history="1">
        <w:r w:rsidRPr="008474B6">
          <w:rPr>
            <w:rFonts w:ascii="Arial" w:hAnsi="Arial"/>
            <w:color w:val="467886" w:themeColor="hyperlink"/>
            <w:kern w:val="0"/>
            <w:sz w:val="22"/>
            <w:szCs w:val="22"/>
            <w:u w:val="single"/>
            <w:lang w:val="en-US" w:eastAsia="en-US"/>
            <w14:ligatures w14:val="none"/>
          </w:rPr>
          <w:t>https://doi.org/10.1249/MSS.0000000000002800</w:t>
        </w:r>
      </w:hyperlink>
      <w:r w:rsidRPr="008474B6">
        <w:rPr>
          <w:rFonts w:ascii="Arial" w:hAnsi="Arial"/>
          <w:color w:val="000000"/>
          <w:kern w:val="0"/>
          <w:sz w:val="22"/>
          <w:szCs w:val="22"/>
          <w:lang w:val="en-US" w:eastAsia="en-US"/>
          <w14:ligatures w14:val="none"/>
        </w:rPr>
        <w:t xml:space="preserve"> (Accessed: </w:t>
      </w:r>
      <w:r w:rsidR="00CD3CC4">
        <w:rPr>
          <w:rFonts w:ascii="Arial" w:hAnsi="Arial"/>
          <w:color w:val="000000"/>
          <w:kern w:val="0"/>
          <w:sz w:val="22"/>
          <w:szCs w:val="22"/>
          <w:lang w:val="en-US" w:eastAsia="en-US"/>
          <w14:ligatures w14:val="none"/>
        </w:rPr>
        <w:t>18th</w:t>
      </w:r>
      <w:r w:rsidRPr="008474B6">
        <w:rPr>
          <w:rFonts w:ascii="Arial" w:hAnsi="Arial"/>
          <w:color w:val="000000"/>
          <w:kern w:val="0"/>
          <w:sz w:val="22"/>
          <w:szCs w:val="22"/>
          <w:lang w:val="en-US" w:eastAsia="en-US"/>
          <w14:ligatures w14:val="none"/>
        </w:rPr>
        <w:t xml:space="preserve"> October 2026)</w:t>
      </w:r>
    </w:p>
    <w:p w14:paraId="6F5D594C"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644B547B" w14:textId="431E482C"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Lean, M.E.J., Leslie, W.S., Barnes, A.C., </w:t>
      </w:r>
      <w:proofErr w:type="spellStart"/>
      <w:r w:rsidRPr="008474B6">
        <w:rPr>
          <w:rFonts w:ascii="Arial" w:hAnsi="Arial"/>
          <w:color w:val="000000"/>
          <w:kern w:val="0"/>
          <w:sz w:val="22"/>
          <w:szCs w:val="22"/>
          <w:lang w:val="en-US" w:eastAsia="en-US"/>
          <w14:ligatures w14:val="none"/>
        </w:rPr>
        <w:t>Brosnahan</w:t>
      </w:r>
      <w:proofErr w:type="spellEnd"/>
      <w:r w:rsidRPr="008474B6">
        <w:rPr>
          <w:rFonts w:ascii="Arial" w:hAnsi="Arial"/>
          <w:color w:val="000000"/>
          <w:kern w:val="0"/>
          <w:sz w:val="22"/>
          <w:szCs w:val="22"/>
          <w:lang w:val="en-US" w:eastAsia="en-US"/>
          <w14:ligatures w14:val="none"/>
        </w:rPr>
        <w:t xml:space="preserve">, N., </w:t>
      </w:r>
      <w:proofErr w:type="spellStart"/>
      <w:r w:rsidRPr="008474B6">
        <w:rPr>
          <w:rFonts w:ascii="Arial" w:hAnsi="Arial"/>
          <w:color w:val="000000"/>
          <w:kern w:val="0"/>
          <w:sz w:val="22"/>
          <w:szCs w:val="22"/>
          <w:lang w:val="en-US" w:eastAsia="en-US"/>
          <w14:ligatures w14:val="none"/>
        </w:rPr>
        <w:t>Thom</w:t>
      </w:r>
      <w:proofErr w:type="spellEnd"/>
      <w:r w:rsidRPr="008474B6">
        <w:rPr>
          <w:rFonts w:ascii="Arial" w:hAnsi="Arial"/>
          <w:color w:val="000000"/>
          <w:kern w:val="0"/>
          <w:sz w:val="22"/>
          <w:szCs w:val="22"/>
          <w:lang w:val="en-US" w:eastAsia="en-US"/>
          <w14:ligatures w14:val="none"/>
        </w:rPr>
        <w:t xml:space="preserve">, G., </w:t>
      </w:r>
      <w:proofErr w:type="spellStart"/>
      <w:r w:rsidRPr="008474B6">
        <w:rPr>
          <w:rFonts w:ascii="Arial" w:hAnsi="Arial"/>
          <w:color w:val="000000"/>
          <w:kern w:val="0"/>
          <w:sz w:val="22"/>
          <w:szCs w:val="22"/>
          <w:lang w:val="en-US" w:eastAsia="en-US"/>
          <w14:ligatures w14:val="none"/>
        </w:rPr>
        <w:t>McCombie</w:t>
      </w:r>
      <w:proofErr w:type="spellEnd"/>
      <w:r w:rsidRPr="008474B6">
        <w:rPr>
          <w:rFonts w:ascii="Arial" w:hAnsi="Arial"/>
          <w:color w:val="000000"/>
          <w:kern w:val="0"/>
          <w:sz w:val="22"/>
          <w:szCs w:val="22"/>
          <w:lang w:val="en-US" w:eastAsia="en-US"/>
          <w14:ligatures w14:val="none"/>
        </w:rPr>
        <w:t xml:space="preserve">, L., Kelly, T., Irvine, K., Peters, C., </w:t>
      </w:r>
      <w:proofErr w:type="spellStart"/>
      <w:r w:rsidRPr="008474B6">
        <w:rPr>
          <w:rFonts w:ascii="Arial" w:hAnsi="Arial"/>
          <w:color w:val="000000"/>
          <w:kern w:val="0"/>
          <w:sz w:val="22"/>
          <w:szCs w:val="22"/>
          <w:lang w:val="en-US" w:eastAsia="en-US"/>
          <w14:ligatures w14:val="none"/>
        </w:rPr>
        <w:t>Zhyzhneuskaya</w:t>
      </w:r>
      <w:proofErr w:type="spellEnd"/>
      <w:r w:rsidRPr="008474B6">
        <w:rPr>
          <w:rFonts w:ascii="Arial" w:hAnsi="Arial"/>
          <w:color w:val="000000"/>
          <w:kern w:val="0"/>
          <w:sz w:val="22"/>
          <w:szCs w:val="22"/>
          <w:lang w:val="en-US" w:eastAsia="en-US"/>
          <w14:ligatures w14:val="none"/>
        </w:rPr>
        <w:t xml:space="preserve">, S., Hollingsworth, K.G., </w:t>
      </w:r>
      <w:proofErr w:type="spellStart"/>
      <w:r w:rsidRPr="008474B6">
        <w:rPr>
          <w:rFonts w:ascii="Arial" w:hAnsi="Arial"/>
          <w:color w:val="000000"/>
          <w:kern w:val="0"/>
          <w:sz w:val="22"/>
          <w:szCs w:val="22"/>
          <w:lang w:val="en-US" w:eastAsia="en-US"/>
          <w14:ligatures w14:val="none"/>
        </w:rPr>
        <w:t>Adamson</w:t>
      </w:r>
      <w:proofErr w:type="spellEnd"/>
      <w:r w:rsidRPr="008474B6">
        <w:rPr>
          <w:rFonts w:ascii="Arial" w:hAnsi="Arial"/>
          <w:color w:val="000000"/>
          <w:kern w:val="0"/>
          <w:sz w:val="22"/>
          <w:szCs w:val="22"/>
          <w:lang w:val="en-US" w:eastAsia="en-US"/>
          <w14:ligatures w14:val="none"/>
        </w:rPr>
        <w:t xml:space="preserve">, A.J., </w:t>
      </w:r>
      <w:proofErr w:type="spellStart"/>
      <w:r w:rsidRPr="008474B6">
        <w:rPr>
          <w:rFonts w:ascii="Arial" w:hAnsi="Arial"/>
          <w:color w:val="000000"/>
          <w:kern w:val="0"/>
          <w:sz w:val="22"/>
          <w:szCs w:val="22"/>
          <w:lang w:val="en-US" w:eastAsia="en-US"/>
          <w14:ligatures w14:val="none"/>
        </w:rPr>
        <w:t>Sniehotta</w:t>
      </w:r>
      <w:proofErr w:type="spellEnd"/>
      <w:r w:rsidRPr="008474B6">
        <w:rPr>
          <w:rFonts w:ascii="Arial" w:hAnsi="Arial"/>
          <w:color w:val="000000"/>
          <w:kern w:val="0"/>
          <w:sz w:val="22"/>
          <w:szCs w:val="22"/>
          <w:lang w:val="en-US" w:eastAsia="en-US"/>
          <w14:ligatures w14:val="none"/>
        </w:rPr>
        <w:t xml:space="preserve">, F.F., Mathers, J.C., </w:t>
      </w:r>
      <w:proofErr w:type="spellStart"/>
      <w:r w:rsidRPr="008474B6">
        <w:rPr>
          <w:rFonts w:ascii="Arial" w:hAnsi="Arial"/>
          <w:color w:val="000000"/>
          <w:kern w:val="0"/>
          <w:sz w:val="22"/>
          <w:szCs w:val="22"/>
          <w:lang w:val="en-US" w:eastAsia="en-US"/>
          <w14:ligatures w14:val="none"/>
        </w:rPr>
        <w:t>McIlvenna</w:t>
      </w:r>
      <w:proofErr w:type="spellEnd"/>
      <w:r w:rsidRPr="008474B6">
        <w:rPr>
          <w:rFonts w:ascii="Arial" w:hAnsi="Arial"/>
          <w:color w:val="000000"/>
          <w:kern w:val="0"/>
          <w:sz w:val="22"/>
          <w:szCs w:val="22"/>
          <w:lang w:val="en-US" w:eastAsia="en-US"/>
          <w14:ligatures w14:val="none"/>
        </w:rPr>
        <w:t xml:space="preserve">, Y., Welsh, P., </w:t>
      </w:r>
      <w:proofErr w:type="spellStart"/>
      <w:r w:rsidRPr="008474B6">
        <w:rPr>
          <w:rFonts w:ascii="Arial" w:hAnsi="Arial"/>
          <w:color w:val="000000"/>
          <w:kern w:val="0"/>
          <w:sz w:val="22"/>
          <w:szCs w:val="22"/>
          <w:lang w:val="en-US" w:eastAsia="en-US"/>
          <w14:ligatures w14:val="none"/>
        </w:rPr>
        <w:t>McConnachie</w:t>
      </w:r>
      <w:proofErr w:type="spellEnd"/>
      <w:r w:rsidRPr="008474B6">
        <w:rPr>
          <w:rFonts w:ascii="Arial" w:hAnsi="Arial"/>
          <w:color w:val="000000"/>
          <w:kern w:val="0"/>
          <w:sz w:val="22"/>
          <w:szCs w:val="22"/>
          <w:lang w:val="en-US" w:eastAsia="en-US"/>
          <w14:ligatures w14:val="none"/>
        </w:rPr>
        <w:t xml:space="preserve">, A., McIntosh, A., </w:t>
      </w:r>
      <w:proofErr w:type="spellStart"/>
      <w:r w:rsidRPr="008474B6">
        <w:rPr>
          <w:rFonts w:ascii="Arial" w:hAnsi="Arial"/>
          <w:color w:val="000000"/>
          <w:kern w:val="0"/>
          <w:sz w:val="22"/>
          <w:szCs w:val="22"/>
          <w:lang w:val="en-US" w:eastAsia="en-US"/>
          <w14:ligatures w14:val="none"/>
        </w:rPr>
        <w:t>Sattar</w:t>
      </w:r>
      <w:proofErr w:type="spellEnd"/>
      <w:r w:rsidRPr="008474B6">
        <w:rPr>
          <w:rFonts w:ascii="Arial" w:hAnsi="Arial"/>
          <w:color w:val="000000"/>
          <w:kern w:val="0"/>
          <w:sz w:val="22"/>
          <w:szCs w:val="22"/>
          <w:lang w:val="en-US" w:eastAsia="en-US"/>
          <w14:ligatures w14:val="none"/>
        </w:rPr>
        <w:t xml:space="preserve">, N. and Taylor, R. (2024) '5-year follow-up of the </w:t>
      </w:r>
      <w:proofErr w:type="spellStart"/>
      <w:r w:rsidRPr="008474B6">
        <w:rPr>
          <w:rFonts w:ascii="Arial" w:hAnsi="Arial"/>
          <w:color w:val="000000"/>
          <w:kern w:val="0"/>
          <w:sz w:val="22"/>
          <w:szCs w:val="22"/>
          <w:lang w:val="en-US" w:eastAsia="en-US"/>
          <w14:ligatures w14:val="none"/>
        </w:rPr>
        <w:t>randomised</w:t>
      </w:r>
      <w:proofErr w:type="spellEnd"/>
      <w:r w:rsidRPr="008474B6">
        <w:rPr>
          <w:rFonts w:ascii="Arial" w:hAnsi="Arial"/>
          <w:color w:val="000000"/>
          <w:kern w:val="0"/>
          <w:sz w:val="22"/>
          <w:szCs w:val="22"/>
          <w:lang w:val="en-US" w:eastAsia="en-US"/>
          <w14:ligatures w14:val="none"/>
        </w:rPr>
        <w:t xml:space="preserve"> Diabetes Remission Clinical Trial (DiRECT) of continued support for weight loss maintenance in the UK: an extension study', </w:t>
      </w:r>
      <w:r w:rsidRPr="008474B6">
        <w:rPr>
          <w:rFonts w:ascii="Arial" w:hAnsi="Arial"/>
          <w:i/>
          <w:color w:val="000000"/>
          <w:kern w:val="0"/>
          <w:sz w:val="22"/>
          <w:szCs w:val="22"/>
          <w:lang w:val="en-US" w:eastAsia="en-US"/>
          <w14:ligatures w14:val="none"/>
        </w:rPr>
        <w:t>The Lancet Diabetes &amp; Endocrinology</w:t>
      </w:r>
      <w:r w:rsidRPr="008474B6">
        <w:rPr>
          <w:rFonts w:ascii="Arial" w:hAnsi="Arial"/>
          <w:color w:val="000000"/>
          <w:kern w:val="0"/>
          <w:sz w:val="22"/>
          <w:szCs w:val="22"/>
          <w:lang w:val="en-US" w:eastAsia="en-US"/>
          <w14:ligatures w14:val="none"/>
        </w:rPr>
        <w:t xml:space="preserve">, 12(4), pp. 233–246. Available at: </w:t>
      </w:r>
      <w:hyperlink r:id="rId17" w:history="1">
        <w:r w:rsidRPr="008474B6">
          <w:rPr>
            <w:rFonts w:ascii="Arial" w:hAnsi="Arial"/>
            <w:color w:val="467886" w:themeColor="hyperlink"/>
            <w:kern w:val="0"/>
            <w:sz w:val="22"/>
            <w:szCs w:val="22"/>
            <w:u w:val="single"/>
            <w:lang w:val="en-US" w:eastAsia="en-US"/>
            <w14:ligatures w14:val="none"/>
          </w:rPr>
          <w:t>https://doi.org/10.1016/S2213-8587(23)00385-6</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18</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r w:rsidR="00CD3CC4">
        <w:rPr>
          <w:rFonts w:ascii="Arial" w:hAnsi="Arial"/>
          <w:color w:val="000000"/>
          <w:kern w:val="0"/>
          <w:sz w:val="22"/>
          <w:szCs w:val="22"/>
          <w:lang w:val="en-US" w:eastAsia="en-US"/>
          <w14:ligatures w14:val="none"/>
        </w:rPr>
        <w:t>)</w:t>
      </w:r>
    </w:p>
    <w:p w14:paraId="1DBD0A79"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12D1324A" w14:textId="584E4B6F" w:rsidR="00CD3CC4"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Nakrani</w:t>
      </w:r>
      <w:proofErr w:type="spellEnd"/>
      <w:r w:rsidRPr="008474B6">
        <w:rPr>
          <w:rFonts w:ascii="Arial" w:hAnsi="Arial"/>
          <w:color w:val="000000"/>
          <w:kern w:val="0"/>
          <w:sz w:val="22"/>
          <w:szCs w:val="22"/>
          <w:lang w:val="en-US" w:eastAsia="en-US"/>
          <w14:ligatures w14:val="none"/>
        </w:rPr>
        <w:t xml:space="preserve">, M.N., </w:t>
      </w:r>
      <w:proofErr w:type="spellStart"/>
      <w:r w:rsidRPr="008474B6">
        <w:rPr>
          <w:rFonts w:ascii="Arial" w:hAnsi="Arial"/>
          <w:color w:val="000000"/>
          <w:kern w:val="0"/>
          <w:sz w:val="22"/>
          <w:szCs w:val="22"/>
          <w:lang w:val="en-US" w:eastAsia="en-US"/>
          <w14:ligatures w14:val="none"/>
        </w:rPr>
        <w:t>Wineland</w:t>
      </w:r>
      <w:proofErr w:type="spellEnd"/>
      <w:r w:rsidRPr="008474B6">
        <w:rPr>
          <w:rFonts w:ascii="Arial" w:hAnsi="Arial"/>
          <w:color w:val="000000"/>
          <w:kern w:val="0"/>
          <w:sz w:val="22"/>
          <w:szCs w:val="22"/>
          <w:lang w:val="en-US" w:eastAsia="en-US"/>
          <w14:ligatures w14:val="none"/>
        </w:rPr>
        <w:t xml:space="preserve">, R.H. and </w:t>
      </w:r>
      <w:proofErr w:type="spellStart"/>
      <w:r w:rsidRPr="008474B6">
        <w:rPr>
          <w:rFonts w:ascii="Arial" w:hAnsi="Arial"/>
          <w:color w:val="000000"/>
          <w:kern w:val="0"/>
          <w:sz w:val="22"/>
          <w:szCs w:val="22"/>
          <w:lang w:val="en-US" w:eastAsia="en-US"/>
          <w14:ligatures w14:val="none"/>
        </w:rPr>
        <w:t>Anjum</w:t>
      </w:r>
      <w:proofErr w:type="spellEnd"/>
      <w:r w:rsidRPr="008474B6">
        <w:rPr>
          <w:rFonts w:ascii="Arial" w:hAnsi="Arial"/>
          <w:color w:val="000000"/>
          <w:kern w:val="0"/>
          <w:sz w:val="22"/>
          <w:szCs w:val="22"/>
          <w:lang w:val="en-US" w:eastAsia="en-US"/>
          <w14:ligatures w14:val="none"/>
        </w:rPr>
        <w:t xml:space="preserve">, F. (2023) 'Physiology, glucose metabolism', in </w:t>
      </w:r>
      <w:r w:rsidRPr="008474B6">
        <w:rPr>
          <w:rFonts w:ascii="Arial" w:hAnsi="Arial"/>
          <w:i/>
          <w:color w:val="000000"/>
          <w:kern w:val="0"/>
          <w:sz w:val="22"/>
          <w:szCs w:val="22"/>
          <w:lang w:val="en-US" w:eastAsia="en-US"/>
          <w14:ligatures w14:val="none"/>
        </w:rPr>
        <w:t>StatPearls</w:t>
      </w:r>
      <w:r w:rsidRPr="008474B6">
        <w:rPr>
          <w:rFonts w:ascii="Arial" w:hAnsi="Arial"/>
          <w:color w:val="000000"/>
          <w:kern w:val="0"/>
          <w:sz w:val="22"/>
          <w:szCs w:val="22"/>
          <w:lang w:val="en-US" w:eastAsia="en-US"/>
          <w14:ligatures w14:val="none"/>
        </w:rPr>
        <w:t xml:space="preserve">. Treasure Island, FL: StatPearls Publishing. Available at: </w:t>
      </w:r>
      <w:hyperlink r:id="rId18" w:history="1">
        <w:r w:rsidRPr="008474B6">
          <w:rPr>
            <w:rFonts w:ascii="Arial" w:hAnsi="Arial"/>
            <w:color w:val="467886" w:themeColor="hyperlink"/>
            <w:kern w:val="0"/>
            <w:sz w:val="22"/>
            <w:szCs w:val="22"/>
            <w:u w:val="single"/>
            <w:lang w:val="en-US" w:eastAsia="en-US"/>
            <w14:ligatures w14:val="none"/>
          </w:rPr>
          <w:t>https://www.ncbi.nlm.nih.gov/books/NBK560599/</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18</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2F248EC8"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266A7368" w14:textId="4EB0D7C9"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National Institute for Health and Care Excellence [NICE] (2026) </w:t>
      </w:r>
      <w:r w:rsidRPr="008474B6">
        <w:rPr>
          <w:rFonts w:ascii="Arial" w:hAnsi="Arial"/>
          <w:i/>
          <w:color w:val="000000"/>
          <w:kern w:val="0"/>
          <w:sz w:val="22"/>
          <w:szCs w:val="22"/>
          <w:lang w:val="en-US" w:eastAsia="en-US"/>
          <w14:ligatures w14:val="none"/>
        </w:rPr>
        <w:t>Type 2 diabetes in adults: management</w:t>
      </w:r>
      <w:r w:rsidRPr="008474B6">
        <w:rPr>
          <w:rFonts w:ascii="Arial" w:hAnsi="Arial"/>
          <w:color w:val="000000"/>
          <w:kern w:val="0"/>
          <w:sz w:val="22"/>
          <w:szCs w:val="22"/>
          <w:lang w:val="en-US" w:eastAsia="en-US"/>
          <w14:ligatures w14:val="none"/>
        </w:rPr>
        <w:t xml:space="preserve">. NICE guideline NG28, updated 18 February 2026. Available at: </w:t>
      </w:r>
      <w:hyperlink r:id="rId19" w:history="1">
        <w:r w:rsidRPr="008474B6">
          <w:rPr>
            <w:rFonts w:ascii="Arial" w:hAnsi="Arial"/>
            <w:color w:val="467886" w:themeColor="hyperlink"/>
            <w:kern w:val="0"/>
            <w:sz w:val="22"/>
            <w:szCs w:val="22"/>
            <w:u w:val="single"/>
            <w:lang w:val="en-US" w:eastAsia="en-US"/>
            <w14:ligatures w14:val="none"/>
          </w:rPr>
          <w:t>https://www.nice.org.uk/guidance/ng28</w:t>
        </w:r>
      </w:hyperlink>
      <w:r w:rsidRPr="008474B6">
        <w:rPr>
          <w:rFonts w:ascii="Arial" w:hAnsi="Arial"/>
          <w:color w:val="000000"/>
          <w:kern w:val="0"/>
          <w:sz w:val="22"/>
          <w:szCs w:val="22"/>
          <w:lang w:val="en-US" w:eastAsia="en-US"/>
          <w14:ligatures w14:val="none"/>
        </w:rPr>
        <w:t xml:space="preserve"> (Accessed: 25 October 2026)</w:t>
      </w:r>
    </w:p>
    <w:p w14:paraId="543C7A8D"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5CDA3665" w14:textId="0EDBCE33"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Venugopal</w:t>
      </w:r>
      <w:proofErr w:type="spellEnd"/>
      <w:r w:rsidRPr="008474B6">
        <w:rPr>
          <w:rFonts w:ascii="Arial" w:hAnsi="Arial"/>
          <w:color w:val="000000"/>
          <w:kern w:val="0"/>
          <w:sz w:val="22"/>
          <w:szCs w:val="22"/>
          <w:lang w:val="en-US" w:eastAsia="en-US"/>
          <w14:ligatures w14:val="none"/>
        </w:rPr>
        <w:t xml:space="preserve">, S.K., </w:t>
      </w:r>
      <w:proofErr w:type="spellStart"/>
      <w:r w:rsidRPr="008474B6">
        <w:rPr>
          <w:rFonts w:ascii="Arial" w:hAnsi="Arial"/>
          <w:color w:val="000000"/>
          <w:kern w:val="0"/>
          <w:sz w:val="22"/>
          <w:szCs w:val="22"/>
          <w:lang w:val="en-US" w:eastAsia="en-US"/>
          <w14:ligatures w14:val="none"/>
        </w:rPr>
        <w:t>Sankar</w:t>
      </w:r>
      <w:proofErr w:type="spellEnd"/>
      <w:r w:rsidRPr="008474B6">
        <w:rPr>
          <w:rFonts w:ascii="Arial" w:hAnsi="Arial"/>
          <w:color w:val="000000"/>
          <w:kern w:val="0"/>
          <w:sz w:val="22"/>
          <w:szCs w:val="22"/>
          <w:lang w:val="en-US" w:eastAsia="en-US"/>
          <w14:ligatures w14:val="none"/>
        </w:rPr>
        <w:t xml:space="preserve">, P. and </w:t>
      </w:r>
      <w:proofErr w:type="spellStart"/>
      <w:r w:rsidRPr="008474B6">
        <w:rPr>
          <w:rFonts w:ascii="Arial" w:hAnsi="Arial"/>
          <w:color w:val="000000"/>
          <w:kern w:val="0"/>
          <w:sz w:val="22"/>
          <w:szCs w:val="22"/>
          <w:lang w:val="en-US" w:eastAsia="en-US"/>
          <w14:ligatures w14:val="none"/>
        </w:rPr>
        <w:t>Jialal</w:t>
      </w:r>
      <w:proofErr w:type="spellEnd"/>
      <w:r w:rsidRPr="008474B6">
        <w:rPr>
          <w:rFonts w:ascii="Arial" w:hAnsi="Arial"/>
          <w:color w:val="000000"/>
          <w:kern w:val="0"/>
          <w:sz w:val="22"/>
          <w:szCs w:val="22"/>
          <w:lang w:val="en-US" w:eastAsia="en-US"/>
          <w14:ligatures w14:val="none"/>
        </w:rPr>
        <w:t xml:space="preserve">, I. (2023) 'Physiology, glucagon', in </w:t>
      </w:r>
      <w:r w:rsidRPr="008474B6">
        <w:rPr>
          <w:rFonts w:ascii="Arial" w:hAnsi="Arial"/>
          <w:i/>
          <w:color w:val="000000"/>
          <w:kern w:val="0"/>
          <w:sz w:val="22"/>
          <w:szCs w:val="22"/>
          <w:lang w:val="en-US" w:eastAsia="en-US"/>
          <w14:ligatures w14:val="none"/>
        </w:rPr>
        <w:t>StatPearls</w:t>
      </w:r>
      <w:r w:rsidRPr="008474B6">
        <w:rPr>
          <w:rFonts w:ascii="Arial" w:hAnsi="Arial"/>
          <w:color w:val="000000"/>
          <w:kern w:val="0"/>
          <w:sz w:val="22"/>
          <w:szCs w:val="22"/>
          <w:lang w:val="en-US" w:eastAsia="en-US"/>
          <w14:ligatures w14:val="none"/>
        </w:rPr>
        <w:t xml:space="preserve">. Treasure Island, FL: StatPearls Publishing. Available at: </w:t>
      </w:r>
      <w:hyperlink r:id="rId20" w:history="1">
        <w:r w:rsidRPr="008474B6">
          <w:rPr>
            <w:rFonts w:ascii="Arial" w:hAnsi="Arial"/>
            <w:color w:val="467886" w:themeColor="hyperlink"/>
            <w:kern w:val="0"/>
            <w:sz w:val="22"/>
            <w:szCs w:val="22"/>
            <w:u w:val="single"/>
            <w:lang w:val="en-US" w:eastAsia="en-US"/>
            <w14:ligatures w14:val="none"/>
          </w:rPr>
          <w:t>https://www.ncbi.nlm.nih.gov/books/NBK537082/</w:t>
        </w:r>
      </w:hyperlink>
      <w:r w:rsidRPr="008474B6">
        <w:rPr>
          <w:rFonts w:ascii="Arial" w:hAnsi="Arial"/>
          <w:color w:val="000000"/>
          <w:kern w:val="0"/>
          <w:sz w:val="22"/>
          <w:szCs w:val="22"/>
          <w:lang w:val="en-US" w:eastAsia="en-US"/>
          <w14:ligatures w14:val="none"/>
        </w:rPr>
        <w:t xml:space="preserve"> (Accessed: </w:t>
      </w:r>
      <w:r w:rsidR="00CD3CC4">
        <w:rPr>
          <w:rFonts w:ascii="Arial" w:hAnsi="Arial"/>
          <w:color w:val="000000"/>
          <w:kern w:val="0"/>
          <w:sz w:val="22"/>
          <w:szCs w:val="22"/>
          <w:lang w:val="en-US" w:eastAsia="en-US"/>
          <w14:ligatures w14:val="none"/>
        </w:rPr>
        <w:t>18th</w:t>
      </w:r>
      <w:r w:rsidRPr="008474B6">
        <w:rPr>
          <w:rFonts w:ascii="Arial" w:hAnsi="Arial"/>
          <w:color w:val="000000"/>
          <w:kern w:val="0"/>
          <w:sz w:val="22"/>
          <w:szCs w:val="22"/>
          <w:lang w:val="en-US" w:eastAsia="en-US"/>
          <w14:ligatures w14:val="none"/>
        </w:rPr>
        <w:t xml:space="preserve"> October 2026)</w:t>
      </w:r>
    </w:p>
    <w:p w14:paraId="6235B168"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3A65A3D2" w14:textId="21824635"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World Health Organization (2024) </w:t>
      </w:r>
      <w:r w:rsidRPr="008474B6">
        <w:rPr>
          <w:rFonts w:ascii="Arial" w:hAnsi="Arial"/>
          <w:i/>
          <w:color w:val="000000"/>
          <w:kern w:val="0"/>
          <w:sz w:val="22"/>
          <w:szCs w:val="22"/>
          <w:lang w:val="en-US" w:eastAsia="en-US"/>
          <w14:ligatures w14:val="none"/>
        </w:rPr>
        <w:t>Diabetes</w:t>
      </w:r>
      <w:r w:rsidRPr="008474B6">
        <w:rPr>
          <w:rFonts w:ascii="Arial" w:hAnsi="Arial"/>
          <w:color w:val="000000"/>
          <w:kern w:val="0"/>
          <w:sz w:val="22"/>
          <w:szCs w:val="22"/>
          <w:lang w:val="en-US" w:eastAsia="en-US"/>
          <w14:ligatures w14:val="none"/>
        </w:rPr>
        <w:t xml:space="preserve">. Available at: </w:t>
      </w:r>
      <w:hyperlink r:id="rId21" w:history="1">
        <w:r w:rsidRPr="008474B6">
          <w:rPr>
            <w:rFonts w:ascii="Arial" w:hAnsi="Arial"/>
            <w:color w:val="467886" w:themeColor="hyperlink"/>
            <w:kern w:val="0"/>
            <w:sz w:val="22"/>
            <w:szCs w:val="22"/>
            <w:u w:val="single"/>
            <w:lang w:val="en-US" w:eastAsia="en-US"/>
            <w14:ligatures w14:val="none"/>
          </w:rPr>
          <w:t>https://www.who.int/news-room/fact-sheets/detail/diabetes</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21</w:t>
      </w:r>
      <w:r w:rsidR="00CD3CC4" w:rsidRPr="00CD3CC4">
        <w:rPr>
          <w:rFonts w:ascii="Arial" w:hAnsi="Arial"/>
          <w:color w:val="000000"/>
          <w:kern w:val="0"/>
          <w:sz w:val="22"/>
          <w:szCs w:val="22"/>
          <w:vertAlign w:val="superscript"/>
          <w:lang w:val="en-US" w:eastAsia="en-US"/>
          <w14:ligatures w14:val="none"/>
        </w:rPr>
        <w:t>st</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456EBD8E" w14:textId="77777777" w:rsidR="00C038B3" w:rsidRDefault="00C038B3" w:rsidP="00EC25B7"/>
    <w:sectPr w:rsidR="00C038B3">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9476783" w14:textId="77777777" w:rsidR="00FA32D5" w:rsidRDefault="00FA32D5" w:rsidP="001C2A14">
      <w:pPr>
        <w:spacing w:after="0" w:line="240" w:lineRule="auto"/>
      </w:pPr>
      <w:r>
        <w:separator/>
      </w:r>
    </w:p>
  </w:endnote>
  <w:endnote w:type="continuationSeparator" w:id="0">
    <w:p w14:paraId="61D6952A" w14:textId="77777777" w:rsidR="00FA32D5" w:rsidRDefault="00FA32D5" w:rsidP="001C2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40426656"/>
      <w:docPartObj>
        <w:docPartGallery w:val="Page Numbers (Bottom of Page)"/>
        <w:docPartUnique/>
      </w:docPartObj>
    </w:sdtPr>
    <w:sdtContent>
      <w:p w14:paraId="14D72C4A" w14:textId="08285D96" w:rsidR="001C2A14" w:rsidRDefault="001C2A14" w:rsidP="008E251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9C35F4" w14:textId="77777777" w:rsidR="001C2A14" w:rsidRDefault="001C2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32848408"/>
      <w:docPartObj>
        <w:docPartGallery w:val="Page Numbers (Bottom of Page)"/>
        <w:docPartUnique/>
      </w:docPartObj>
    </w:sdtPr>
    <w:sdtContent>
      <w:p w14:paraId="04376AB2" w14:textId="28258E84" w:rsidR="001C2A14" w:rsidRDefault="001C2A14" w:rsidP="008E251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AD23F2B" w14:textId="77777777" w:rsidR="001C2A14" w:rsidRDefault="001C2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339D1C" w14:textId="77777777" w:rsidR="00FA32D5" w:rsidRDefault="00FA32D5" w:rsidP="001C2A14">
      <w:pPr>
        <w:spacing w:after="0" w:line="240" w:lineRule="auto"/>
      </w:pPr>
      <w:r>
        <w:separator/>
      </w:r>
    </w:p>
  </w:footnote>
  <w:footnote w:type="continuationSeparator" w:id="0">
    <w:p w14:paraId="641DE2B9" w14:textId="77777777" w:rsidR="00FA32D5" w:rsidRDefault="00FA32D5" w:rsidP="001C2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104700"/>
    <w:multiLevelType w:val="hybridMultilevel"/>
    <w:tmpl w:val="24ECD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69668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9C"/>
    <w:rsid w:val="000266C4"/>
    <w:rsid w:val="000273A3"/>
    <w:rsid w:val="00053E1C"/>
    <w:rsid w:val="00071751"/>
    <w:rsid w:val="000B092C"/>
    <w:rsid w:val="000B3866"/>
    <w:rsid w:val="000D3BBB"/>
    <w:rsid w:val="00185263"/>
    <w:rsid w:val="00186530"/>
    <w:rsid w:val="001C2A14"/>
    <w:rsid w:val="002969B8"/>
    <w:rsid w:val="002E215F"/>
    <w:rsid w:val="003844AF"/>
    <w:rsid w:val="003B7E7F"/>
    <w:rsid w:val="003E5C4F"/>
    <w:rsid w:val="003F0BE7"/>
    <w:rsid w:val="004842E3"/>
    <w:rsid w:val="00493E1B"/>
    <w:rsid w:val="00512EF0"/>
    <w:rsid w:val="0057589C"/>
    <w:rsid w:val="00577090"/>
    <w:rsid w:val="006304D9"/>
    <w:rsid w:val="00654708"/>
    <w:rsid w:val="00662EAD"/>
    <w:rsid w:val="00671084"/>
    <w:rsid w:val="00682A78"/>
    <w:rsid w:val="00687C0C"/>
    <w:rsid w:val="006A00D2"/>
    <w:rsid w:val="006A0B04"/>
    <w:rsid w:val="00703A4B"/>
    <w:rsid w:val="00736666"/>
    <w:rsid w:val="007B2CA7"/>
    <w:rsid w:val="007B5B94"/>
    <w:rsid w:val="008474B6"/>
    <w:rsid w:val="009061A3"/>
    <w:rsid w:val="00960FBA"/>
    <w:rsid w:val="00A17EF9"/>
    <w:rsid w:val="00A363EE"/>
    <w:rsid w:val="00A523B1"/>
    <w:rsid w:val="00A85469"/>
    <w:rsid w:val="00A913BB"/>
    <w:rsid w:val="00A9757F"/>
    <w:rsid w:val="00BF03F3"/>
    <w:rsid w:val="00C038B3"/>
    <w:rsid w:val="00C607DA"/>
    <w:rsid w:val="00C668E5"/>
    <w:rsid w:val="00C84FC6"/>
    <w:rsid w:val="00C85080"/>
    <w:rsid w:val="00CD3CC4"/>
    <w:rsid w:val="00D01453"/>
    <w:rsid w:val="00D55478"/>
    <w:rsid w:val="00D77773"/>
    <w:rsid w:val="00D9721F"/>
    <w:rsid w:val="00E77855"/>
    <w:rsid w:val="00E8618D"/>
    <w:rsid w:val="00EC25B7"/>
    <w:rsid w:val="00ED5C1B"/>
    <w:rsid w:val="00EF613A"/>
    <w:rsid w:val="00F213B5"/>
    <w:rsid w:val="00F61A77"/>
    <w:rsid w:val="00FA32D5"/>
    <w:rsid w:val="00FC4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144D8C"/>
  <w15:chartTrackingRefBased/>
  <w15:docId w15:val="{4AAB8A56-B540-B844-AD35-26C95CCD5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5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5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89C"/>
    <w:rPr>
      <w:rFonts w:eastAsiaTheme="majorEastAsia" w:cstheme="majorBidi"/>
      <w:color w:val="272727" w:themeColor="text1" w:themeTint="D8"/>
    </w:rPr>
  </w:style>
  <w:style w:type="paragraph" w:styleId="Title">
    <w:name w:val="Title"/>
    <w:basedOn w:val="Normal"/>
    <w:next w:val="Normal"/>
    <w:link w:val="TitleChar"/>
    <w:uiPriority w:val="10"/>
    <w:qFormat/>
    <w:rsid w:val="00575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89C"/>
    <w:pPr>
      <w:spacing w:before="160"/>
      <w:jc w:val="center"/>
    </w:pPr>
    <w:rPr>
      <w:i/>
      <w:iCs/>
      <w:color w:val="404040" w:themeColor="text1" w:themeTint="BF"/>
    </w:rPr>
  </w:style>
  <w:style w:type="character" w:customStyle="1" w:styleId="QuoteChar">
    <w:name w:val="Quote Char"/>
    <w:basedOn w:val="DefaultParagraphFont"/>
    <w:link w:val="Quote"/>
    <w:uiPriority w:val="29"/>
    <w:rsid w:val="0057589C"/>
    <w:rPr>
      <w:i/>
      <w:iCs/>
      <w:color w:val="404040" w:themeColor="text1" w:themeTint="BF"/>
    </w:rPr>
  </w:style>
  <w:style w:type="paragraph" w:styleId="ListParagraph">
    <w:name w:val="List Paragraph"/>
    <w:basedOn w:val="Normal"/>
    <w:uiPriority w:val="34"/>
    <w:qFormat/>
    <w:rsid w:val="0057589C"/>
    <w:pPr>
      <w:ind w:left="720"/>
      <w:contextualSpacing/>
    </w:pPr>
  </w:style>
  <w:style w:type="character" w:styleId="IntenseEmphasis">
    <w:name w:val="Intense Emphasis"/>
    <w:basedOn w:val="DefaultParagraphFont"/>
    <w:uiPriority w:val="21"/>
    <w:qFormat/>
    <w:rsid w:val="0057589C"/>
    <w:rPr>
      <w:i/>
      <w:iCs/>
      <w:color w:val="0F4761" w:themeColor="accent1" w:themeShade="BF"/>
    </w:rPr>
  </w:style>
  <w:style w:type="paragraph" w:styleId="IntenseQuote">
    <w:name w:val="Intense Quote"/>
    <w:basedOn w:val="Normal"/>
    <w:next w:val="Normal"/>
    <w:link w:val="IntenseQuoteChar"/>
    <w:uiPriority w:val="30"/>
    <w:qFormat/>
    <w:rsid w:val="00575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89C"/>
    <w:rPr>
      <w:i/>
      <w:iCs/>
      <w:color w:val="0F4761" w:themeColor="accent1" w:themeShade="BF"/>
    </w:rPr>
  </w:style>
  <w:style w:type="character" w:styleId="IntenseReference">
    <w:name w:val="Intense Reference"/>
    <w:basedOn w:val="DefaultParagraphFont"/>
    <w:uiPriority w:val="32"/>
    <w:qFormat/>
    <w:rsid w:val="0057589C"/>
    <w:rPr>
      <w:b/>
      <w:bCs/>
      <w:smallCaps/>
      <w:color w:val="0F4761" w:themeColor="accent1" w:themeShade="BF"/>
      <w:spacing w:val="5"/>
    </w:rPr>
  </w:style>
  <w:style w:type="character" w:styleId="Hyperlink">
    <w:name w:val="Hyperlink"/>
    <w:basedOn w:val="DefaultParagraphFont"/>
    <w:uiPriority w:val="99"/>
    <w:unhideWhenUsed/>
    <w:rsid w:val="008474B6"/>
    <w:rPr>
      <w:color w:val="467886" w:themeColor="hyperlink"/>
      <w:u w:val="single"/>
    </w:rPr>
  </w:style>
  <w:style w:type="paragraph" w:styleId="Header">
    <w:name w:val="header"/>
    <w:basedOn w:val="Normal"/>
    <w:link w:val="HeaderChar"/>
    <w:uiPriority w:val="99"/>
    <w:unhideWhenUsed/>
    <w:rsid w:val="001C2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A14"/>
  </w:style>
  <w:style w:type="paragraph" w:styleId="Footer">
    <w:name w:val="footer"/>
    <w:basedOn w:val="Normal"/>
    <w:link w:val="FooterChar"/>
    <w:uiPriority w:val="99"/>
    <w:unhideWhenUsed/>
    <w:rsid w:val="001C2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A14"/>
  </w:style>
  <w:style w:type="character" w:styleId="PageNumber">
    <w:name w:val="page number"/>
    <w:basedOn w:val="DefaultParagraphFont"/>
    <w:uiPriority w:val="99"/>
    <w:semiHidden/>
    <w:unhideWhenUsed/>
    <w:rsid w:val="001C2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tax.org/details/books/anatomy-and-physiology-2e" TargetMode="External"/><Relationship Id="rId13" Type="http://schemas.openxmlformats.org/officeDocument/2006/relationships/hyperlink" Target="https://doi.org/10.1007/s00125-022-05787-2" TargetMode="External"/><Relationship Id="rId18" Type="http://schemas.openxmlformats.org/officeDocument/2006/relationships/hyperlink" Target="https://www.ncbi.nlm.nih.gov/books/NBK560599/" TargetMode="External"/><Relationship Id="rId3" Type="http://schemas.openxmlformats.org/officeDocument/2006/relationships/settings" Target="settings.xml"/><Relationship Id="rId21" Type="http://schemas.openxmlformats.org/officeDocument/2006/relationships/hyperlink" Target="https://www.who.int/news-room/fact-sheets/detail/diabetes" TargetMode="External"/><Relationship Id="rId7" Type="http://schemas.openxmlformats.org/officeDocument/2006/relationships/image" Target="media/image1.png"/><Relationship Id="rId12" Type="http://schemas.openxmlformats.org/officeDocument/2006/relationships/hyperlink" Target="https://www.cdc.gov/diabetes/risk-factors/index.html" TargetMode="External"/><Relationship Id="rId17" Type="http://schemas.openxmlformats.org/officeDocument/2006/relationships/hyperlink" Target="https://doi.org/10.1016/S2213-8587(23)00385-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249/MSS.0000000000002800" TargetMode="External"/><Relationship Id="rId20" Type="http://schemas.openxmlformats.org/officeDocument/2006/relationships/hyperlink" Target="https://www.ncbi.nlm.nih.gov/books/NBK53708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diabetes/risk-factors/diabetes-and-smoking.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00125-024-06107-6" TargetMode="External"/><Relationship Id="rId23" Type="http://schemas.openxmlformats.org/officeDocument/2006/relationships/footer" Target="footer2.xml"/><Relationship Id="rId10" Type="http://schemas.openxmlformats.org/officeDocument/2006/relationships/hyperlink" Target="https://www.cdc.gov/diabetes/about/insulin-resistance-type-2-diabetes.html" TargetMode="External"/><Relationship Id="rId19" Type="http://schemas.openxmlformats.org/officeDocument/2006/relationships/hyperlink" Target="https://www.nice.org.uk/guidance/ng28" TargetMode="External"/><Relationship Id="rId4" Type="http://schemas.openxmlformats.org/officeDocument/2006/relationships/webSettings" Target="webSettings.xml"/><Relationship Id="rId9" Type="http://schemas.openxmlformats.org/officeDocument/2006/relationships/hyperlink" Target="https://www.cdc.gov/diabetes/diabetes-testing/prediabetes-a1c-test.html" TargetMode="External"/><Relationship Id="rId14" Type="http://schemas.openxmlformats.org/officeDocument/2006/relationships/hyperlink" Target="https://www.ncbi.nlm.nih.gov/books/NBK54520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2841</Words>
  <Characters>16198</Characters>
  <Application>Microsoft Office Word</Application>
  <DocSecurity>0</DocSecurity>
  <Lines>134</Lines>
  <Paragraphs>38</Paragraphs>
  <ScaleCrop>false</ScaleCrop>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Choudhry (2427072)</dc:creator>
  <cp:keywords/>
  <dc:description/>
  <cp:lastModifiedBy>Humayra Choudhry (2427072)</cp:lastModifiedBy>
  <cp:revision>20</cp:revision>
  <dcterms:created xsi:type="dcterms:W3CDTF">2026-10-25T19:12:00Z</dcterms:created>
  <dcterms:modified xsi:type="dcterms:W3CDTF">2026-10-25T19:26:00Z</dcterms:modified>
</cp:coreProperties>
</file>