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8C68CEC" w14:textId="160FA09F" w:rsidR="00470576" w:rsidRDefault="003D11D2" w:rsidP="00A63509">
      <w:r>
        <w:t>Erika Beke</w:t>
      </w:r>
    </w:p>
    <w:p w14:paraId="20D1E96D" w14:textId="27F24F7A" w:rsidR="003D11D2" w:rsidRDefault="00B7785E" w:rsidP="00A63509">
      <w:r>
        <w:t>2020</w:t>
      </w:r>
      <w:r w:rsidR="008049BE">
        <w:t>1131</w:t>
      </w:r>
      <w:r w:rsidR="008D3FA8">
        <w:t>81</w:t>
      </w:r>
    </w:p>
    <w:p w14:paraId="66D46853" w14:textId="77777777" w:rsidR="008836B0" w:rsidRDefault="008836B0" w:rsidP="00A63509"/>
    <w:p w14:paraId="2737BDBA" w14:textId="77777777" w:rsidR="008836B0" w:rsidRDefault="008836B0">
      <w:pPr>
        <w:pStyle w:val="p1"/>
      </w:pPr>
      <w:r>
        <w:rPr>
          <w:rStyle w:val="s1"/>
        </w:rPr>
        <w:t xml:space="preserve">Contracting Strategies in Project Management: Evaluating Turnkey, </w:t>
      </w:r>
      <w:proofErr w:type="spellStart"/>
      <w:r>
        <w:rPr>
          <w:rStyle w:val="s1"/>
        </w:rPr>
        <w:t>Multicontract</w:t>
      </w:r>
      <w:proofErr w:type="spellEnd"/>
      <w:r>
        <w:rPr>
          <w:rStyle w:val="s1"/>
        </w:rPr>
        <w:t>, In-House and Hybrid Approaches</w:t>
      </w:r>
    </w:p>
    <w:p w14:paraId="5B4A1D7C" w14:textId="77777777" w:rsidR="008836B0" w:rsidRDefault="008836B0" w:rsidP="00A63509"/>
    <w:p w14:paraId="2FDA4E0B" w14:textId="77777777" w:rsidR="00470576" w:rsidRDefault="00470576" w:rsidP="00A63509"/>
    <w:p w14:paraId="39BE8A08" w14:textId="49F07508" w:rsidR="00A63509" w:rsidRDefault="00A63509" w:rsidP="00A63509">
      <w:r>
        <w:t>Table of Contents</w:t>
      </w:r>
    </w:p>
    <w:p w14:paraId="5DC22C1F" w14:textId="77777777" w:rsidR="00A63509" w:rsidRDefault="00A63509" w:rsidP="00A63509"/>
    <w:p w14:paraId="7D238B95" w14:textId="77777777" w:rsidR="00A63509" w:rsidRDefault="00A63509" w:rsidP="00A63509">
      <w:r>
        <w:t>1. Setting the Scene</w:t>
      </w:r>
    </w:p>
    <w:p w14:paraId="677B663B" w14:textId="77777777" w:rsidR="00A63509" w:rsidRDefault="00A63509" w:rsidP="00A63509">
      <w:r>
        <w:t>2. Single-Entity (Turnkey) Contracting</w:t>
      </w:r>
    </w:p>
    <w:p w14:paraId="234C5A1B" w14:textId="77777777" w:rsidR="00A63509" w:rsidRDefault="00A63509" w:rsidP="00A63509">
      <w:r>
        <w:t>3. Package-Based (</w:t>
      </w:r>
      <w:proofErr w:type="spellStart"/>
      <w:r>
        <w:t>Multicontract</w:t>
      </w:r>
      <w:proofErr w:type="spellEnd"/>
      <w:r>
        <w:t>) Contracting</w:t>
      </w:r>
    </w:p>
    <w:p w14:paraId="2AA64FC4" w14:textId="77777777" w:rsidR="00A63509" w:rsidRDefault="00A63509" w:rsidP="00A63509">
      <w:r>
        <w:t>4. Fully Internal Delivery</w:t>
      </w:r>
    </w:p>
    <w:p w14:paraId="73189B4C" w14:textId="77777777" w:rsidR="00A63509" w:rsidRDefault="00A63509" w:rsidP="00A63509">
      <w:r>
        <w:t>5. Selective In-House and Outsourced Combination</w:t>
      </w:r>
    </w:p>
    <w:p w14:paraId="3B9AF3DA" w14:textId="52D97F84" w:rsidR="00A63509" w:rsidRDefault="00A63509" w:rsidP="00A63509">
      <w:r>
        <w:t>6. Application to a Chosen Project Type</w:t>
      </w:r>
    </w:p>
    <w:p w14:paraId="3BAD23B5" w14:textId="77777777" w:rsidR="00A63509" w:rsidRDefault="00A63509" w:rsidP="00A63509">
      <w:r>
        <w:t>7. Summary and Final Comments</w:t>
      </w:r>
    </w:p>
    <w:p w14:paraId="342414D9" w14:textId="77777777" w:rsidR="00A63509" w:rsidRDefault="00A63509" w:rsidP="00A63509">
      <w:r>
        <w:t>8. Reference List</w:t>
      </w:r>
    </w:p>
    <w:p w14:paraId="67408958" w14:textId="77777777" w:rsidR="00A63509" w:rsidRDefault="00A63509" w:rsidP="00A63509"/>
    <w:p w14:paraId="31E1DDDF" w14:textId="77777777" w:rsidR="00A63509" w:rsidRDefault="00A63509" w:rsidP="00A63509">
      <w:r>
        <w:t>1. Setting the Scene</w:t>
      </w:r>
    </w:p>
    <w:p w14:paraId="410972E0" w14:textId="77777777" w:rsidR="00A63509" w:rsidRDefault="00A63509" w:rsidP="00A63509"/>
    <w:p w14:paraId="2288E46D" w14:textId="77777777" w:rsidR="00A63509" w:rsidRDefault="00A63509" w:rsidP="00A63509">
      <w:r>
        <w:t xml:space="preserve">Project management retrieves and </w:t>
      </w:r>
      <w:proofErr w:type="spellStart"/>
      <w:r>
        <w:t>synthesizes</w:t>
      </w:r>
      <w:proofErr w:type="spellEnd"/>
      <w:r>
        <w:t xml:space="preserve"> many project elements and demands the application of project management skills at different stages that help define the project delivery requirements (</w:t>
      </w:r>
      <w:proofErr w:type="spellStart"/>
      <w:r>
        <w:t>Kerzner</w:t>
      </w:r>
      <w:proofErr w:type="spellEnd"/>
      <w:r>
        <w:t xml:space="preserve">, 2017). One of the first challenges in project management is the service procurement choice by the client </w:t>
      </w:r>
      <w:proofErr w:type="spellStart"/>
      <w:r>
        <w:t>organization</w:t>
      </w:r>
      <w:proofErr w:type="spellEnd"/>
      <w:r>
        <w:t xml:space="preserve">. Contracting strategies define who takes the main responsibility for the delivery, how the risk is allocated, the level of control the client works with, and what service delivery capabilities the client </w:t>
      </w:r>
      <w:proofErr w:type="spellStart"/>
      <w:r>
        <w:t>organization</w:t>
      </w:r>
      <w:proofErr w:type="spellEnd"/>
      <w:r>
        <w:t xml:space="preserve"> keeps. Contracting strategies must be differentiated from lump-sum vs cost-reimbursable contracts; they concern the overall structure of the delivery system (</w:t>
      </w:r>
      <w:proofErr w:type="spellStart"/>
      <w:r>
        <w:t>Masterman</w:t>
      </w:r>
      <w:proofErr w:type="spellEnd"/>
      <w:r>
        <w:t>, 2002).</w:t>
      </w:r>
    </w:p>
    <w:p w14:paraId="78AFF665" w14:textId="77777777" w:rsidR="00A63509" w:rsidRDefault="00A63509" w:rsidP="00A63509"/>
    <w:p w14:paraId="118C87DD" w14:textId="77777777" w:rsidR="00A63509" w:rsidRDefault="00A63509" w:rsidP="00A63509">
      <w:r>
        <w:t xml:space="preserve">There are many reasons why a company might chose to hire a third party. Some reasons are temporary lack of internal capacity, no available internal capacity, lack of expertise, </w:t>
      </w:r>
      <w:r>
        <w:lastRenderedPageBreak/>
        <w:t xml:space="preserve">preference to outsource risk, a need for speed, or the preference to focus internally. This essay will </w:t>
      </w:r>
      <w:proofErr w:type="spellStart"/>
      <w:r>
        <w:t>analyze</w:t>
      </w:r>
      <w:proofErr w:type="spellEnd"/>
      <w:r>
        <w:t xml:space="preserve"> four important methods of contracting in project management and will give an account of advantages and disadvantages of each of the four methods: single-entity (Turnkey) contracting, package-based (</w:t>
      </w:r>
      <w:proofErr w:type="spellStart"/>
      <w:r>
        <w:t>Multicontract</w:t>
      </w:r>
      <w:proofErr w:type="spellEnd"/>
      <w:r>
        <w:t>) contracting, fully internal delivery, and a combination of in-house and outsourced work. The methods will be evaluated in the scope of various project characteristics and will be assessed concretely with the example of a medium-sized commercial office development.</w:t>
      </w:r>
    </w:p>
    <w:p w14:paraId="5744F6D6" w14:textId="77777777" w:rsidR="00A63509" w:rsidRDefault="00A63509" w:rsidP="00A63509"/>
    <w:p w14:paraId="0BBE4983" w14:textId="77777777" w:rsidR="00A63509" w:rsidRDefault="00A63509" w:rsidP="00A63509">
      <w:r>
        <w:t>2. Single-Entity (Turnkey) Contracting</w:t>
      </w:r>
    </w:p>
    <w:p w14:paraId="1E16CAEF" w14:textId="77777777" w:rsidR="00A63509" w:rsidRDefault="00A63509" w:rsidP="00A63509"/>
    <w:p w14:paraId="6B73E9F8" w14:textId="77777777" w:rsidR="00A63509" w:rsidRDefault="00A63509" w:rsidP="00A63509">
      <w:r>
        <w:t xml:space="preserve">In a Turnkey contract or single-entity agreement, the client engages a single </w:t>
      </w:r>
      <w:proofErr w:type="spellStart"/>
      <w:r>
        <w:t>organization</w:t>
      </w:r>
      <w:proofErr w:type="spellEnd"/>
      <w:r>
        <w:t xml:space="preserve"> that takes full responsibility for design, procurement, construction, activation, and transfer of a complete operational system to the client. The client defines performance and high-level criteria and expectations, and the contractor delivers an operation-ready system (</w:t>
      </w:r>
      <w:proofErr w:type="spellStart"/>
      <w:r>
        <w:t>Gransberg</w:t>
      </w:r>
      <w:proofErr w:type="spellEnd"/>
      <w:r>
        <w:t xml:space="preserve">, </w:t>
      </w:r>
      <w:proofErr w:type="spellStart"/>
      <w:r>
        <w:t>Loulakis</w:t>
      </w:r>
      <w:proofErr w:type="spellEnd"/>
      <w:r>
        <w:t xml:space="preserve"> and Gad, 2022; FIDIC, 2017).</w:t>
      </w:r>
    </w:p>
    <w:p w14:paraId="58E3C34E" w14:textId="77777777" w:rsidR="00A63509" w:rsidRDefault="00A63509" w:rsidP="00A63509"/>
    <w:p w14:paraId="34C87D0D" w14:textId="77777777" w:rsidR="00A63509" w:rsidRDefault="00A63509" w:rsidP="00A63509">
      <w:r>
        <w:t xml:space="preserve">There are a few advantages of this method. Most notably, they provide a single point of accountability, simplify communication, and help to avoid the risks of the interface between different parties, as most of the execution risks are shouldered by the contractor, giving both cost and schedule predictability. During the contract, the client requires only limited internal management capacity, as the contractor is responsible for almost all the management. This method attracts </w:t>
      </w:r>
      <w:proofErr w:type="spellStart"/>
      <w:r>
        <w:t>organizations</w:t>
      </w:r>
      <w:proofErr w:type="spellEnd"/>
      <w:r>
        <w:t xml:space="preserve"> that do not have construction or engineering skills or wish to preserve their focus on their core business.</w:t>
      </w:r>
    </w:p>
    <w:p w14:paraId="0A721CEA" w14:textId="77777777" w:rsidR="00A63509" w:rsidRDefault="00A63509" w:rsidP="00A63509"/>
    <w:p w14:paraId="56CBF188" w14:textId="77777777" w:rsidR="00A63509" w:rsidRDefault="00A63509" w:rsidP="00A63509">
      <w:r>
        <w:t>There are also disadvantages. The client has less control over the design and construction method. Once a contract is awarded, changes requested by the client are expensive and can lead to disputes as the risks and, therefore, the costs have been allocated. It is vital to give detailed performance specifications, as unclear specifications lead to a lack of understanding of the requirement and a disagreement over whether the delivered work meets the expected requirement. Success is also highly dependent on the contractor, as a lack of reliability from the contractor can cause failure of the project. Most contractors add a large contingency to protect the contract, thus making the contract cost higher than expected (</w:t>
      </w:r>
      <w:proofErr w:type="spellStart"/>
      <w:r>
        <w:t>Masterman</w:t>
      </w:r>
      <w:proofErr w:type="spellEnd"/>
      <w:r>
        <w:t>, 2002).</w:t>
      </w:r>
    </w:p>
    <w:p w14:paraId="68FDD4E8" w14:textId="77777777" w:rsidR="00A63509" w:rsidRDefault="00A63509" w:rsidP="00A63509"/>
    <w:p w14:paraId="6C1FFD57" w14:textId="6CDDB4B3" w:rsidR="00A63509" w:rsidRDefault="00A63509">
      <w:r>
        <w:t xml:space="preserve">This method is appropriate if the project requirements are known and the client's primary concern is having certainty, as flexibility will be lost. Common uses include simple industrial </w:t>
      </w:r>
      <w:r>
        <w:lastRenderedPageBreak/>
        <w:t xml:space="preserve">projects, constructing modular data </w:t>
      </w:r>
      <w:proofErr w:type="spellStart"/>
      <w:r>
        <w:t>centers</w:t>
      </w:r>
      <w:proofErr w:type="spellEnd"/>
      <w:r>
        <w:t>, and constructing simple commercial buildings for clients lacking construction expertise.</w:t>
      </w:r>
    </w:p>
    <w:p w14:paraId="7BC821C5" w14:textId="77777777" w:rsidR="002A25F9" w:rsidRDefault="002A25F9"/>
    <w:p w14:paraId="1654DD47" w14:textId="77777777" w:rsidR="002A25F9" w:rsidRDefault="002A25F9" w:rsidP="002A25F9">
      <w:r>
        <w:t>3. Package-Based (</w:t>
      </w:r>
      <w:proofErr w:type="spellStart"/>
      <w:r>
        <w:t>Multicontract</w:t>
      </w:r>
      <w:proofErr w:type="spellEnd"/>
      <w:r>
        <w:t>) Contracting</w:t>
      </w:r>
    </w:p>
    <w:p w14:paraId="50B9A4C4" w14:textId="77777777" w:rsidR="002A25F9" w:rsidRDefault="002A25F9" w:rsidP="002A25F9"/>
    <w:p w14:paraId="7CF2C0FA" w14:textId="77777777" w:rsidR="002A25F9" w:rsidRDefault="002A25F9" w:rsidP="002A25F9">
      <w:r>
        <w:t xml:space="preserve">In a package-based or </w:t>
      </w:r>
      <w:proofErr w:type="spellStart"/>
      <w:r>
        <w:t>Multicontract</w:t>
      </w:r>
      <w:proofErr w:type="spellEnd"/>
      <w:r>
        <w:t xml:space="preserve"> approach, the client divides the overall scope into smaller work packages that are each awarded to a separate specialist contractor. The client, or a project manager acting on the client’s behalf, manages the coordination of interfaces and the sequencing and integration of the packages (Hughes and Champion, 2022).</w:t>
      </w:r>
    </w:p>
    <w:p w14:paraId="07E2257E" w14:textId="77777777" w:rsidR="002A25F9" w:rsidRDefault="002A25F9" w:rsidP="002A25F9"/>
    <w:p w14:paraId="09C51131" w14:textId="77777777" w:rsidR="002A25F9" w:rsidRDefault="002A25F9" w:rsidP="002A25F9">
      <w:r>
        <w:t>The client has more control with this approach regarding the selection of contractors, the incremental development of the design and the maintenance of the quality of output. Moreover, this method can reduce cost when different packages can be awarded through competitive tendering, allowing the appointment of the best specialists for each specific task. Flexibility is also enhanced, as the contract with a poorly performing specialist can be terminated, and replacement can occur on a package-by-package basis.</w:t>
      </w:r>
    </w:p>
    <w:p w14:paraId="6831440A" w14:textId="77777777" w:rsidR="002A25F9" w:rsidRDefault="002A25F9" w:rsidP="002A25F9"/>
    <w:p w14:paraId="450C1929" w14:textId="77777777" w:rsidR="002A25F9" w:rsidRDefault="002A25F9" w:rsidP="002A25F9">
      <w:r>
        <w:t>This approach has some drawbacks; namely, increased client burden. This burden often manifests as the need for strong coordination to manage interfaces, to resolve conflicts between contractors, and to avoid the delays in one package affecting the other packages. Strong project management skills and effective coordination, combined with careful planning and continuous communication, all help to mitigate these concerns. Additionally, claims arising from interfaces are more common, and the risk that the client will retain is greater. The administrative burden for tendering, monitoring, and administering the contracts is significantly greater, which negatively impacts the potential cost savings (</w:t>
      </w:r>
      <w:proofErr w:type="spellStart"/>
      <w:r>
        <w:t>Gransberg</w:t>
      </w:r>
      <w:proofErr w:type="spellEnd"/>
      <w:r>
        <w:t xml:space="preserve">, </w:t>
      </w:r>
      <w:proofErr w:type="spellStart"/>
      <w:r>
        <w:t>Loulakis</w:t>
      </w:r>
      <w:proofErr w:type="spellEnd"/>
      <w:r>
        <w:t xml:space="preserve"> and Gad, 2022).</w:t>
      </w:r>
    </w:p>
    <w:p w14:paraId="7C2E1873" w14:textId="77777777" w:rsidR="002A25F9" w:rsidRDefault="002A25F9" w:rsidP="002A25F9"/>
    <w:p w14:paraId="0F6CFCD3" w14:textId="77777777" w:rsidR="002A25F9" w:rsidRDefault="002A25F9" w:rsidP="002A25F9">
      <w:r>
        <w:t xml:space="preserve">Complex arrangements require </w:t>
      </w:r>
      <w:proofErr w:type="spellStart"/>
      <w:r>
        <w:t>customization</w:t>
      </w:r>
      <w:proofErr w:type="spellEnd"/>
      <w:r>
        <w:t>. Package-based contracts rely on the client’s ability to integrate and the client’s preference for control and flexibility. A large-scope infra project or a major refurb involving many trades/varied tech needs qualify.</w:t>
      </w:r>
    </w:p>
    <w:p w14:paraId="632BE6AB" w14:textId="77777777" w:rsidR="002A25F9" w:rsidRDefault="002A25F9" w:rsidP="002A25F9"/>
    <w:p w14:paraId="263D1AEB" w14:textId="77777777" w:rsidR="002A25F9" w:rsidRDefault="002A25F9" w:rsidP="002A25F9">
      <w:r>
        <w:t>4 Fully Internal Delivery</w:t>
      </w:r>
    </w:p>
    <w:p w14:paraId="113E7953" w14:textId="77777777" w:rsidR="002A25F9" w:rsidRDefault="002A25F9" w:rsidP="002A25F9"/>
    <w:p w14:paraId="24C1115D" w14:textId="77777777" w:rsidR="002A25F9" w:rsidRDefault="002A25F9" w:rsidP="002A25F9">
      <w:r>
        <w:lastRenderedPageBreak/>
        <w:t>Fully Internal Delivery or ‘Force Account’ or Owner-managed execution’ means the client does most of the work with its own people and in-house work means the client controls design, procurement, construction supervision and overall project management (</w:t>
      </w:r>
      <w:proofErr w:type="spellStart"/>
      <w:r>
        <w:t>Kerzner</w:t>
      </w:r>
      <w:proofErr w:type="spellEnd"/>
      <w:r>
        <w:t xml:space="preserve"> 2017).</w:t>
      </w:r>
    </w:p>
    <w:p w14:paraId="1DC3D6B5" w14:textId="77777777" w:rsidR="002A25F9" w:rsidRDefault="002A25F9" w:rsidP="002A25F9"/>
    <w:p w14:paraId="692C761A" w14:textId="7D10A0E3" w:rsidR="002A25F9" w:rsidRDefault="002A25F9">
      <w:r>
        <w:t xml:space="preserve">The main pros: maximum control and privacy. There is no outsourcing, so the client has the opportunity to resolve any issues and put (more) focus on internal staff and communication that leads to faster resolution and less external distractions. This approach also supports the </w:t>
      </w:r>
      <w:proofErr w:type="spellStart"/>
      <w:r>
        <w:t>organization’s</w:t>
      </w:r>
      <w:proofErr w:type="spellEnd"/>
      <w:r>
        <w:t xml:space="preserve"> growth and developing more capabilities.</w:t>
      </w:r>
    </w:p>
    <w:p w14:paraId="26E89D19" w14:textId="77777777" w:rsidR="00532B4E" w:rsidRDefault="00532B4E" w:rsidP="00532B4E">
      <w:r>
        <w:t xml:space="preserve">There are some important limitations. The </w:t>
      </w:r>
      <w:proofErr w:type="spellStart"/>
      <w:r>
        <w:t>organization</w:t>
      </w:r>
      <w:proofErr w:type="spellEnd"/>
      <w:r>
        <w:t xml:space="preserve"> must have, or quickly obtain, a full set of technical, managerial, and supervisory skills. There are capacity constraints, and when staff are </w:t>
      </w:r>
      <w:proofErr w:type="spellStart"/>
      <w:r>
        <w:t>overallocated</w:t>
      </w:r>
      <w:proofErr w:type="spellEnd"/>
      <w:r>
        <w:t xml:space="preserve">, there are delays. Diversion of staff from core activities means an opportunity cost. The client assumes all the performance risk. The quality and the outcome of the program are a result of the internal competencies and staff motivation. For a large project that is complex and </w:t>
      </w:r>
      <w:proofErr w:type="spellStart"/>
      <w:r>
        <w:t>specialized</w:t>
      </w:r>
      <w:proofErr w:type="spellEnd"/>
      <w:r>
        <w:t xml:space="preserve">, internal delivery is very rare for </w:t>
      </w:r>
      <w:proofErr w:type="spellStart"/>
      <w:r>
        <w:t>organizations</w:t>
      </w:r>
      <w:proofErr w:type="spellEnd"/>
      <w:r>
        <w:t xml:space="preserve"> where the primary business activity is not construction or engineering (</w:t>
      </w:r>
      <w:proofErr w:type="spellStart"/>
      <w:r>
        <w:t>Masterman</w:t>
      </w:r>
      <w:proofErr w:type="spellEnd"/>
      <w:r>
        <w:t>, 2002).</w:t>
      </w:r>
    </w:p>
    <w:p w14:paraId="44DF8752" w14:textId="77777777" w:rsidR="00532B4E" w:rsidRDefault="00532B4E" w:rsidP="00532B4E"/>
    <w:p w14:paraId="4E573A51" w14:textId="77777777" w:rsidR="00532B4E" w:rsidRDefault="00532B4E" w:rsidP="00532B4E">
      <w:r>
        <w:t>For small, routine, or highly confidential activities where the skills are available in house, fully internal delivery is ideal. Examples include improvements to internal processes or small upgrades to a facility that are conducted by an existing staff team.</w:t>
      </w:r>
    </w:p>
    <w:p w14:paraId="036513FD" w14:textId="77777777" w:rsidR="00532B4E" w:rsidRDefault="00532B4E" w:rsidP="00532B4E"/>
    <w:p w14:paraId="57BC8D3A" w14:textId="77777777" w:rsidR="00532B4E" w:rsidRDefault="00532B4E" w:rsidP="00532B4E">
      <w:r>
        <w:t>5. Selective In-House and Outsourced Combination</w:t>
      </w:r>
    </w:p>
    <w:p w14:paraId="7782CC60" w14:textId="77777777" w:rsidR="00532B4E" w:rsidRDefault="00532B4E" w:rsidP="00532B4E"/>
    <w:p w14:paraId="6FE764B3" w14:textId="77777777" w:rsidR="00532B4E" w:rsidRDefault="00532B4E" w:rsidP="00532B4E">
      <w:r>
        <w:t>A combination of in-house work and outsourcing integrates elements of package-based contracts with internal delivery. The client retains strategic packages to be handled internally, while special or capacity-constrained packages are outsourced to external contractors. Nevertheless, the client retains the overall integration responsibility (Hughes and Champion, 2022).</w:t>
      </w:r>
    </w:p>
    <w:p w14:paraId="1B0F218A" w14:textId="77777777" w:rsidR="00532B4E" w:rsidRDefault="00532B4E" w:rsidP="00532B4E"/>
    <w:p w14:paraId="2E865E03" w14:textId="77777777" w:rsidR="00532B4E" w:rsidRDefault="00532B4E" w:rsidP="00532B4E">
      <w:r>
        <w:t xml:space="preserve">This approach offers flexibility in selected risk transfer and a more cost-efficient solution. Critical activities are maintained under the full control of the client, whereas </w:t>
      </w:r>
      <w:proofErr w:type="spellStart"/>
      <w:r>
        <w:t>specialization</w:t>
      </w:r>
      <w:proofErr w:type="spellEnd"/>
      <w:r>
        <w:t xml:space="preserve"> is assured through external expertise. </w:t>
      </w:r>
      <w:proofErr w:type="spellStart"/>
      <w:r>
        <w:t>Organizational</w:t>
      </w:r>
      <w:proofErr w:type="spellEnd"/>
      <w:r>
        <w:t xml:space="preserve"> flexibility is increased because the balance between internal delivery and outsourcing can be adjusted.</w:t>
      </w:r>
    </w:p>
    <w:p w14:paraId="73D15960" w14:textId="77777777" w:rsidR="00532B4E" w:rsidRDefault="00532B4E" w:rsidP="00532B4E"/>
    <w:p w14:paraId="415EB23C" w14:textId="77777777" w:rsidR="00532B4E" w:rsidRDefault="00532B4E" w:rsidP="00532B4E">
      <w:r>
        <w:lastRenderedPageBreak/>
        <w:t xml:space="preserve">The procedures for the new method may have the same types of disadvantages as both of the parent methods. In this case, interface management remains complex and requires a high degree of coordination. Differences in culture and in incentives between the internal teams and external contractors may cause problems. Determining an appropriate scope of work is very important because when scope is poorly defined, internal resources may be underused or important work may be carried out by people outside the </w:t>
      </w:r>
      <w:proofErr w:type="spellStart"/>
      <w:r>
        <w:t>organization</w:t>
      </w:r>
      <w:proofErr w:type="spellEnd"/>
      <w:r>
        <w:t>. The allocation of risk cannot be clearly defined (</w:t>
      </w:r>
      <w:proofErr w:type="spellStart"/>
      <w:r>
        <w:t>Gransberg</w:t>
      </w:r>
      <w:proofErr w:type="spellEnd"/>
      <w:r>
        <w:t xml:space="preserve">, </w:t>
      </w:r>
      <w:proofErr w:type="spellStart"/>
      <w:r>
        <w:t>Loulakis</w:t>
      </w:r>
      <w:proofErr w:type="spellEnd"/>
      <w:r>
        <w:t xml:space="preserve"> and Gad, 2022).</w:t>
      </w:r>
    </w:p>
    <w:p w14:paraId="68E87319" w14:textId="77777777" w:rsidR="00532B4E" w:rsidRDefault="00532B4E" w:rsidP="00532B4E"/>
    <w:p w14:paraId="389474FA" w14:textId="77777777" w:rsidR="00532B4E" w:rsidRDefault="00532B4E" w:rsidP="00532B4E">
      <w:r>
        <w:t xml:space="preserve">The use of the hybrid model is often adequate for </w:t>
      </w:r>
      <w:proofErr w:type="spellStart"/>
      <w:r>
        <w:t>organizations</w:t>
      </w:r>
      <w:proofErr w:type="spellEnd"/>
      <w:r>
        <w:t xml:space="preserve"> that have some, but not all, of the needed capabilities. One example is the case of a manufacturing company that may retain the design and commissioning of the processes in-house, and may contract the civil works and certain engineering packages, as well as the </w:t>
      </w:r>
      <w:proofErr w:type="spellStart"/>
      <w:r>
        <w:t>specialized</w:t>
      </w:r>
      <w:proofErr w:type="spellEnd"/>
      <w:r>
        <w:t xml:space="preserve"> equipment.</w:t>
      </w:r>
    </w:p>
    <w:p w14:paraId="32586E11" w14:textId="77777777" w:rsidR="00532B4E" w:rsidRDefault="00532B4E" w:rsidP="00532B4E"/>
    <w:p w14:paraId="05835473" w14:textId="77777777" w:rsidR="00532B4E" w:rsidRDefault="00532B4E" w:rsidP="00532B4E">
      <w:r>
        <w:t>6. Application to a Chosen Project Type</w:t>
      </w:r>
    </w:p>
    <w:p w14:paraId="1A4B8431" w14:textId="77777777" w:rsidR="00532B4E" w:rsidRDefault="00532B4E" w:rsidP="00532B4E"/>
    <w:p w14:paraId="5E1AF90E" w14:textId="77777777" w:rsidR="00532B4E" w:rsidRDefault="00532B4E" w:rsidP="00532B4E">
      <w:r>
        <w:t xml:space="preserve">The characteristics of projects and the capacities of the </w:t>
      </w:r>
      <w:proofErr w:type="spellStart"/>
      <w:r>
        <w:t>organization</w:t>
      </w:r>
      <w:proofErr w:type="spellEnd"/>
      <w:r>
        <w:t xml:space="preserve"> determine the appropriateness of each method. The construction of a mid-sized commercial office building (approximately 10 000 m²) of mixed use with a ground floor of approximately 15-25 million British pounds is used to illustrate these concerns.</w:t>
      </w:r>
    </w:p>
    <w:p w14:paraId="4BD18333" w14:textId="77777777" w:rsidR="00532B4E" w:rsidRDefault="00532B4E" w:rsidP="00532B4E"/>
    <w:p w14:paraId="76EBBDC1" w14:textId="3FA311B2" w:rsidR="00532B4E" w:rsidRDefault="00532B4E">
      <w:r>
        <w:t>The Turnkey contract approach is appropriate for a construction services client lacking experience and looking for the greatest possible certainty of both cost and duration of the work with the least possible management involvement. In this instance, a single contractor would construct a building ready for occupation. The client would have very little ability to influence the decisions regarding the finish or the sustainability features and the degree to which the structure may be built easily adapted to future needs.</w:t>
      </w:r>
    </w:p>
    <w:p w14:paraId="788FF0E4" w14:textId="77777777" w:rsidR="00003F9C" w:rsidRDefault="00003F9C" w:rsidP="00003F9C">
      <w:r>
        <w:t xml:space="preserve">Package-based contracts will appeal to clients or developers that have an existing project management team and like to appoint separate specialists to the fa </w:t>
      </w:r>
      <w:proofErr w:type="spellStart"/>
      <w:r>
        <w:t>trasde</w:t>
      </w:r>
      <w:proofErr w:type="spellEnd"/>
      <w:r>
        <w:t>, mechanical, electrical, and fit-out packages. Packages have more coordination and risk that clients are willing to accept in order to have more control and to have the potential for more cost savings, especially with tenant-generated design changes.</w:t>
      </w:r>
    </w:p>
    <w:p w14:paraId="45196179" w14:textId="77777777" w:rsidR="00003F9C" w:rsidRDefault="00003F9C" w:rsidP="00003F9C"/>
    <w:p w14:paraId="79BD4887" w14:textId="77777777" w:rsidR="00003F9C" w:rsidRDefault="00003F9C" w:rsidP="00003F9C">
      <w:r>
        <w:t xml:space="preserve">It is seldom possible to do a full internal delivery for a whole commercial building unless the client is a construction company with significant spare capacity. Even then, pure internal delivery leaves the client without </w:t>
      </w:r>
      <w:proofErr w:type="spellStart"/>
      <w:r>
        <w:t>specialization</w:t>
      </w:r>
      <w:proofErr w:type="spellEnd"/>
      <w:r>
        <w:t xml:space="preserve"> and the client has undivided performance risk.</w:t>
      </w:r>
    </w:p>
    <w:p w14:paraId="6D94609F" w14:textId="77777777" w:rsidR="00003F9C" w:rsidRDefault="00003F9C" w:rsidP="00003F9C"/>
    <w:p w14:paraId="704B9E15" w14:textId="77777777" w:rsidR="00003F9C" w:rsidRDefault="00003F9C" w:rsidP="00003F9C">
      <w:r>
        <w:t xml:space="preserve">The best mix of coordination, risk, and cost savings will be achieved through a balance of in house and outsourcing. The client can maintain design coordination, selective procurement, and quality assurance, while placing major trade packages with external specialists. This maintains the client's control while still using the efficiencies of </w:t>
      </w:r>
      <w:proofErr w:type="spellStart"/>
      <w:r>
        <w:t>specialized</w:t>
      </w:r>
      <w:proofErr w:type="spellEnd"/>
      <w:r>
        <w:t xml:space="preserve"> contractors.</w:t>
      </w:r>
    </w:p>
    <w:p w14:paraId="1FFC823E" w14:textId="77777777" w:rsidR="00003F9C" w:rsidRDefault="00003F9C" w:rsidP="00003F9C"/>
    <w:p w14:paraId="351D4CAE" w14:textId="77777777" w:rsidR="00003F9C" w:rsidRDefault="00003F9C" w:rsidP="00003F9C">
      <w:r>
        <w:t xml:space="preserve">Other types of projects will prefer different delivery systems. A narrative using an expansion of a </w:t>
      </w:r>
      <w:proofErr w:type="spellStart"/>
      <w:r>
        <w:t>standardized</w:t>
      </w:r>
      <w:proofErr w:type="spellEnd"/>
      <w:r>
        <w:t xml:space="preserve"> manufacturing plant is typically served best by using a single contractor delivery system due to speed and risk. In this example, a technology project using a proprietary software in house will be best served by a delivery system that maintains the design and software in house or as a combination of both. Uncertain large infrastructure projects will often employ a delivery system using a combination of packages and strong project management.</w:t>
      </w:r>
    </w:p>
    <w:p w14:paraId="401385FA" w14:textId="77777777" w:rsidR="00003F9C" w:rsidRDefault="00003F9C" w:rsidP="00003F9C"/>
    <w:p w14:paraId="4807AEB2" w14:textId="77777777" w:rsidR="00003F9C" w:rsidRDefault="00003F9C" w:rsidP="00003F9C">
      <w:r>
        <w:t>7. Summary and Final Remarks</w:t>
      </w:r>
    </w:p>
    <w:p w14:paraId="69C5CB90" w14:textId="77777777" w:rsidR="00003F9C" w:rsidRDefault="00003F9C" w:rsidP="00003F9C"/>
    <w:p w14:paraId="641F388A" w14:textId="77777777" w:rsidR="00003F9C" w:rsidRDefault="00003F9C" w:rsidP="00003F9C">
      <w:r>
        <w:t>The four contracting methods considered—single-entity (Turnkey), package-based (</w:t>
      </w:r>
      <w:proofErr w:type="spellStart"/>
      <w:r>
        <w:t>Multicontract</w:t>
      </w:r>
      <w:proofErr w:type="spellEnd"/>
      <w:r>
        <w:t xml:space="preserve">), fully internal delivery, and the combination of in-house and outsourced work—provide approaches to the allocation of responsibility between the client and external parties. The single-entity approach achieves the greatest risk transfer and the least client management at the cost of control and flexibility. Package-based contracting balances flexibility and competitive pressure but demands substantial skill in the management of coordination. Fully internal delivery offers the client the greatest flexibility and opportunity to learn while retaining the risk and requiring a significant level of capability within the </w:t>
      </w:r>
      <w:proofErr w:type="spellStart"/>
      <w:r>
        <w:t>organization</w:t>
      </w:r>
      <w:proofErr w:type="spellEnd"/>
      <w:r>
        <w:t>. The hybrid approach is particularly well-suited to the balancing of competing requirements.</w:t>
      </w:r>
    </w:p>
    <w:p w14:paraId="1CC8EF2F" w14:textId="77777777" w:rsidR="00003F9C" w:rsidRDefault="00003F9C" w:rsidP="00003F9C"/>
    <w:p w14:paraId="5B362D22" w14:textId="638CAAE0" w:rsidR="00532B4E" w:rsidRDefault="00003F9C">
      <w:r>
        <w:t>The optimal approach depends upon a realistic appraisal of the client’s private capacity, the level of complexity and the degree of uncertainty of the project, as well as the relative importance of control and the need for certainty. Where the chosen strategy is well adapted to the factors, and competently implemented, the likelihood of successful outcomes along the dimensions of time, cost, quality, and the delivery of the intended results is enhanced.</w:t>
      </w:r>
    </w:p>
    <w:p w14:paraId="6FFCC9BB" w14:textId="77777777" w:rsidR="00003F9C" w:rsidRDefault="00003F9C"/>
    <w:p w14:paraId="4A64675F" w14:textId="77777777" w:rsidR="00470576" w:rsidRDefault="00470576">
      <w:pPr>
        <w:pStyle w:val="p1"/>
      </w:pPr>
      <w:r>
        <w:rPr>
          <w:rStyle w:val="s1"/>
        </w:rPr>
        <w:t>8. Reference List</w:t>
      </w:r>
    </w:p>
    <w:p w14:paraId="08DE74D7" w14:textId="77777777" w:rsidR="00470576" w:rsidRDefault="00470576">
      <w:pPr>
        <w:pStyle w:val="p1"/>
      </w:pPr>
      <w:r>
        <w:rPr>
          <w:rStyle w:val="s2"/>
        </w:rPr>
        <w:lastRenderedPageBreak/>
        <w:t xml:space="preserve">FIDIC (2017) </w:t>
      </w:r>
      <w:r>
        <w:rPr>
          <w:rStyle w:val="s3"/>
        </w:rPr>
        <w:t>Conditions of Contract for EPC/Turnkey Projects</w:t>
      </w:r>
      <w:r>
        <w:rPr>
          <w:rStyle w:val="s2"/>
        </w:rPr>
        <w:t xml:space="preserve">. 2nd </w:t>
      </w:r>
      <w:proofErr w:type="spellStart"/>
      <w:r>
        <w:rPr>
          <w:rStyle w:val="s2"/>
        </w:rPr>
        <w:t>edn</w:t>
      </w:r>
      <w:proofErr w:type="spellEnd"/>
      <w:r>
        <w:rPr>
          <w:rStyle w:val="s2"/>
        </w:rPr>
        <w:t>. Geneva: International Federation of Consulting Engineers.</w:t>
      </w:r>
    </w:p>
    <w:p w14:paraId="593520F7" w14:textId="77777777" w:rsidR="00470576" w:rsidRDefault="00470576">
      <w:pPr>
        <w:pStyle w:val="p1"/>
      </w:pPr>
      <w:proofErr w:type="spellStart"/>
      <w:r>
        <w:rPr>
          <w:rStyle w:val="s2"/>
        </w:rPr>
        <w:t>Gransberg</w:t>
      </w:r>
      <w:proofErr w:type="spellEnd"/>
      <w:r>
        <w:rPr>
          <w:rStyle w:val="s2"/>
        </w:rPr>
        <w:t xml:space="preserve">, D.D., </w:t>
      </w:r>
      <w:proofErr w:type="spellStart"/>
      <w:r>
        <w:rPr>
          <w:rStyle w:val="s2"/>
        </w:rPr>
        <w:t>Loulakis</w:t>
      </w:r>
      <w:proofErr w:type="spellEnd"/>
      <w:r>
        <w:rPr>
          <w:rStyle w:val="s2"/>
        </w:rPr>
        <w:t xml:space="preserve">, M.C. and Gad, G.M. (2022) </w:t>
      </w:r>
      <w:r>
        <w:rPr>
          <w:rStyle w:val="s3"/>
        </w:rPr>
        <w:t>Project Delivery Methods: An Owner’s Guide to Selection</w:t>
      </w:r>
      <w:r>
        <w:rPr>
          <w:rStyle w:val="s2"/>
        </w:rPr>
        <w:t>. Reston, VA: American Society of Civil Engineers.</w:t>
      </w:r>
    </w:p>
    <w:p w14:paraId="663E7ACC" w14:textId="77777777" w:rsidR="00470576" w:rsidRDefault="00470576">
      <w:pPr>
        <w:pStyle w:val="p1"/>
      </w:pPr>
      <w:r>
        <w:rPr>
          <w:rStyle w:val="s2"/>
        </w:rPr>
        <w:t>Hughes, W. and Champion, R. (2022) ‘Procurement, contracts and project management’, in Hughes, W. et al. (</w:t>
      </w:r>
      <w:proofErr w:type="spellStart"/>
      <w:r>
        <w:rPr>
          <w:rStyle w:val="s2"/>
        </w:rPr>
        <w:t>eds</w:t>
      </w:r>
      <w:proofErr w:type="spellEnd"/>
      <w:r>
        <w:rPr>
          <w:rStyle w:val="s2"/>
        </w:rPr>
        <w:t xml:space="preserve">) </w:t>
      </w:r>
      <w:r>
        <w:rPr>
          <w:rStyle w:val="s3"/>
        </w:rPr>
        <w:t>ICE Companion to Engineering Management</w:t>
      </w:r>
      <w:r>
        <w:rPr>
          <w:rStyle w:val="s2"/>
        </w:rPr>
        <w:t>. London: ICE Publishing, pp. 1–25.</w:t>
      </w:r>
    </w:p>
    <w:p w14:paraId="05F9C080" w14:textId="77777777" w:rsidR="00470576" w:rsidRDefault="00470576">
      <w:pPr>
        <w:pStyle w:val="p1"/>
      </w:pPr>
      <w:proofErr w:type="spellStart"/>
      <w:r>
        <w:rPr>
          <w:rStyle w:val="s2"/>
        </w:rPr>
        <w:t>Kerzner</w:t>
      </w:r>
      <w:proofErr w:type="spellEnd"/>
      <w:r>
        <w:rPr>
          <w:rStyle w:val="s2"/>
        </w:rPr>
        <w:t xml:space="preserve">, H. (2017) </w:t>
      </w:r>
      <w:r>
        <w:rPr>
          <w:rStyle w:val="s3"/>
        </w:rPr>
        <w:t>Project Management: A Systems Approach to Planning, Scheduling, and Controlling</w:t>
      </w:r>
      <w:r>
        <w:rPr>
          <w:rStyle w:val="s2"/>
        </w:rPr>
        <w:t xml:space="preserve">. 12th </w:t>
      </w:r>
      <w:proofErr w:type="spellStart"/>
      <w:r>
        <w:rPr>
          <w:rStyle w:val="s2"/>
        </w:rPr>
        <w:t>edn</w:t>
      </w:r>
      <w:proofErr w:type="spellEnd"/>
      <w:r>
        <w:rPr>
          <w:rStyle w:val="s2"/>
        </w:rPr>
        <w:t>. Hoboken, NJ: John Wiley &amp; Sons.</w:t>
      </w:r>
    </w:p>
    <w:p w14:paraId="595AA08D" w14:textId="77777777" w:rsidR="00470576" w:rsidRDefault="00470576">
      <w:pPr>
        <w:pStyle w:val="p1"/>
      </w:pPr>
      <w:proofErr w:type="spellStart"/>
      <w:r>
        <w:rPr>
          <w:rStyle w:val="s2"/>
        </w:rPr>
        <w:t>Masterman</w:t>
      </w:r>
      <w:proofErr w:type="spellEnd"/>
      <w:r>
        <w:rPr>
          <w:rStyle w:val="s2"/>
        </w:rPr>
        <w:t xml:space="preserve">, J.W.E. (2002) </w:t>
      </w:r>
      <w:r>
        <w:rPr>
          <w:rStyle w:val="s3"/>
        </w:rPr>
        <w:t>An Introduction to Building Procurement Systems</w:t>
      </w:r>
      <w:r>
        <w:rPr>
          <w:rStyle w:val="s2"/>
        </w:rPr>
        <w:t xml:space="preserve">. 2nd </w:t>
      </w:r>
      <w:proofErr w:type="spellStart"/>
      <w:r>
        <w:rPr>
          <w:rStyle w:val="s2"/>
        </w:rPr>
        <w:t>edn</w:t>
      </w:r>
      <w:proofErr w:type="spellEnd"/>
      <w:r>
        <w:rPr>
          <w:rStyle w:val="s2"/>
        </w:rPr>
        <w:t xml:space="preserve">. London: </w:t>
      </w:r>
      <w:proofErr w:type="spellStart"/>
      <w:r>
        <w:rPr>
          <w:rStyle w:val="s2"/>
        </w:rPr>
        <w:t>Spon</w:t>
      </w:r>
      <w:proofErr w:type="spellEnd"/>
      <w:r>
        <w:rPr>
          <w:rStyle w:val="s2"/>
        </w:rPr>
        <w:t xml:space="preserve"> Press.</w:t>
      </w:r>
    </w:p>
    <w:p w14:paraId="2DA4FF8F" w14:textId="77777777" w:rsidR="002A25F9" w:rsidRDefault="002A25F9"/>
    <w:sectPr w:rsidR="002A25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F UI">
    <w:altName w:val="Cambria"/>
    <w:panose1 w:val="020B0604020202020204"/>
    <w:charset w:val="00"/>
    <w:family w:val="roman"/>
    <w:pitch w:val="default"/>
  </w:font>
  <w:font w:name=".SFUI-Semibold">
    <w:altName w:val="Cambria"/>
    <w:panose1 w:val="020B0604020202020204"/>
    <w:charset w:val="00"/>
    <w:family w:val="roman"/>
    <w:pitch w:val="default"/>
  </w:font>
  <w:font w:name=".SFUI-Regular">
    <w:altName w:val="Cambria"/>
    <w:panose1 w:val="020B0604020202020204"/>
    <w:charset w:val="00"/>
    <w:family w:val="roman"/>
    <w:pitch w:val="default"/>
  </w:font>
  <w:font w:name=".SFUI-RegularItalic">
    <w:altName w:val="Cambria"/>
    <w:panose1 w:val="020B0604020202020204"/>
    <w:charset w:val="00"/>
    <w:family w:val="roman"/>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509"/>
    <w:rsid w:val="00003F9C"/>
    <w:rsid w:val="002A25F9"/>
    <w:rsid w:val="003D11D2"/>
    <w:rsid w:val="00470576"/>
    <w:rsid w:val="004F6CA2"/>
    <w:rsid w:val="00532B4E"/>
    <w:rsid w:val="006C3C63"/>
    <w:rsid w:val="008049BE"/>
    <w:rsid w:val="008836B0"/>
    <w:rsid w:val="008D3FA8"/>
    <w:rsid w:val="00A63509"/>
    <w:rsid w:val="00B7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1460D1"/>
  <w15:chartTrackingRefBased/>
  <w15:docId w15:val="{BA358B42-9D2C-AF4C-BBCA-B3210D74C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35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635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350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350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350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35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35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35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35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50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6350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350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350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350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35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35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35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3509"/>
    <w:rPr>
      <w:rFonts w:eastAsiaTheme="majorEastAsia" w:cstheme="majorBidi"/>
      <w:color w:val="272727" w:themeColor="text1" w:themeTint="D8"/>
    </w:rPr>
  </w:style>
  <w:style w:type="paragraph" w:styleId="Title">
    <w:name w:val="Title"/>
    <w:basedOn w:val="Normal"/>
    <w:next w:val="Normal"/>
    <w:link w:val="TitleChar"/>
    <w:uiPriority w:val="10"/>
    <w:qFormat/>
    <w:rsid w:val="00A635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35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35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35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3509"/>
    <w:pPr>
      <w:spacing w:before="160"/>
      <w:jc w:val="center"/>
    </w:pPr>
    <w:rPr>
      <w:i/>
      <w:iCs/>
      <w:color w:val="404040" w:themeColor="text1" w:themeTint="BF"/>
    </w:rPr>
  </w:style>
  <w:style w:type="character" w:customStyle="1" w:styleId="QuoteChar">
    <w:name w:val="Quote Char"/>
    <w:basedOn w:val="DefaultParagraphFont"/>
    <w:link w:val="Quote"/>
    <w:uiPriority w:val="29"/>
    <w:rsid w:val="00A63509"/>
    <w:rPr>
      <w:i/>
      <w:iCs/>
      <w:color w:val="404040" w:themeColor="text1" w:themeTint="BF"/>
    </w:rPr>
  </w:style>
  <w:style w:type="paragraph" w:styleId="ListParagraph">
    <w:name w:val="List Paragraph"/>
    <w:basedOn w:val="Normal"/>
    <w:uiPriority w:val="34"/>
    <w:qFormat/>
    <w:rsid w:val="00A63509"/>
    <w:pPr>
      <w:ind w:left="720"/>
      <w:contextualSpacing/>
    </w:pPr>
  </w:style>
  <w:style w:type="character" w:styleId="IntenseEmphasis">
    <w:name w:val="Intense Emphasis"/>
    <w:basedOn w:val="DefaultParagraphFont"/>
    <w:uiPriority w:val="21"/>
    <w:qFormat/>
    <w:rsid w:val="00A63509"/>
    <w:rPr>
      <w:i/>
      <w:iCs/>
      <w:color w:val="2F5496" w:themeColor="accent1" w:themeShade="BF"/>
    </w:rPr>
  </w:style>
  <w:style w:type="paragraph" w:styleId="IntenseQuote">
    <w:name w:val="Intense Quote"/>
    <w:basedOn w:val="Normal"/>
    <w:next w:val="Normal"/>
    <w:link w:val="IntenseQuoteChar"/>
    <w:uiPriority w:val="30"/>
    <w:qFormat/>
    <w:rsid w:val="00A635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3509"/>
    <w:rPr>
      <w:i/>
      <w:iCs/>
      <w:color w:val="2F5496" w:themeColor="accent1" w:themeShade="BF"/>
    </w:rPr>
  </w:style>
  <w:style w:type="character" w:styleId="IntenseReference">
    <w:name w:val="Intense Reference"/>
    <w:basedOn w:val="DefaultParagraphFont"/>
    <w:uiPriority w:val="32"/>
    <w:qFormat/>
    <w:rsid w:val="00A63509"/>
    <w:rPr>
      <w:b/>
      <w:bCs/>
      <w:smallCaps/>
      <w:color w:val="2F5496" w:themeColor="accent1" w:themeShade="BF"/>
      <w:spacing w:val="5"/>
    </w:rPr>
  </w:style>
  <w:style w:type="paragraph" w:customStyle="1" w:styleId="p1">
    <w:name w:val="p1"/>
    <w:basedOn w:val="Normal"/>
    <w:rsid w:val="00470576"/>
    <w:pPr>
      <w:spacing w:after="120" w:line="377" w:lineRule="atLeast"/>
    </w:pPr>
    <w:rPr>
      <w:rFonts w:ascii=".SF UI" w:hAnsi=".SF UI" w:cs="Times New Roman"/>
      <w:color w:val="000000"/>
      <w:kern w:val="0"/>
      <w:sz w:val="26"/>
      <w:szCs w:val="26"/>
      <w14:ligatures w14:val="none"/>
    </w:rPr>
  </w:style>
  <w:style w:type="character" w:customStyle="1" w:styleId="s1">
    <w:name w:val="s1"/>
    <w:basedOn w:val="DefaultParagraphFont"/>
    <w:rsid w:val="00470576"/>
    <w:rPr>
      <w:rFonts w:ascii=".SFUI-Semibold" w:hAnsi=".SFUI-Semibold" w:hint="default"/>
      <w:b/>
      <w:bCs/>
      <w:i w:val="0"/>
      <w:iCs w:val="0"/>
      <w:sz w:val="26"/>
      <w:szCs w:val="26"/>
    </w:rPr>
  </w:style>
  <w:style w:type="character" w:customStyle="1" w:styleId="s2">
    <w:name w:val="s2"/>
    <w:basedOn w:val="DefaultParagraphFont"/>
    <w:rsid w:val="00470576"/>
    <w:rPr>
      <w:rFonts w:ascii=".SFUI-Regular" w:hAnsi=".SFUI-Regular" w:hint="default"/>
      <w:b w:val="0"/>
      <w:bCs w:val="0"/>
      <w:i w:val="0"/>
      <w:iCs w:val="0"/>
      <w:sz w:val="26"/>
      <w:szCs w:val="26"/>
    </w:rPr>
  </w:style>
  <w:style w:type="character" w:customStyle="1" w:styleId="s3">
    <w:name w:val="s3"/>
    <w:basedOn w:val="DefaultParagraphFont"/>
    <w:rsid w:val="00470576"/>
    <w:rPr>
      <w:rFonts w:ascii=".SFUI-RegularItalic" w:hAnsi=".SFUI-RegularItalic"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2058</Words>
  <Characters>11736</Characters>
  <Application>Microsoft Office Word</Application>
  <DocSecurity>0</DocSecurity>
  <Lines>97</Lines>
  <Paragraphs>27</Paragraphs>
  <ScaleCrop>false</ScaleCrop>
  <Company/>
  <LinksUpToDate>false</LinksUpToDate>
  <CharactersWithSpaces>13767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BEKE</dc:creator>
  <cp:keywords/>
  <dc:description/>
  <cp:lastModifiedBy>razvan smadu</cp:lastModifiedBy>
  <cp:revision>2</cp:revision>
  <dcterms:created xsi:type="dcterms:W3CDTF">2026-08-16T11:39:00Z</dcterms:created>
  <dcterms:modified xsi:type="dcterms:W3CDTF">2026-08-16T11:39:00Z</dcterms:modified>
</cp:coreProperties>
</file>