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ACADE" w14:textId="116A0725" w:rsidR="00A929BF" w:rsidRDefault="0062700F">
      <w:pPr>
        <w:rPr>
          <w:lang w:val="ro-RO"/>
        </w:rPr>
      </w:pPr>
      <w:r>
        <w:rPr>
          <w:noProof/>
          <w:lang w:val="ro-RO"/>
        </w:rPr>
        <w:drawing>
          <wp:anchor distT="0" distB="0" distL="114300" distR="114300" simplePos="0" relativeHeight="251658240" behindDoc="0" locked="0" layoutInCell="1" allowOverlap="1" wp14:anchorId="2BA0C966" wp14:editId="56305171">
            <wp:simplePos x="0" y="0"/>
            <wp:positionH relativeFrom="margin">
              <wp:posOffset>1494155</wp:posOffset>
            </wp:positionH>
            <wp:positionV relativeFrom="margin">
              <wp:posOffset>-434340</wp:posOffset>
            </wp:positionV>
            <wp:extent cx="2585757" cy="1747520"/>
            <wp:effectExtent l="0" t="0" r="5080" b="5080"/>
            <wp:wrapSquare wrapText="bothSides"/>
            <wp:docPr id="303300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300312" name="Picture 30330031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85757" cy="1747520"/>
                    </a:xfrm>
                    <a:prstGeom prst="rect">
                      <a:avLst/>
                    </a:prstGeom>
                  </pic:spPr>
                </pic:pic>
              </a:graphicData>
            </a:graphic>
          </wp:anchor>
        </w:drawing>
      </w:r>
    </w:p>
    <w:p w14:paraId="29E8FD5B" w14:textId="3B5C99E9" w:rsidR="0062700F" w:rsidRDefault="0062700F">
      <w:pPr>
        <w:rPr>
          <w:lang w:val="ro-RO"/>
        </w:rPr>
      </w:pPr>
    </w:p>
    <w:p w14:paraId="0FF979B6" w14:textId="77777777" w:rsidR="0062700F" w:rsidRDefault="0062700F">
      <w:pPr>
        <w:rPr>
          <w:lang w:val="ro-RO"/>
        </w:rPr>
      </w:pPr>
    </w:p>
    <w:p w14:paraId="0B08C0D7" w14:textId="77777777" w:rsidR="0062700F" w:rsidRDefault="0062700F">
      <w:pPr>
        <w:rPr>
          <w:lang w:val="ro-RO"/>
        </w:rPr>
      </w:pPr>
    </w:p>
    <w:p w14:paraId="05EC79AF" w14:textId="77777777" w:rsidR="0062700F" w:rsidRDefault="0062700F">
      <w:pPr>
        <w:rPr>
          <w:lang w:val="ro-RO"/>
        </w:rPr>
      </w:pPr>
    </w:p>
    <w:p w14:paraId="6B0A29E7" w14:textId="77777777" w:rsidR="0062700F" w:rsidRDefault="0062700F">
      <w:pPr>
        <w:rPr>
          <w:lang w:val="ro-RO"/>
        </w:rPr>
      </w:pPr>
    </w:p>
    <w:p w14:paraId="3299C6E4" w14:textId="77777777" w:rsidR="0062700F" w:rsidRDefault="0062700F">
      <w:pPr>
        <w:rPr>
          <w:lang w:val="ro-RO"/>
        </w:rPr>
      </w:pPr>
    </w:p>
    <w:p w14:paraId="6D98AB83" w14:textId="77777777" w:rsidR="0062700F" w:rsidRDefault="0062700F">
      <w:pPr>
        <w:rPr>
          <w:lang w:val="ro-RO"/>
        </w:rPr>
      </w:pPr>
    </w:p>
    <w:p w14:paraId="2AD83EA3" w14:textId="77777777" w:rsidR="0062700F" w:rsidRDefault="0062700F">
      <w:pPr>
        <w:rPr>
          <w:lang w:val="ro-RO"/>
        </w:rPr>
      </w:pPr>
    </w:p>
    <w:p w14:paraId="092E80BB" w14:textId="77777777" w:rsidR="0062700F" w:rsidRDefault="0062700F">
      <w:pPr>
        <w:rPr>
          <w:lang w:val="ro-RO"/>
        </w:rPr>
      </w:pPr>
    </w:p>
    <w:p w14:paraId="46B3FD7D" w14:textId="77BFFB4D" w:rsidR="0062700F" w:rsidRPr="00AD2D4D" w:rsidRDefault="0062700F" w:rsidP="00AD2D4D">
      <w:pPr>
        <w:jc w:val="center"/>
        <w:rPr>
          <w:rFonts w:ascii="Arial Black" w:hAnsi="Arial Black"/>
          <w:b/>
          <w:bCs/>
        </w:rPr>
      </w:pPr>
      <w:r w:rsidRPr="00AD2D4D">
        <w:rPr>
          <w:rFonts w:ascii="Arial Black" w:hAnsi="Arial Black"/>
          <w:b/>
          <w:bCs/>
          <w:lang w:val="ro-RO"/>
        </w:rPr>
        <w:t>STUDENT NAME</w:t>
      </w:r>
      <w:r w:rsidRPr="00AD2D4D">
        <w:rPr>
          <w:rFonts w:ascii="Arial Black" w:hAnsi="Arial Black"/>
          <w:b/>
          <w:bCs/>
        </w:rPr>
        <w:t>: EMMA RYDER</w:t>
      </w:r>
    </w:p>
    <w:p w14:paraId="4DFA44BC" w14:textId="2DB47300" w:rsidR="0062700F" w:rsidRPr="00AD2D4D" w:rsidRDefault="0062700F" w:rsidP="00AD2D4D">
      <w:pPr>
        <w:jc w:val="center"/>
        <w:rPr>
          <w:rFonts w:ascii="Arial Black" w:hAnsi="Arial Black"/>
          <w:b/>
          <w:bCs/>
        </w:rPr>
      </w:pPr>
      <w:r w:rsidRPr="00AD2D4D">
        <w:rPr>
          <w:rFonts w:ascii="Arial Black" w:hAnsi="Arial Black"/>
          <w:b/>
          <w:bCs/>
        </w:rPr>
        <w:t>STUDENT ID:</w:t>
      </w:r>
      <w:r w:rsidR="0086082F">
        <w:rPr>
          <w:rFonts w:ascii="Arial Black" w:hAnsi="Arial Black"/>
          <w:b/>
          <w:bCs/>
        </w:rPr>
        <w:t xml:space="preserve"> 2221740</w:t>
      </w:r>
    </w:p>
    <w:p w14:paraId="68305CF8" w14:textId="0DB464B8" w:rsidR="0062700F" w:rsidRPr="00AD2D4D" w:rsidRDefault="0062700F" w:rsidP="00AD2D4D">
      <w:pPr>
        <w:jc w:val="center"/>
        <w:rPr>
          <w:rFonts w:ascii="Arial Black" w:hAnsi="Arial Black"/>
          <w:b/>
          <w:bCs/>
        </w:rPr>
      </w:pPr>
      <w:r w:rsidRPr="00AD2D4D">
        <w:rPr>
          <w:rFonts w:ascii="Arial Black" w:hAnsi="Arial Black"/>
          <w:b/>
          <w:bCs/>
        </w:rPr>
        <w:t>MODULE CODE: LCBB6015</w:t>
      </w:r>
    </w:p>
    <w:p w14:paraId="5138CE0E" w14:textId="77777777" w:rsidR="0062700F" w:rsidRPr="00AD2D4D" w:rsidRDefault="0062700F" w:rsidP="00AD2D4D">
      <w:pPr>
        <w:jc w:val="center"/>
        <w:rPr>
          <w:rFonts w:ascii="Arial Black" w:hAnsi="Arial Black"/>
          <w:b/>
          <w:bCs/>
        </w:rPr>
      </w:pPr>
    </w:p>
    <w:p w14:paraId="47E3DB0D" w14:textId="77777777" w:rsidR="0062700F" w:rsidRPr="0062700F" w:rsidRDefault="0062700F"/>
    <w:p w14:paraId="769487EB" w14:textId="77777777" w:rsidR="0062700F" w:rsidRDefault="0062700F">
      <w:pPr>
        <w:rPr>
          <w:lang w:val="ro-RO"/>
        </w:rPr>
      </w:pPr>
    </w:p>
    <w:p w14:paraId="3B1B43E9" w14:textId="77777777" w:rsidR="0062700F" w:rsidRDefault="0062700F">
      <w:pPr>
        <w:rPr>
          <w:lang w:val="ro-RO"/>
        </w:rPr>
      </w:pPr>
    </w:p>
    <w:p w14:paraId="18E050AD" w14:textId="77777777" w:rsidR="0062700F" w:rsidRDefault="0062700F">
      <w:pPr>
        <w:rPr>
          <w:lang w:val="ro-RO"/>
        </w:rPr>
      </w:pPr>
    </w:p>
    <w:p w14:paraId="0BA7DCEF" w14:textId="77777777" w:rsidR="0062700F" w:rsidRDefault="0062700F">
      <w:pPr>
        <w:rPr>
          <w:lang w:val="ro-RO"/>
        </w:rPr>
      </w:pPr>
    </w:p>
    <w:p w14:paraId="67D88805" w14:textId="77777777" w:rsidR="0062700F" w:rsidRDefault="0062700F">
      <w:pPr>
        <w:rPr>
          <w:lang w:val="ro-RO"/>
        </w:rPr>
      </w:pPr>
    </w:p>
    <w:p w14:paraId="56DA5AC8" w14:textId="77777777" w:rsidR="0062700F" w:rsidRDefault="0062700F">
      <w:pPr>
        <w:rPr>
          <w:lang w:val="ro-RO"/>
        </w:rPr>
      </w:pPr>
    </w:p>
    <w:p w14:paraId="6118C9AB" w14:textId="77777777" w:rsidR="0062700F" w:rsidRDefault="0062700F">
      <w:pPr>
        <w:rPr>
          <w:lang w:val="ro-RO"/>
        </w:rPr>
      </w:pPr>
    </w:p>
    <w:p w14:paraId="31271092" w14:textId="77777777" w:rsidR="0062700F" w:rsidRDefault="0062700F">
      <w:pPr>
        <w:rPr>
          <w:lang w:val="ro-RO"/>
        </w:rPr>
      </w:pPr>
    </w:p>
    <w:p w14:paraId="7B233F95" w14:textId="77777777" w:rsidR="0062700F" w:rsidRDefault="0062700F">
      <w:pPr>
        <w:rPr>
          <w:lang w:val="ro-RO"/>
        </w:rPr>
      </w:pPr>
    </w:p>
    <w:p w14:paraId="6920DA70" w14:textId="77777777" w:rsidR="0062700F" w:rsidRDefault="0062700F">
      <w:pPr>
        <w:rPr>
          <w:lang w:val="ro-RO"/>
        </w:rPr>
      </w:pPr>
    </w:p>
    <w:p w14:paraId="4D7467CA" w14:textId="77777777" w:rsidR="0062700F" w:rsidRDefault="0062700F">
      <w:pPr>
        <w:rPr>
          <w:lang w:val="ro-RO"/>
        </w:rPr>
      </w:pPr>
    </w:p>
    <w:p w14:paraId="7D197839" w14:textId="77777777" w:rsidR="0062700F" w:rsidRDefault="0062700F">
      <w:pPr>
        <w:rPr>
          <w:lang w:val="ro-RO"/>
        </w:rPr>
      </w:pPr>
    </w:p>
    <w:sdt>
      <w:sdtPr>
        <w:rPr>
          <w:rFonts w:asciiTheme="minorHAnsi" w:eastAsiaTheme="minorHAnsi" w:hAnsiTheme="minorHAnsi" w:cstheme="minorBidi"/>
          <w:color w:val="auto"/>
          <w:kern w:val="2"/>
          <w:sz w:val="24"/>
          <w:szCs w:val="24"/>
          <w:lang w:eastAsia="en-US"/>
          <w14:ligatures w14:val="standardContextual"/>
        </w:rPr>
        <w:id w:val="-41223577"/>
        <w:docPartObj>
          <w:docPartGallery w:val="Table of Contents"/>
          <w:docPartUnique/>
        </w:docPartObj>
      </w:sdtPr>
      <w:sdtEndPr>
        <w:rPr>
          <w:b/>
          <w:bCs/>
        </w:rPr>
      </w:sdtEndPr>
      <w:sdtContent>
        <w:p w14:paraId="78C04B57" w14:textId="4197FCAF" w:rsidR="00AD2D4D" w:rsidRDefault="00AD2D4D">
          <w:pPr>
            <w:pStyle w:val="TOCHeading"/>
          </w:pPr>
          <w:r>
            <w:t>Table of Contents</w:t>
          </w:r>
        </w:p>
        <w:p w14:paraId="2B16BEDD" w14:textId="1EE1A0E9" w:rsidR="00AD2D4D" w:rsidRDefault="00AD2D4D" w:rsidP="00AD2D4D">
          <w:pPr>
            <w:pStyle w:val="TOC2"/>
            <w:tabs>
              <w:tab w:val="right" w:leader="dot" w:pos="9016"/>
            </w:tabs>
            <w:ind w:left="0"/>
            <w:rPr>
              <w:noProof/>
            </w:rPr>
          </w:pPr>
          <w:r>
            <w:fldChar w:fldCharType="begin"/>
          </w:r>
          <w:r>
            <w:instrText xml:space="preserve"> TOC \o "1-3" \h \z \u </w:instrText>
          </w:r>
          <w:r>
            <w:fldChar w:fldCharType="separate"/>
          </w:r>
          <w:hyperlink w:anchor="_Toc232104894" w:history="1">
            <w:r w:rsidRPr="0092757A">
              <w:rPr>
                <w:rStyle w:val="Hyperlink"/>
                <w:noProof/>
              </w:rPr>
              <w:t>Executive Summary</w:t>
            </w:r>
            <w:r>
              <w:rPr>
                <w:noProof/>
                <w:webHidden/>
              </w:rPr>
              <w:tab/>
            </w:r>
            <w:r>
              <w:rPr>
                <w:noProof/>
                <w:webHidden/>
              </w:rPr>
              <w:fldChar w:fldCharType="begin"/>
            </w:r>
            <w:r>
              <w:rPr>
                <w:noProof/>
                <w:webHidden/>
              </w:rPr>
              <w:instrText xml:space="preserve"> PAGEREF _Toc232104894 \h </w:instrText>
            </w:r>
            <w:r>
              <w:rPr>
                <w:noProof/>
                <w:webHidden/>
              </w:rPr>
            </w:r>
            <w:r>
              <w:rPr>
                <w:noProof/>
                <w:webHidden/>
              </w:rPr>
              <w:fldChar w:fldCharType="separate"/>
            </w:r>
            <w:r>
              <w:rPr>
                <w:noProof/>
                <w:webHidden/>
              </w:rPr>
              <w:t>3</w:t>
            </w:r>
            <w:r>
              <w:rPr>
                <w:noProof/>
                <w:webHidden/>
              </w:rPr>
              <w:fldChar w:fldCharType="end"/>
            </w:r>
          </w:hyperlink>
        </w:p>
        <w:p w14:paraId="22A4EB2B" w14:textId="43F24511" w:rsidR="00AD2D4D" w:rsidRDefault="00AD2D4D">
          <w:pPr>
            <w:pStyle w:val="TOC1"/>
            <w:tabs>
              <w:tab w:val="right" w:leader="dot" w:pos="9016"/>
            </w:tabs>
            <w:rPr>
              <w:noProof/>
            </w:rPr>
          </w:pPr>
          <w:hyperlink w:anchor="_Toc232104895" w:history="1">
            <w:r w:rsidRPr="0092757A">
              <w:rPr>
                <w:rStyle w:val="Hyperlink"/>
                <w:noProof/>
              </w:rPr>
              <w:t>Introduction</w:t>
            </w:r>
            <w:r>
              <w:rPr>
                <w:noProof/>
                <w:webHidden/>
              </w:rPr>
              <w:tab/>
            </w:r>
            <w:r>
              <w:rPr>
                <w:noProof/>
                <w:webHidden/>
              </w:rPr>
              <w:fldChar w:fldCharType="begin"/>
            </w:r>
            <w:r>
              <w:rPr>
                <w:noProof/>
                <w:webHidden/>
              </w:rPr>
              <w:instrText xml:space="preserve"> PAGEREF _Toc232104895 \h </w:instrText>
            </w:r>
            <w:r>
              <w:rPr>
                <w:noProof/>
                <w:webHidden/>
              </w:rPr>
            </w:r>
            <w:r>
              <w:rPr>
                <w:noProof/>
                <w:webHidden/>
              </w:rPr>
              <w:fldChar w:fldCharType="separate"/>
            </w:r>
            <w:r>
              <w:rPr>
                <w:noProof/>
                <w:webHidden/>
              </w:rPr>
              <w:t>4</w:t>
            </w:r>
            <w:r>
              <w:rPr>
                <w:noProof/>
                <w:webHidden/>
              </w:rPr>
              <w:fldChar w:fldCharType="end"/>
            </w:r>
          </w:hyperlink>
        </w:p>
        <w:p w14:paraId="2BDEA405" w14:textId="678B81CC" w:rsidR="00AD2D4D" w:rsidRDefault="00AD2D4D" w:rsidP="00AD2D4D">
          <w:pPr>
            <w:pStyle w:val="TOC2"/>
            <w:tabs>
              <w:tab w:val="right" w:leader="dot" w:pos="9016"/>
            </w:tabs>
            <w:ind w:left="0"/>
            <w:rPr>
              <w:noProof/>
            </w:rPr>
          </w:pPr>
          <w:hyperlink w:anchor="_Toc232104896" w:history="1">
            <w:r w:rsidRPr="0092757A">
              <w:rPr>
                <w:rStyle w:val="Hyperlink"/>
                <w:noProof/>
              </w:rPr>
              <w:t>PESTLE Analysis</w:t>
            </w:r>
            <w:r>
              <w:rPr>
                <w:noProof/>
                <w:webHidden/>
              </w:rPr>
              <w:tab/>
            </w:r>
            <w:r>
              <w:rPr>
                <w:noProof/>
                <w:webHidden/>
              </w:rPr>
              <w:fldChar w:fldCharType="begin"/>
            </w:r>
            <w:r>
              <w:rPr>
                <w:noProof/>
                <w:webHidden/>
              </w:rPr>
              <w:instrText xml:space="preserve"> PAGEREF _Toc232104896 \h </w:instrText>
            </w:r>
            <w:r>
              <w:rPr>
                <w:noProof/>
                <w:webHidden/>
              </w:rPr>
            </w:r>
            <w:r>
              <w:rPr>
                <w:noProof/>
                <w:webHidden/>
              </w:rPr>
              <w:fldChar w:fldCharType="separate"/>
            </w:r>
            <w:r>
              <w:rPr>
                <w:noProof/>
                <w:webHidden/>
              </w:rPr>
              <w:t>5</w:t>
            </w:r>
            <w:r>
              <w:rPr>
                <w:noProof/>
                <w:webHidden/>
              </w:rPr>
              <w:fldChar w:fldCharType="end"/>
            </w:r>
          </w:hyperlink>
        </w:p>
        <w:p w14:paraId="17470DAA" w14:textId="7B3BA348" w:rsidR="00AD2D4D" w:rsidRDefault="00AD2D4D" w:rsidP="00AD2D4D">
          <w:pPr>
            <w:pStyle w:val="TOC2"/>
            <w:tabs>
              <w:tab w:val="right" w:leader="dot" w:pos="9016"/>
            </w:tabs>
            <w:ind w:left="0"/>
            <w:rPr>
              <w:noProof/>
            </w:rPr>
          </w:pPr>
          <w:hyperlink w:anchor="_Toc232104897" w:history="1">
            <w:r w:rsidRPr="0092757A">
              <w:rPr>
                <w:rStyle w:val="Hyperlink"/>
                <w:noProof/>
              </w:rPr>
              <w:t>Porter’s Five Forces Analysis</w:t>
            </w:r>
            <w:r>
              <w:rPr>
                <w:noProof/>
                <w:webHidden/>
              </w:rPr>
              <w:tab/>
            </w:r>
            <w:r>
              <w:rPr>
                <w:noProof/>
                <w:webHidden/>
              </w:rPr>
              <w:fldChar w:fldCharType="begin"/>
            </w:r>
            <w:r>
              <w:rPr>
                <w:noProof/>
                <w:webHidden/>
              </w:rPr>
              <w:instrText xml:space="preserve"> PAGEREF _Toc232104897 \h </w:instrText>
            </w:r>
            <w:r>
              <w:rPr>
                <w:noProof/>
                <w:webHidden/>
              </w:rPr>
            </w:r>
            <w:r>
              <w:rPr>
                <w:noProof/>
                <w:webHidden/>
              </w:rPr>
              <w:fldChar w:fldCharType="separate"/>
            </w:r>
            <w:r>
              <w:rPr>
                <w:noProof/>
                <w:webHidden/>
              </w:rPr>
              <w:t>6</w:t>
            </w:r>
            <w:r>
              <w:rPr>
                <w:noProof/>
                <w:webHidden/>
              </w:rPr>
              <w:fldChar w:fldCharType="end"/>
            </w:r>
          </w:hyperlink>
        </w:p>
        <w:p w14:paraId="1BE3EEEE" w14:textId="6282E58B" w:rsidR="00AD2D4D" w:rsidRDefault="00AD2D4D" w:rsidP="00AD2D4D">
          <w:pPr>
            <w:pStyle w:val="TOC2"/>
            <w:tabs>
              <w:tab w:val="right" w:leader="dot" w:pos="9016"/>
            </w:tabs>
            <w:ind w:left="0"/>
            <w:rPr>
              <w:noProof/>
            </w:rPr>
          </w:pPr>
          <w:hyperlink w:anchor="_Toc232104898" w:history="1">
            <w:r w:rsidRPr="0092757A">
              <w:rPr>
                <w:rStyle w:val="Hyperlink"/>
                <w:noProof/>
              </w:rPr>
              <w:t>Value Chain Analysis</w:t>
            </w:r>
            <w:r>
              <w:rPr>
                <w:noProof/>
                <w:webHidden/>
              </w:rPr>
              <w:tab/>
            </w:r>
            <w:r>
              <w:rPr>
                <w:noProof/>
                <w:webHidden/>
              </w:rPr>
              <w:fldChar w:fldCharType="begin"/>
            </w:r>
            <w:r>
              <w:rPr>
                <w:noProof/>
                <w:webHidden/>
              </w:rPr>
              <w:instrText xml:space="preserve"> PAGEREF _Toc232104898 \h </w:instrText>
            </w:r>
            <w:r>
              <w:rPr>
                <w:noProof/>
                <w:webHidden/>
              </w:rPr>
            </w:r>
            <w:r>
              <w:rPr>
                <w:noProof/>
                <w:webHidden/>
              </w:rPr>
              <w:fldChar w:fldCharType="separate"/>
            </w:r>
            <w:r>
              <w:rPr>
                <w:noProof/>
                <w:webHidden/>
              </w:rPr>
              <w:t>7</w:t>
            </w:r>
            <w:r>
              <w:rPr>
                <w:noProof/>
                <w:webHidden/>
              </w:rPr>
              <w:fldChar w:fldCharType="end"/>
            </w:r>
          </w:hyperlink>
        </w:p>
        <w:p w14:paraId="1251CE78" w14:textId="5108A97C" w:rsidR="00AD2D4D" w:rsidRDefault="00AD2D4D" w:rsidP="00AD2D4D">
          <w:pPr>
            <w:pStyle w:val="TOC2"/>
            <w:tabs>
              <w:tab w:val="right" w:leader="dot" w:pos="9016"/>
            </w:tabs>
            <w:ind w:left="0"/>
            <w:rPr>
              <w:noProof/>
            </w:rPr>
          </w:pPr>
          <w:hyperlink w:anchor="_Toc232104899" w:history="1">
            <w:r w:rsidRPr="0092757A">
              <w:rPr>
                <w:rStyle w:val="Hyperlink"/>
                <w:noProof/>
              </w:rPr>
              <w:t>Resource-Based View and VRIO Analysis</w:t>
            </w:r>
            <w:r>
              <w:rPr>
                <w:noProof/>
                <w:webHidden/>
              </w:rPr>
              <w:tab/>
            </w:r>
            <w:r>
              <w:rPr>
                <w:noProof/>
                <w:webHidden/>
              </w:rPr>
              <w:fldChar w:fldCharType="begin"/>
            </w:r>
            <w:r>
              <w:rPr>
                <w:noProof/>
                <w:webHidden/>
              </w:rPr>
              <w:instrText xml:space="preserve"> PAGEREF _Toc232104899 \h </w:instrText>
            </w:r>
            <w:r>
              <w:rPr>
                <w:noProof/>
                <w:webHidden/>
              </w:rPr>
            </w:r>
            <w:r>
              <w:rPr>
                <w:noProof/>
                <w:webHidden/>
              </w:rPr>
              <w:fldChar w:fldCharType="separate"/>
            </w:r>
            <w:r>
              <w:rPr>
                <w:noProof/>
                <w:webHidden/>
              </w:rPr>
              <w:t>8</w:t>
            </w:r>
            <w:r>
              <w:rPr>
                <w:noProof/>
                <w:webHidden/>
              </w:rPr>
              <w:fldChar w:fldCharType="end"/>
            </w:r>
          </w:hyperlink>
        </w:p>
        <w:p w14:paraId="676A994C" w14:textId="3DEF4113" w:rsidR="00AD2D4D" w:rsidRDefault="00AD2D4D" w:rsidP="00AD2D4D">
          <w:pPr>
            <w:pStyle w:val="TOC2"/>
            <w:tabs>
              <w:tab w:val="right" w:leader="dot" w:pos="9016"/>
            </w:tabs>
            <w:ind w:left="0"/>
            <w:rPr>
              <w:noProof/>
            </w:rPr>
          </w:pPr>
          <w:hyperlink w:anchor="_Toc232104900" w:history="1">
            <w:r w:rsidRPr="0092757A">
              <w:rPr>
                <w:rStyle w:val="Hyperlink"/>
                <w:noProof/>
              </w:rPr>
              <w:t>SWOT Analysis</w:t>
            </w:r>
            <w:r>
              <w:rPr>
                <w:noProof/>
                <w:webHidden/>
              </w:rPr>
              <w:tab/>
            </w:r>
            <w:r>
              <w:rPr>
                <w:noProof/>
                <w:webHidden/>
              </w:rPr>
              <w:fldChar w:fldCharType="begin"/>
            </w:r>
            <w:r>
              <w:rPr>
                <w:noProof/>
                <w:webHidden/>
              </w:rPr>
              <w:instrText xml:space="preserve"> PAGEREF _Toc232104900 \h </w:instrText>
            </w:r>
            <w:r>
              <w:rPr>
                <w:noProof/>
                <w:webHidden/>
              </w:rPr>
            </w:r>
            <w:r>
              <w:rPr>
                <w:noProof/>
                <w:webHidden/>
              </w:rPr>
              <w:fldChar w:fldCharType="separate"/>
            </w:r>
            <w:r>
              <w:rPr>
                <w:noProof/>
                <w:webHidden/>
              </w:rPr>
              <w:t>8</w:t>
            </w:r>
            <w:r>
              <w:rPr>
                <w:noProof/>
                <w:webHidden/>
              </w:rPr>
              <w:fldChar w:fldCharType="end"/>
            </w:r>
          </w:hyperlink>
        </w:p>
        <w:p w14:paraId="7F87F24A" w14:textId="0545B30A" w:rsidR="00AD2D4D" w:rsidRDefault="00AD2D4D" w:rsidP="00AD2D4D">
          <w:pPr>
            <w:pStyle w:val="TOC2"/>
            <w:tabs>
              <w:tab w:val="right" w:leader="dot" w:pos="9016"/>
            </w:tabs>
            <w:ind w:left="0"/>
            <w:rPr>
              <w:noProof/>
            </w:rPr>
          </w:pPr>
          <w:hyperlink w:anchor="_Toc232104901" w:history="1">
            <w:r w:rsidRPr="0092757A">
              <w:rPr>
                <w:rStyle w:val="Hyperlink"/>
                <w:noProof/>
              </w:rPr>
              <w:t>Strategy Formulation</w:t>
            </w:r>
            <w:r>
              <w:rPr>
                <w:noProof/>
                <w:webHidden/>
              </w:rPr>
              <w:tab/>
            </w:r>
            <w:r>
              <w:rPr>
                <w:noProof/>
                <w:webHidden/>
              </w:rPr>
              <w:fldChar w:fldCharType="begin"/>
            </w:r>
            <w:r>
              <w:rPr>
                <w:noProof/>
                <w:webHidden/>
              </w:rPr>
              <w:instrText xml:space="preserve"> PAGEREF _Toc232104901 \h </w:instrText>
            </w:r>
            <w:r>
              <w:rPr>
                <w:noProof/>
                <w:webHidden/>
              </w:rPr>
            </w:r>
            <w:r>
              <w:rPr>
                <w:noProof/>
                <w:webHidden/>
              </w:rPr>
              <w:fldChar w:fldCharType="separate"/>
            </w:r>
            <w:r>
              <w:rPr>
                <w:noProof/>
                <w:webHidden/>
              </w:rPr>
              <w:t>9</w:t>
            </w:r>
            <w:r>
              <w:rPr>
                <w:noProof/>
                <w:webHidden/>
              </w:rPr>
              <w:fldChar w:fldCharType="end"/>
            </w:r>
          </w:hyperlink>
        </w:p>
        <w:p w14:paraId="1D67007D" w14:textId="2F0588DB" w:rsidR="00AD2D4D" w:rsidRDefault="00AD2D4D" w:rsidP="00AD2D4D">
          <w:pPr>
            <w:pStyle w:val="TOC3"/>
            <w:tabs>
              <w:tab w:val="right" w:leader="dot" w:pos="9016"/>
            </w:tabs>
            <w:ind w:left="0"/>
            <w:rPr>
              <w:noProof/>
            </w:rPr>
          </w:pPr>
          <w:hyperlink w:anchor="_Toc232104902" w:history="1">
            <w:r w:rsidRPr="0092757A">
              <w:rPr>
                <w:rStyle w:val="Hyperlink"/>
                <w:noProof/>
              </w:rPr>
              <w:t>Conclusion and Recommendations</w:t>
            </w:r>
            <w:r>
              <w:rPr>
                <w:noProof/>
                <w:webHidden/>
              </w:rPr>
              <w:tab/>
            </w:r>
            <w:r>
              <w:rPr>
                <w:noProof/>
                <w:webHidden/>
              </w:rPr>
              <w:fldChar w:fldCharType="begin"/>
            </w:r>
            <w:r>
              <w:rPr>
                <w:noProof/>
                <w:webHidden/>
              </w:rPr>
              <w:instrText xml:space="preserve"> PAGEREF _Toc232104902 \h </w:instrText>
            </w:r>
            <w:r>
              <w:rPr>
                <w:noProof/>
                <w:webHidden/>
              </w:rPr>
            </w:r>
            <w:r>
              <w:rPr>
                <w:noProof/>
                <w:webHidden/>
              </w:rPr>
              <w:fldChar w:fldCharType="separate"/>
            </w:r>
            <w:r>
              <w:rPr>
                <w:noProof/>
                <w:webHidden/>
              </w:rPr>
              <w:t>10</w:t>
            </w:r>
            <w:r>
              <w:rPr>
                <w:noProof/>
                <w:webHidden/>
              </w:rPr>
              <w:fldChar w:fldCharType="end"/>
            </w:r>
          </w:hyperlink>
        </w:p>
        <w:p w14:paraId="138A7BC7" w14:textId="39903057" w:rsidR="00AD2D4D" w:rsidRDefault="00AD2D4D" w:rsidP="00AD2D4D">
          <w:pPr>
            <w:pStyle w:val="TOC2"/>
            <w:tabs>
              <w:tab w:val="right" w:leader="dot" w:pos="9016"/>
            </w:tabs>
            <w:ind w:left="0"/>
            <w:rPr>
              <w:noProof/>
            </w:rPr>
          </w:pPr>
          <w:hyperlink w:anchor="_Toc232104903" w:history="1">
            <w:r w:rsidRPr="0092757A">
              <w:rPr>
                <w:rStyle w:val="Hyperlink"/>
                <w:noProof/>
              </w:rPr>
              <w:t>References:</w:t>
            </w:r>
            <w:r>
              <w:rPr>
                <w:noProof/>
                <w:webHidden/>
              </w:rPr>
              <w:tab/>
            </w:r>
            <w:r>
              <w:rPr>
                <w:noProof/>
                <w:webHidden/>
              </w:rPr>
              <w:fldChar w:fldCharType="begin"/>
            </w:r>
            <w:r>
              <w:rPr>
                <w:noProof/>
                <w:webHidden/>
              </w:rPr>
              <w:instrText xml:space="preserve"> PAGEREF _Toc232104903 \h </w:instrText>
            </w:r>
            <w:r>
              <w:rPr>
                <w:noProof/>
                <w:webHidden/>
              </w:rPr>
            </w:r>
            <w:r>
              <w:rPr>
                <w:noProof/>
                <w:webHidden/>
              </w:rPr>
              <w:fldChar w:fldCharType="separate"/>
            </w:r>
            <w:r>
              <w:rPr>
                <w:noProof/>
                <w:webHidden/>
              </w:rPr>
              <w:t>11</w:t>
            </w:r>
            <w:r>
              <w:rPr>
                <w:noProof/>
                <w:webHidden/>
              </w:rPr>
              <w:fldChar w:fldCharType="end"/>
            </w:r>
          </w:hyperlink>
        </w:p>
        <w:p w14:paraId="04174657" w14:textId="6B9B5851" w:rsidR="00AD2D4D" w:rsidRDefault="00AD2D4D">
          <w:r>
            <w:rPr>
              <w:b/>
              <w:bCs/>
            </w:rPr>
            <w:fldChar w:fldCharType="end"/>
          </w:r>
        </w:p>
      </w:sdtContent>
    </w:sdt>
    <w:p w14:paraId="34CDE288" w14:textId="77777777" w:rsidR="0062700F" w:rsidRDefault="0062700F">
      <w:pPr>
        <w:rPr>
          <w:lang w:val="ro-RO"/>
        </w:rPr>
      </w:pPr>
    </w:p>
    <w:p w14:paraId="75D8E12C" w14:textId="77777777" w:rsidR="0062700F" w:rsidRDefault="0062700F">
      <w:pPr>
        <w:rPr>
          <w:lang w:val="ro-RO"/>
        </w:rPr>
      </w:pPr>
    </w:p>
    <w:p w14:paraId="5BC95F65" w14:textId="77777777" w:rsidR="0062700F" w:rsidRDefault="0062700F">
      <w:pPr>
        <w:rPr>
          <w:lang w:val="ro-RO"/>
        </w:rPr>
      </w:pPr>
    </w:p>
    <w:p w14:paraId="3CB54AC1" w14:textId="77777777" w:rsidR="0062700F" w:rsidRDefault="0062700F">
      <w:pPr>
        <w:rPr>
          <w:lang w:val="ro-RO"/>
        </w:rPr>
      </w:pPr>
    </w:p>
    <w:p w14:paraId="6497ED2E" w14:textId="77777777" w:rsidR="0062700F" w:rsidRDefault="0062700F">
      <w:pPr>
        <w:rPr>
          <w:lang w:val="ro-RO"/>
        </w:rPr>
      </w:pPr>
    </w:p>
    <w:p w14:paraId="5CD47391" w14:textId="77777777" w:rsidR="0062700F" w:rsidRDefault="0062700F">
      <w:pPr>
        <w:rPr>
          <w:lang w:val="ro-RO"/>
        </w:rPr>
      </w:pPr>
    </w:p>
    <w:p w14:paraId="2479E4CE" w14:textId="77777777" w:rsidR="0062700F" w:rsidRDefault="0062700F">
      <w:pPr>
        <w:rPr>
          <w:lang w:val="ro-RO"/>
        </w:rPr>
      </w:pPr>
    </w:p>
    <w:p w14:paraId="2FF6ED59" w14:textId="77777777" w:rsidR="0062700F" w:rsidRDefault="0062700F">
      <w:pPr>
        <w:rPr>
          <w:lang w:val="ro-RO"/>
        </w:rPr>
      </w:pPr>
    </w:p>
    <w:p w14:paraId="1B00E32A" w14:textId="77777777" w:rsidR="0062700F" w:rsidRDefault="0062700F">
      <w:pPr>
        <w:rPr>
          <w:lang w:val="ro-RO"/>
        </w:rPr>
      </w:pPr>
    </w:p>
    <w:p w14:paraId="7E81D722" w14:textId="77777777" w:rsidR="0062700F" w:rsidRDefault="0062700F">
      <w:pPr>
        <w:rPr>
          <w:lang w:val="ro-RO"/>
        </w:rPr>
      </w:pPr>
    </w:p>
    <w:p w14:paraId="3861E6CD" w14:textId="77777777" w:rsidR="0062700F" w:rsidRDefault="0062700F">
      <w:pPr>
        <w:rPr>
          <w:lang w:val="ro-RO"/>
        </w:rPr>
      </w:pPr>
    </w:p>
    <w:p w14:paraId="14A0ED21" w14:textId="77777777" w:rsidR="0062700F" w:rsidRDefault="0062700F">
      <w:pPr>
        <w:rPr>
          <w:lang w:val="ro-RO"/>
        </w:rPr>
      </w:pPr>
    </w:p>
    <w:p w14:paraId="64AEBD83" w14:textId="77777777" w:rsidR="0062700F" w:rsidRDefault="0062700F">
      <w:pPr>
        <w:rPr>
          <w:lang w:val="ro-RO"/>
        </w:rPr>
      </w:pPr>
    </w:p>
    <w:p w14:paraId="5B1813EC" w14:textId="77777777" w:rsidR="0062700F" w:rsidRDefault="0062700F">
      <w:pPr>
        <w:rPr>
          <w:lang w:val="ro-RO"/>
        </w:rPr>
      </w:pPr>
    </w:p>
    <w:p w14:paraId="2034173E" w14:textId="77777777" w:rsidR="0062700F" w:rsidRDefault="0062700F">
      <w:pPr>
        <w:rPr>
          <w:lang w:val="ro-RO"/>
        </w:rPr>
      </w:pPr>
    </w:p>
    <w:p w14:paraId="21CF2AED" w14:textId="77777777" w:rsidR="0062700F" w:rsidRDefault="0062700F">
      <w:pPr>
        <w:rPr>
          <w:lang w:val="ro-RO"/>
        </w:rPr>
      </w:pPr>
    </w:p>
    <w:p w14:paraId="3D05D14A" w14:textId="77777777" w:rsidR="0062700F" w:rsidRDefault="0062700F">
      <w:pPr>
        <w:rPr>
          <w:lang w:val="ro-RO"/>
        </w:rPr>
      </w:pPr>
    </w:p>
    <w:p w14:paraId="3149ADCA" w14:textId="77777777" w:rsidR="0062700F" w:rsidRDefault="0062700F" w:rsidP="00AD2D4D">
      <w:pPr>
        <w:pStyle w:val="Heading2"/>
      </w:pPr>
      <w:bookmarkStart w:id="0" w:name="_Toc232104894"/>
      <w:r w:rsidRPr="00AD2D4D">
        <w:lastRenderedPageBreak/>
        <w:t>Executive Summary</w:t>
      </w:r>
      <w:bookmarkEnd w:id="0"/>
    </w:p>
    <w:p w14:paraId="544F0D59" w14:textId="77777777" w:rsidR="00AD2D4D" w:rsidRPr="00AD2D4D" w:rsidRDefault="00AD2D4D" w:rsidP="00AD2D4D">
      <w:pPr>
        <w:spacing w:line="360" w:lineRule="auto"/>
        <w:jc w:val="both"/>
        <w:rPr>
          <w:rFonts w:ascii="Arial" w:hAnsi="Arial" w:cs="Arial"/>
          <w:b/>
          <w:bCs/>
        </w:rPr>
      </w:pPr>
    </w:p>
    <w:p w14:paraId="10F60995" w14:textId="07B80BCA" w:rsidR="00FE3B2A" w:rsidRPr="00AD2D4D" w:rsidRDefault="00FE3B2A" w:rsidP="00AD2D4D">
      <w:pPr>
        <w:spacing w:line="360" w:lineRule="auto"/>
        <w:jc w:val="both"/>
        <w:rPr>
          <w:rFonts w:ascii="Arial" w:hAnsi="Arial" w:cs="Arial"/>
        </w:rPr>
      </w:pPr>
      <w:r w:rsidRPr="00AD2D4D">
        <w:rPr>
          <w:rFonts w:ascii="Arial" w:hAnsi="Arial" w:cs="Arial"/>
        </w:rPr>
        <w:t>The UK automotive industry is undergoing a complete transition in its traditional business form because of innovative technologies, environmental legislation and changing consumer choices. Additionally, the changing mobility as a service has impacted automotive change in the UK. The rising popularity and usage of hybrid and electric vehicles are clear indications that the sector is moving towards sustainable mobility more than ever before. Any auto manufacturer within a sector will understand the opportunities arising out of the changes to the sector as well as the challenges context, if he understands the change and acts upon it effectively. This report demonstrates a major understanding of Toyota Motor Company and the strategic position of the firm in the UK automotive industry.</w:t>
      </w:r>
    </w:p>
    <w:p w14:paraId="6DAE1748" w14:textId="7EAC8231" w:rsidR="0062700F" w:rsidRPr="00AD2D4D" w:rsidRDefault="00FE3B2A" w:rsidP="00AD2D4D">
      <w:pPr>
        <w:spacing w:line="360" w:lineRule="auto"/>
        <w:jc w:val="both"/>
        <w:rPr>
          <w:rFonts w:ascii="Arial" w:hAnsi="Arial" w:cs="Arial"/>
        </w:rPr>
      </w:pPr>
      <w:r w:rsidRPr="00AD2D4D">
        <w:rPr>
          <w:rFonts w:ascii="Arial" w:hAnsi="Arial" w:cs="Arial"/>
        </w:rPr>
        <w:t xml:space="preserve">The </w:t>
      </w:r>
      <w:r w:rsidR="00AD2D4D" w:rsidRPr="00AD2D4D">
        <w:rPr>
          <w:rFonts w:ascii="Arial" w:hAnsi="Arial" w:cs="Arial"/>
        </w:rPr>
        <w:t>report implements</w:t>
      </w:r>
      <w:r w:rsidRPr="00AD2D4D">
        <w:rPr>
          <w:rFonts w:ascii="Arial" w:hAnsi="Arial" w:cs="Arial"/>
        </w:rPr>
        <w:t xml:space="preserve"> strategic management frameworks on the UK automotive industry and Toyota Motor Corporation and provide strategic evaluation of top management decisions within the organization such as PESTLE analysis, Porter’s Five Forces, Value Chain Analysis, RBV, VRIO and SWOT analysis. </w:t>
      </w:r>
    </w:p>
    <w:p w14:paraId="45D0E9EA" w14:textId="77777777" w:rsidR="0062700F" w:rsidRPr="00AD2D4D" w:rsidRDefault="0062700F" w:rsidP="00AD2D4D">
      <w:pPr>
        <w:spacing w:line="360" w:lineRule="auto"/>
        <w:jc w:val="both"/>
        <w:rPr>
          <w:rFonts w:ascii="Arial" w:hAnsi="Arial" w:cs="Arial"/>
        </w:rPr>
      </w:pPr>
    </w:p>
    <w:p w14:paraId="7BA831A6" w14:textId="77777777" w:rsidR="0062700F" w:rsidRPr="00AD2D4D" w:rsidRDefault="0062700F" w:rsidP="00AD2D4D">
      <w:pPr>
        <w:spacing w:line="360" w:lineRule="auto"/>
        <w:jc w:val="both"/>
        <w:rPr>
          <w:rFonts w:ascii="Arial" w:hAnsi="Arial" w:cs="Arial"/>
        </w:rPr>
      </w:pPr>
    </w:p>
    <w:p w14:paraId="67F9B602" w14:textId="77777777" w:rsidR="0062700F" w:rsidRPr="00AD2D4D" w:rsidRDefault="0062700F" w:rsidP="00AD2D4D">
      <w:pPr>
        <w:spacing w:line="360" w:lineRule="auto"/>
        <w:jc w:val="both"/>
        <w:rPr>
          <w:rFonts w:ascii="Arial" w:hAnsi="Arial" w:cs="Arial"/>
        </w:rPr>
      </w:pPr>
    </w:p>
    <w:p w14:paraId="2DCF9FC2" w14:textId="77777777" w:rsidR="0062700F" w:rsidRPr="00AD2D4D" w:rsidRDefault="0062700F" w:rsidP="00AD2D4D">
      <w:pPr>
        <w:spacing w:line="360" w:lineRule="auto"/>
        <w:jc w:val="both"/>
        <w:rPr>
          <w:rFonts w:ascii="Arial" w:hAnsi="Arial" w:cs="Arial"/>
        </w:rPr>
      </w:pPr>
    </w:p>
    <w:p w14:paraId="134F8D46" w14:textId="77777777" w:rsidR="0062700F" w:rsidRDefault="0062700F" w:rsidP="00AD2D4D">
      <w:pPr>
        <w:spacing w:line="360" w:lineRule="auto"/>
        <w:jc w:val="both"/>
        <w:rPr>
          <w:rFonts w:ascii="Arial" w:hAnsi="Arial" w:cs="Arial"/>
        </w:rPr>
      </w:pPr>
    </w:p>
    <w:p w14:paraId="3375CC16" w14:textId="77777777" w:rsidR="00EC3EA6" w:rsidRDefault="00EC3EA6" w:rsidP="00AD2D4D">
      <w:pPr>
        <w:spacing w:line="360" w:lineRule="auto"/>
        <w:jc w:val="both"/>
        <w:rPr>
          <w:rFonts w:ascii="Arial" w:hAnsi="Arial" w:cs="Arial"/>
        </w:rPr>
      </w:pPr>
    </w:p>
    <w:p w14:paraId="67932635" w14:textId="77777777" w:rsidR="00EC3EA6" w:rsidRDefault="00EC3EA6" w:rsidP="00AD2D4D">
      <w:pPr>
        <w:spacing w:line="360" w:lineRule="auto"/>
        <w:jc w:val="both"/>
        <w:rPr>
          <w:rFonts w:ascii="Arial" w:hAnsi="Arial" w:cs="Arial"/>
        </w:rPr>
      </w:pPr>
    </w:p>
    <w:p w14:paraId="57D579B3" w14:textId="77777777" w:rsidR="00EC3EA6" w:rsidRPr="00AD2D4D" w:rsidRDefault="00EC3EA6" w:rsidP="00AD2D4D">
      <w:pPr>
        <w:spacing w:line="360" w:lineRule="auto"/>
        <w:jc w:val="both"/>
        <w:rPr>
          <w:rFonts w:ascii="Arial" w:hAnsi="Arial" w:cs="Arial"/>
        </w:rPr>
      </w:pPr>
    </w:p>
    <w:p w14:paraId="7CEE6811" w14:textId="77777777" w:rsidR="0062700F" w:rsidRPr="00AD2D4D" w:rsidRDefault="0062700F" w:rsidP="00AD2D4D">
      <w:pPr>
        <w:spacing w:line="360" w:lineRule="auto"/>
        <w:jc w:val="both"/>
        <w:rPr>
          <w:rFonts w:ascii="Arial" w:hAnsi="Arial" w:cs="Arial"/>
        </w:rPr>
      </w:pPr>
    </w:p>
    <w:p w14:paraId="72414ACF" w14:textId="77777777" w:rsidR="0062700F" w:rsidRPr="00AD2D4D" w:rsidRDefault="0062700F" w:rsidP="00AD2D4D">
      <w:pPr>
        <w:spacing w:line="360" w:lineRule="auto"/>
        <w:jc w:val="both"/>
        <w:rPr>
          <w:rFonts w:ascii="Arial" w:hAnsi="Arial" w:cs="Arial"/>
        </w:rPr>
      </w:pPr>
    </w:p>
    <w:p w14:paraId="1E5BF32B" w14:textId="77777777" w:rsidR="0062700F" w:rsidRPr="00AD2D4D" w:rsidRDefault="0062700F" w:rsidP="00AD2D4D">
      <w:pPr>
        <w:spacing w:line="360" w:lineRule="auto"/>
        <w:jc w:val="both"/>
        <w:rPr>
          <w:rFonts w:ascii="Arial" w:hAnsi="Arial" w:cs="Arial"/>
        </w:rPr>
      </w:pPr>
    </w:p>
    <w:p w14:paraId="6E0E4FC0" w14:textId="0035C987" w:rsidR="0062700F" w:rsidRPr="00AD2D4D" w:rsidRDefault="0062700F" w:rsidP="00AD2D4D">
      <w:pPr>
        <w:spacing w:line="360" w:lineRule="auto"/>
        <w:jc w:val="both"/>
        <w:rPr>
          <w:rFonts w:ascii="Arial" w:hAnsi="Arial" w:cs="Arial"/>
        </w:rPr>
      </w:pPr>
    </w:p>
    <w:p w14:paraId="39C66281" w14:textId="77777777" w:rsidR="0062700F" w:rsidRPr="00AD2D4D" w:rsidRDefault="0062700F" w:rsidP="00AD2D4D">
      <w:pPr>
        <w:spacing w:line="360" w:lineRule="auto"/>
        <w:jc w:val="both"/>
        <w:rPr>
          <w:rFonts w:ascii="Arial" w:hAnsi="Arial" w:cs="Arial"/>
          <w:b/>
          <w:bCs/>
        </w:rPr>
      </w:pPr>
      <w:r w:rsidRPr="00AD2D4D">
        <w:rPr>
          <w:rFonts w:ascii="Arial" w:hAnsi="Arial" w:cs="Arial"/>
          <w:b/>
          <w:bCs/>
        </w:rPr>
        <w:lastRenderedPageBreak/>
        <w:t>Strategic Management Analysis of Toyota in the UK Automotive Sector</w:t>
      </w:r>
    </w:p>
    <w:p w14:paraId="1436FC54" w14:textId="77777777" w:rsidR="0062700F" w:rsidRPr="00AD2D4D" w:rsidRDefault="0062700F" w:rsidP="00AD2D4D">
      <w:pPr>
        <w:spacing w:line="360" w:lineRule="auto"/>
        <w:jc w:val="both"/>
        <w:rPr>
          <w:rFonts w:ascii="Arial" w:hAnsi="Arial" w:cs="Arial"/>
        </w:rPr>
      </w:pPr>
    </w:p>
    <w:p w14:paraId="07989AAA" w14:textId="77777777" w:rsidR="0062700F" w:rsidRPr="00AD2D4D" w:rsidRDefault="0062700F" w:rsidP="00AD2D4D">
      <w:pPr>
        <w:pStyle w:val="Heading1"/>
      </w:pPr>
      <w:bookmarkStart w:id="1" w:name="_Toc232104895"/>
      <w:r w:rsidRPr="00AD2D4D">
        <w:t>Introduction</w:t>
      </w:r>
      <w:bookmarkEnd w:id="1"/>
    </w:p>
    <w:p w14:paraId="2A8F3BD6" w14:textId="2A80F997" w:rsidR="00182B92" w:rsidRPr="00AD2D4D" w:rsidRDefault="00AD2D4D" w:rsidP="00AD2D4D">
      <w:pPr>
        <w:spacing w:line="360" w:lineRule="auto"/>
        <w:jc w:val="both"/>
        <w:rPr>
          <w:rFonts w:ascii="Arial" w:hAnsi="Arial" w:cs="Arial"/>
          <w:b/>
          <w:bCs/>
        </w:rPr>
      </w:pPr>
      <w:r>
        <w:rPr>
          <w:rFonts w:ascii="Arial" w:hAnsi="Arial" w:cs="Arial"/>
          <w:noProof/>
        </w:rPr>
        <w:drawing>
          <wp:anchor distT="0" distB="0" distL="114300" distR="114300" simplePos="0" relativeHeight="251659264" behindDoc="0" locked="0" layoutInCell="1" allowOverlap="1" wp14:anchorId="07E7F366" wp14:editId="2578B585">
            <wp:simplePos x="0" y="0"/>
            <wp:positionH relativeFrom="margin">
              <wp:align>left</wp:align>
            </wp:positionH>
            <wp:positionV relativeFrom="margin">
              <wp:posOffset>1831975</wp:posOffset>
            </wp:positionV>
            <wp:extent cx="2678144" cy="1450340"/>
            <wp:effectExtent l="0" t="0" r="8255" b="0"/>
            <wp:wrapSquare wrapText="bothSides"/>
            <wp:docPr id="19770289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028992" name="Picture 2"/>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678144" cy="1450340"/>
                    </a:xfrm>
                    <a:prstGeom prst="rect">
                      <a:avLst/>
                    </a:prstGeom>
                  </pic:spPr>
                </pic:pic>
              </a:graphicData>
            </a:graphic>
          </wp:anchor>
        </w:drawing>
      </w:r>
    </w:p>
    <w:p w14:paraId="0D24227D" w14:textId="447A8227" w:rsidR="008A7374" w:rsidRPr="00AD2D4D" w:rsidRDefault="008A7374" w:rsidP="00AD2D4D">
      <w:pPr>
        <w:spacing w:line="360" w:lineRule="auto"/>
        <w:jc w:val="both"/>
        <w:rPr>
          <w:rFonts w:ascii="Arial" w:hAnsi="Arial" w:cs="Arial"/>
        </w:rPr>
      </w:pPr>
      <w:r w:rsidRPr="00AD2D4D">
        <w:rPr>
          <w:rFonts w:ascii="Arial" w:hAnsi="Arial" w:cs="Arial"/>
        </w:rPr>
        <w:t xml:space="preserve">Strategic management refers to a process undertaken by organizations to chart out its future goals. Furthermore, they take measures to implement those plans to attain their long-term goals and build a competitive edge. Every organization has an internal and external environment which includes stakeholders and other interested parties (Johnson et al., 2023). Strategic management is therefore used to analyse the organisations’ internal and external environments. </w:t>
      </w:r>
      <w:r w:rsidR="00182B92" w:rsidRPr="00AD2D4D">
        <w:rPr>
          <w:rFonts w:ascii="Arial" w:hAnsi="Arial" w:cs="Arial"/>
        </w:rPr>
        <w:t>Thus,</w:t>
      </w:r>
      <w:r w:rsidRPr="00AD2D4D">
        <w:rPr>
          <w:rFonts w:ascii="Arial" w:hAnsi="Arial" w:cs="Arial"/>
        </w:rPr>
        <w:t xml:space="preserve"> efficient devising and application of different strategies would help the organisation to attain long term success. Thus, the management of an organisation is responsible for strategic management.</w:t>
      </w:r>
    </w:p>
    <w:p w14:paraId="12B5730C" w14:textId="315C39FF" w:rsidR="008A7374" w:rsidRPr="00AD2D4D" w:rsidRDefault="008A7374" w:rsidP="00AD2D4D">
      <w:pPr>
        <w:spacing w:line="360" w:lineRule="auto"/>
        <w:jc w:val="both"/>
        <w:rPr>
          <w:rFonts w:ascii="Arial" w:hAnsi="Arial" w:cs="Arial"/>
        </w:rPr>
      </w:pPr>
      <w:r w:rsidRPr="00AD2D4D">
        <w:rPr>
          <w:rFonts w:ascii="Arial" w:hAnsi="Arial" w:cs="Arial"/>
        </w:rPr>
        <w:t xml:space="preserve">The strategic </w:t>
      </w:r>
      <w:r w:rsidR="00182B92" w:rsidRPr="00AD2D4D">
        <w:rPr>
          <w:rFonts w:ascii="Arial" w:hAnsi="Arial" w:cs="Arial"/>
        </w:rPr>
        <w:t>issue</w:t>
      </w:r>
      <w:r w:rsidRPr="00AD2D4D">
        <w:rPr>
          <w:rFonts w:ascii="Arial" w:hAnsi="Arial" w:cs="Arial"/>
        </w:rPr>
        <w:t xml:space="preserve"> of the organisation depends upon the industry of the organisation. </w:t>
      </w:r>
      <w:r w:rsidR="00182B92" w:rsidRPr="00AD2D4D">
        <w:rPr>
          <w:rFonts w:ascii="Arial" w:hAnsi="Arial" w:cs="Arial"/>
        </w:rPr>
        <w:t>Firms</w:t>
      </w:r>
      <w:r w:rsidRPr="00AD2D4D">
        <w:rPr>
          <w:rFonts w:ascii="Arial" w:hAnsi="Arial" w:cs="Arial"/>
        </w:rPr>
        <w:t xml:space="preserve"> operating in highly competitive and rapidly changing sectors engage in strategic management. For example, it is very tough for organisations to operate in the automotive sector (Gratton et al., 2017). Moreover, this industry is suffering technological disruption with the consumers switching towards electric vehicles. Environmental concern, evolving consumers demands, and regulatory change are also.</w:t>
      </w:r>
    </w:p>
    <w:p w14:paraId="7787BF07" w14:textId="6FB56F7E" w:rsidR="008A7374" w:rsidRPr="00AD2D4D" w:rsidRDefault="008A7374" w:rsidP="00AD2D4D">
      <w:pPr>
        <w:spacing w:line="360" w:lineRule="auto"/>
        <w:jc w:val="both"/>
        <w:rPr>
          <w:rFonts w:ascii="Arial" w:hAnsi="Arial" w:cs="Arial"/>
        </w:rPr>
      </w:pPr>
      <w:r w:rsidRPr="00AD2D4D">
        <w:rPr>
          <w:rFonts w:ascii="Arial" w:hAnsi="Arial" w:cs="Arial"/>
        </w:rPr>
        <w:t>Toyota is determined to fulfil their serious wish of realizing their dreams. Toyota Ltd is on a mission to produce high-quality vehicles that exceed customer expectations and to technological and additional customer-added value. Second, Technological innovation and improvements through permanent Research and Development. A third goal is to achieve harmony with the global environment through corporate activities. And lastly the enhancement of corporate social responsibility activities worldwide (Toyota Motor Corporation 2024).</w:t>
      </w:r>
    </w:p>
    <w:p w14:paraId="2DB8608A" w14:textId="2669BC79" w:rsidR="008A7374" w:rsidRPr="00AD2D4D" w:rsidRDefault="008A7374" w:rsidP="00AD2D4D">
      <w:pPr>
        <w:spacing w:line="360" w:lineRule="auto"/>
        <w:jc w:val="both"/>
        <w:rPr>
          <w:rFonts w:ascii="Arial" w:hAnsi="Arial" w:cs="Arial"/>
        </w:rPr>
      </w:pPr>
      <w:r w:rsidRPr="00AD2D4D">
        <w:rPr>
          <w:rFonts w:ascii="Arial" w:hAnsi="Arial" w:cs="Arial"/>
        </w:rPr>
        <w:lastRenderedPageBreak/>
        <w:t>The Toyota Motor Corporation aims for carbon neutrality and other targets. Maintaining continuous technological leadership and constantly optimizing operational efficiency. And ultimately continuously expanding sustainable mobility solutions globally (Toyota Motor Corporation 2024).</w:t>
      </w:r>
    </w:p>
    <w:p w14:paraId="5D7208A1" w14:textId="165F80D5" w:rsidR="0062700F" w:rsidRPr="00AD2D4D" w:rsidRDefault="008A7374" w:rsidP="00AD2D4D">
      <w:pPr>
        <w:spacing w:line="360" w:lineRule="auto"/>
        <w:jc w:val="both"/>
        <w:rPr>
          <w:rFonts w:ascii="Arial" w:hAnsi="Arial" w:cs="Arial"/>
        </w:rPr>
      </w:pPr>
      <w:r w:rsidRPr="00AD2D4D">
        <w:rPr>
          <w:rFonts w:ascii="Arial" w:hAnsi="Arial" w:cs="Arial"/>
        </w:rPr>
        <w:t xml:space="preserve">It is important to analyse strategic position of Toyota due to the changing automotive ecosphere of United Kingdom.  </w:t>
      </w:r>
    </w:p>
    <w:p w14:paraId="05B616D6" w14:textId="77777777" w:rsidR="0062700F" w:rsidRPr="00AD2D4D" w:rsidRDefault="0062700F" w:rsidP="00AD2D4D">
      <w:pPr>
        <w:spacing w:line="360" w:lineRule="auto"/>
        <w:jc w:val="center"/>
        <w:rPr>
          <w:rFonts w:ascii="Arial" w:hAnsi="Arial" w:cs="Arial"/>
          <w:b/>
          <w:bCs/>
        </w:rPr>
      </w:pPr>
      <w:r w:rsidRPr="00AD2D4D">
        <w:rPr>
          <w:rFonts w:ascii="Arial" w:hAnsi="Arial" w:cs="Arial"/>
          <w:b/>
          <w:bCs/>
        </w:rPr>
        <w:t>Strategy Analysis</w:t>
      </w:r>
    </w:p>
    <w:p w14:paraId="3596B5A8" w14:textId="77777777" w:rsidR="0062700F" w:rsidRPr="00AD2D4D" w:rsidRDefault="0062700F" w:rsidP="00AD2D4D">
      <w:pPr>
        <w:spacing w:line="360" w:lineRule="auto"/>
        <w:jc w:val="center"/>
        <w:rPr>
          <w:rFonts w:ascii="Arial" w:hAnsi="Arial" w:cs="Arial"/>
          <w:b/>
          <w:bCs/>
        </w:rPr>
      </w:pPr>
      <w:r w:rsidRPr="00AD2D4D">
        <w:rPr>
          <w:rFonts w:ascii="Arial" w:hAnsi="Arial" w:cs="Arial"/>
          <w:b/>
          <w:bCs/>
        </w:rPr>
        <w:t>External Environment Audit</w:t>
      </w:r>
    </w:p>
    <w:p w14:paraId="71C3C46C" w14:textId="77777777" w:rsidR="0062700F" w:rsidRDefault="0062700F" w:rsidP="00AD2D4D">
      <w:pPr>
        <w:pStyle w:val="Heading2"/>
      </w:pPr>
      <w:bookmarkStart w:id="2" w:name="_Toc232104896"/>
      <w:r w:rsidRPr="00AD2D4D">
        <w:t>PESTLE Analysis</w:t>
      </w:r>
      <w:bookmarkEnd w:id="2"/>
    </w:p>
    <w:p w14:paraId="72A568EF" w14:textId="77777777" w:rsidR="00EC3EA6" w:rsidRDefault="00EC3EA6" w:rsidP="00EC3EA6"/>
    <w:p w14:paraId="7326227E" w14:textId="2B0CE787" w:rsidR="00EC3EA6" w:rsidRDefault="00EC3EA6" w:rsidP="00EC3EA6">
      <w:r>
        <w:rPr>
          <w:noProof/>
        </w:rPr>
        <w:drawing>
          <wp:inline distT="0" distB="0" distL="0" distR="0" wp14:anchorId="291AEFED" wp14:editId="4FCB264F">
            <wp:extent cx="2423160" cy="2067135"/>
            <wp:effectExtent l="0" t="0" r="0" b="9525"/>
            <wp:docPr id="78094330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0943307" name="Picture 8"/>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423160" cy="2067135"/>
                    </a:xfrm>
                    <a:prstGeom prst="rect">
                      <a:avLst/>
                    </a:prstGeom>
                  </pic:spPr>
                </pic:pic>
              </a:graphicData>
            </a:graphic>
          </wp:inline>
        </w:drawing>
      </w:r>
    </w:p>
    <w:p w14:paraId="1EC1DCF2" w14:textId="77777777" w:rsidR="00EC3EA6" w:rsidRDefault="00EC3EA6" w:rsidP="00EC3EA6"/>
    <w:p w14:paraId="21BDEE91" w14:textId="77777777" w:rsidR="00B07D7E" w:rsidRPr="00AD2D4D" w:rsidRDefault="00B07D7E" w:rsidP="00AD2D4D">
      <w:pPr>
        <w:spacing w:line="360" w:lineRule="auto"/>
        <w:jc w:val="both"/>
        <w:rPr>
          <w:rFonts w:ascii="Arial" w:hAnsi="Arial" w:cs="Arial"/>
        </w:rPr>
      </w:pPr>
      <w:r w:rsidRPr="00AD2D4D">
        <w:rPr>
          <w:rFonts w:ascii="Arial" w:hAnsi="Arial" w:cs="Arial"/>
        </w:rPr>
        <w:t>Political forces in the environment have a major impact on the automobile industry. UK has introduced government policies to regulate carbon emissions and encourage low emission vehicles. The government is rapidly moving towards electric and hybrid vehicles with a target of net zero emission by 2050. Furthermore, the government incentives for electric vehicles will provide opportunities for Toyota to diversify their sustainable vehicle business. Conversely, the post Brexit trade deals bring uncertainty on supply chain and trade relations (Department for Transport, 2024).</w:t>
      </w:r>
    </w:p>
    <w:p w14:paraId="57C7AE24" w14:textId="77777777" w:rsidR="00B07D7E" w:rsidRPr="00AD2D4D" w:rsidRDefault="00B07D7E" w:rsidP="00AD2D4D">
      <w:pPr>
        <w:spacing w:line="360" w:lineRule="auto"/>
        <w:jc w:val="both"/>
        <w:rPr>
          <w:rFonts w:ascii="Arial" w:hAnsi="Arial" w:cs="Arial"/>
        </w:rPr>
      </w:pPr>
      <w:r w:rsidRPr="00AD2D4D">
        <w:rPr>
          <w:rFonts w:ascii="Arial" w:hAnsi="Arial" w:cs="Arial"/>
        </w:rPr>
        <w:t>Toyota is also affected by economic conditions. Besides, overall demand for vehicles in the market in the UK hit by higher inflation, increasing interest rates and changing levels of consumer confidence. Increased living expenses may affect customers’ capacity to buy a new car. There is rising demand for fuel-efficient greener vehicles. That gives the firm better prospects for hybrid and electric vehicles (SMMT, 2024).</w:t>
      </w:r>
    </w:p>
    <w:p w14:paraId="0ED1F426" w14:textId="77777777" w:rsidR="00B07D7E" w:rsidRPr="00AD2D4D" w:rsidRDefault="00B07D7E" w:rsidP="00AD2D4D">
      <w:pPr>
        <w:spacing w:line="360" w:lineRule="auto"/>
        <w:jc w:val="both"/>
        <w:rPr>
          <w:rFonts w:ascii="Arial" w:hAnsi="Arial" w:cs="Arial"/>
        </w:rPr>
      </w:pPr>
      <w:r w:rsidRPr="00AD2D4D">
        <w:rPr>
          <w:rFonts w:ascii="Arial" w:hAnsi="Arial" w:cs="Arial"/>
        </w:rPr>
        <w:lastRenderedPageBreak/>
        <w:t>In recent years, there has been a substantial increase in people’s awareness about climate change. Car buyers are ever-more seeking lower-emissions vehicles that are more frugal with fuel. The younger generations increasingly attach importance to the digital connection, smart technologies and mobility services. There’s a huge focus on social factors in consumer behaviour nowadays, within the automotive industry (Deloitte, 2024).</w:t>
      </w:r>
    </w:p>
    <w:p w14:paraId="1BE0F8FE" w14:textId="77777777" w:rsidR="00B07D7E" w:rsidRPr="00AD2D4D" w:rsidRDefault="00B07D7E" w:rsidP="00AD2D4D">
      <w:pPr>
        <w:spacing w:line="360" w:lineRule="auto"/>
        <w:jc w:val="both"/>
        <w:rPr>
          <w:rFonts w:ascii="Arial" w:hAnsi="Arial" w:cs="Arial"/>
        </w:rPr>
      </w:pPr>
      <w:r w:rsidRPr="00AD2D4D">
        <w:rPr>
          <w:rFonts w:ascii="Arial" w:hAnsi="Arial" w:cs="Arial"/>
        </w:rPr>
        <w:t xml:space="preserve">Technology innovations are transforming the automobile industry. Use of batteries, artificial intelligence, autonomous driving, connected cars and digital production technology is changed the existing pattern of competition. Toyota has spent a lot of money on R&amp;D to remain a technology leader. The company is ongoing developing hybrid, battery electric and hydrogen-powered vehicles to meet future mobility requirements (KPMG, 2024). </w:t>
      </w:r>
    </w:p>
    <w:p w14:paraId="3F788ACB" w14:textId="1490657D" w:rsidR="00B07D7E" w:rsidRPr="00AD2D4D" w:rsidRDefault="00B07D7E" w:rsidP="00AD2D4D">
      <w:pPr>
        <w:spacing w:line="360" w:lineRule="auto"/>
        <w:jc w:val="both"/>
        <w:rPr>
          <w:rFonts w:ascii="Arial" w:hAnsi="Arial" w:cs="Arial"/>
        </w:rPr>
      </w:pPr>
      <w:r w:rsidRPr="00AD2D4D">
        <w:rPr>
          <w:rFonts w:ascii="Arial" w:hAnsi="Arial" w:cs="Arial"/>
        </w:rPr>
        <w:t xml:space="preserve">Legal considerations </w:t>
      </w:r>
      <w:r w:rsidR="00AD2D4D" w:rsidRPr="00AD2D4D">
        <w:rPr>
          <w:rFonts w:ascii="Arial" w:hAnsi="Arial" w:cs="Arial"/>
        </w:rPr>
        <w:t>are</w:t>
      </w:r>
      <w:r w:rsidRPr="00AD2D4D">
        <w:rPr>
          <w:rFonts w:ascii="Arial" w:hAnsi="Arial" w:cs="Arial"/>
        </w:rPr>
        <w:t xml:space="preserve"> another essential factor Transport manufacturers face difficult regulations surrounding emissions, safety, data and cybersecurity issues. As vehicles get increasingly connected it is increasingly imperative to comply with the data privacy. An organisation that does not comply may face fines and lose reputation (PwC, 2024).</w:t>
      </w:r>
    </w:p>
    <w:p w14:paraId="54350255" w14:textId="77777777" w:rsidR="00B07D7E" w:rsidRPr="00AD2D4D" w:rsidRDefault="00B07D7E" w:rsidP="00AD2D4D">
      <w:pPr>
        <w:spacing w:line="360" w:lineRule="auto"/>
        <w:jc w:val="both"/>
        <w:rPr>
          <w:rFonts w:ascii="Arial" w:hAnsi="Arial" w:cs="Arial"/>
        </w:rPr>
      </w:pPr>
      <w:r w:rsidRPr="00AD2D4D">
        <w:rPr>
          <w:rFonts w:ascii="Arial" w:hAnsi="Arial" w:cs="Arial"/>
        </w:rPr>
        <w:t>In the automotive industry, ecological issues are becoming a component of strategic management. Businesses are tasked with slashing their carbon footprints while boosting energy efficiency and business sustainability. To achieve that, Toyota has made a pledge to the society. Moreover, the company has already begun numerous initiatives to achieve carbon neutrality and reduce the environmental impact across its value chain (Toyota Motor Corporation, 2021).</w:t>
      </w:r>
    </w:p>
    <w:p w14:paraId="49FD289B" w14:textId="207C1B6E" w:rsidR="0062700F" w:rsidRPr="00AD2D4D" w:rsidRDefault="0062700F" w:rsidP="00AD2D4D">
      <w:pPr>
        <w:pStyle w:val="Heading2"/>
      </w:pPr>
      <w:bookmarkStart w:id="3" w:name="_Toc232104897"/>
      <w:r w:rsidRPr="00AD2D4D">
        <w:t>Porter’s Five Forces Analysis</w:t>
      </w:r>
      <w:bookmarkEnd w:id="3"/>
    </w:p>
    <w:p w14:paraId="7B149963" w14:textId="14CD45AE" w:rsidR="00B07D7E" w:rsidRPr="00AD2D4D" w:rsidRDefault="00B07D7E" w:rsidP="00AD2D4D">
      <w:pPr>
        <w:spacing w:line="360" w:lineRule="auto"/>
        <w:jc w:val="both"/>
        <w:rPr>
          <w:rFonts w:ascii="Arial" w:hAnsi="Arial" w:cs="Arial"/>
        </w:rPr>
      </w:pPr>
      <w:r w:rsidRPr="00AD2D4D">
        <w:rPr>
          <w:rFonts w:ascii="Arial" w:hAnsi="Arial" w:cs="Arial"/>
        </w:rPr>
        <w:t xml:space="preserve">The chance of new competitors entering the market is moderate. Although a significant amount of capital investment, technical expertise, and regulatory compliances are barriers to entry. It doesn’t mean it’s impossible. Some companies that manufacture electric vehicles are competing against incumbents (Deloitte, 2024). The suppliers’ bargaining power is moderate to strong because automotive manufacturers rely on them for critical components. They depend on external suppliers of semiconductors, batteries, electronics and more. This is clear from the recent supply chain shortage. </w:t>
      </w:r>
      <w:r w:rsidRPr="00AD2D4D">
        <w:rPr>
          <w:rFonts w:ascii="Arial" w:hAnsi="Arial" w:cs="Arial"/>
        </w:rPr>
        <w:lastRenderedPageBreak/>
        <w:t>Due to lack of component, production can be hampered and costs will increase (KPMG, 2024).</w:t>
      </w:r>
    </w:p>
    <w:p w14:paraId="1BC4A15E" w14:textId="77777777" w:rsidR="00B07D7E" w:rsidRPr="00AD2D4D" w:rsidRDefault="00B07D7E" w:rsidP="00AD2D4D">
      <w:pPr>
        <w:spacing w:line="360" w:lineRule="auto"/>
        <w:jc w:val="both"/>
        <w:rPr>
          <w:rFonts w:ascii="Arial" w:hAnsi="Arial" w:cs="Arial"/>
        </w:rPr>
      </w:pPr>
      <w:r w:rsidRPr="00AD2D4D">
        <w:rPr>
          <w:rFonts w:ascii="Arial" w:hAnsi="Arial" w:cs="Arial"/>
        </w:rPr>
        <w:t>The bargaining power of buyers is considerably high because of the availability of various brands of automobiles in the market. Moreover, they can also compare the product, price and features through different online portals. As a result, customer expectations rise, and companies are under greater competitive pressure. Similarly, fleet customers too have strong bargaining power due to the number of vehicles they buy.</w:t>
      </w:r>
    </w:p>
    <w:p w14:paraId="616F5CA7" w14:textId="77777777" w:rsidR="00B07D7E" w:rsidRPr="00AD2D4D" w:rsidRDefault="00B07D7E" w:rsidP="00AD2D4D">
      <w:pPr>
        <w:spacing w:line="360" w:lineRule="auto"/>
        <w:jc w:val="both"/>
        <w:rPr>
          <w:rFonts w:ascii="Arial" w:hAnsi="Arial" w:cs="Arial"/>
        </w:rPr>
      </w:pPr>
      <w:r w:rsidRPr="00AD2D4D">
        <w:rPr>
          <w:rFonts w:ascii="Arial" w:hAnsi="Arial" w:cs="Arial"/>
        </w:rPr>
        <w:t>The dangers of alternatives are increasing. Decreasing dependency on owning a car or motorcycle can be achieved through other options such as onboard ridesharing, public transport, cycling, remote working, etc.  Car manufacturers are not only being disrupted by other car manufacturers. There's a constant shift in urban mobility patterns that are causing consumer behaviour and automotive business models to evolve.</w:t>
      </w:r>
    </w:p>
    <w:p w14:paraId="4B41C69F" w14:textId="77777777" w:rsidR="00B07D7E" w:rsidRPr="00AD2D4D" w:rsidRDefault="00B07D7E" w:rsidP="00AD2D4D">
      <w:pPr>
        <w:spacing w:line="360" w:lineRule="auto"/>
        <w:jc w:val="both"/>
        <w:rPr>
          <w:rFonts w:ascii="Arial" w:hAnsi="Arial" w:cs="Arial"/>
        </w:rPr>
      </w:pPr>
      <w:r w:rsidRPr="00AD2D4D">
        <w:rPr>
          <w:rFonts w:ascii="Arial" w:hAnsi="Arial" w:cs="Arial"/>
        </w:rPr>
        <w:t>The competition within the UK automotive sector is extremely high. Toyota faces stiff competition from established automakers like Volkswagen, BMW, Ford, Hyundai, and Mercedes-Benz, as well as newcomers like Tesla. Competition is determined by cost, novel ideas, standard, assistances and experience of the customer. The shift towards electric vehicles has intensified competition further, as companies aim for supremacy in both technology and market (SMMT, 2024).</w:t>
      </w:r>
    </w:p>
    <w:p w14:paraId="473C8889" w14:textId="77777777" w:rsidR="00B07D7E" w:rsidRPr="00AD2D4D" w:rsidRDefault="00B07D7E" w:rsidP="00AD2D4D">
      <w:pPr>
        <w:spacing w:line="360" w:lineRule="auto"/>
        <w:jc w:val="both"/>
        <w:rPr>
          <w:rFonts w:ascii="Arial" w:hAnsi="Arial" w:cs="Arial"/>
        </w:rPr>
      </w:pPr>
    </w:p>
    <w:p w14:paraId="67D686AA" w14:textId="754DF876" w:rsidR="0062700F" w:rsidRPr="00AD2D4D" w:rsidRDefault="0062700F" w:rsidP="00AD2D4D">
      <w:pPr>
        <w:spacing w:line="360" w:lineRule="auto"/>
        <w:jc w:val="both"/>
        <w:rPr>
          <w:rFonts w:ascii="Arial" w:hAnsi="Arial" w:cs="Arial"/>
          <w:b/>
          <w:bCs/>
        </w:rPr>
      </w:pPr>
      <w:r w:rsidRPr="00AD2D4D">
        <w:rPr>
          <w:rFonts w:ascii="Arial" w:hAnsi="Arial" w:cs="Arial"/>
          <w:b/>
          <w:bCs/>
        </w:rPr>
        <w:t>Internal Environment Audit</w:t>
      </w:r>
    </w:p>
    <w:p w14:paraId="2BF91EE5" w14:textId="77777777" w:rsidR="0062700F" w:rsidRPr="00AD2D4D" w:rsidRDefault="0062700F" w:rsidP="00AD2D4D">
      <w:pPr>
        <w:pStyle w:val="Heading2"/>
      </w:pPr>
      <w:bookmarkStart w:id="4" w:name="_Toc232104898"/>
      <w:r w:rsidRPr="00AD2D4D">
        <w:t>Value Chain Analysis</w:t>
      </w:r>
      <w:bookmarkEnd w:id="4"/>
    </w:p>
    <w:p w14:paraId="5C1C8327" w14:textId="77777777" w:rsidR="00182B92" w:rsidRPr="00AD2D4D" w:rsidRDefault="00182B92" w:rsidP="00AD2D4D">
      <w:pPr>
        <w:spacing w:line="360" w:lineRule="auto"/>
        <w:jc w:val="both"/>
        <w:rPr>
          <w:rFonts w:ascii="Arial" w:hAnsi="Arial" w:cs="Arial"/>
        </w:rPr>
      </w:pPr>
      <w:r w:rsidRPr="00AD2D4D">
        <w:rPr>
          <w:rFonts w:ascii="Arial" w:hAnsi="Arial" w:cs="Arial"/>
        </w:rPr>
        <w:t>Toyota’s value chain helps it maintain a competitive advantage. The company’s relationship with suppliers and inventory control power its inbound logistics. Additionally, Toyota obtains quality parts from its global purchasing system (Liker, 2021). The organization is now better able to control expenditures but still benefit from quality input.</w:t>
      </w:r>
    </w:p>
    <w:p w14:paraId="4CE0658E" w14:textId="77777777" w:rsidR="00182B92" w:rsidRPr="00AD2D4D" w:rsidRDefault="00182B92" w:rsidP="00AD2D4D">
      <w:pPr>
        <w:spacing w:line="360" w:lineRule="auto"/>
        <w:jc w:val="both"/>
        <w:rPr>
          <w:rFonts w:ascii="Arial" w:hAnsi="Arial" w:cs="Arial"/>
        </w:rPr>
      </w:pPr>
      <w:r w:rsidRPr="00AD2D4D">
        <w:rPr>
          <w:rFonts w:ascii="Arial" w:hAnsi="Arial" w:cs="Arial"/>
        </w:rPr>
        <w:t xml:space="preserve">Toyota is greatly known for their operations management. The Toyota Production System is considered the best in class in operational performance. Toyota’s lean </w:t>
      </w:r>
      <w:r w:rsidRPr="00AD2D4D">
        <w:rPr>
          <w:rFonts w:ascii="Arial" w:hAnsi="Arial" w:cs="Arial"/>
        </w:rPr>
        <w:lastRenderedPageBreak/>
        <w:t>manufacturing, continuous improvement and waste elimination practices achieve very high productivity, quality and efficiency.</w:t>
      </w:r>
    </w:p>
    <w:p w14:paraId="57A4D220" w14:textId="2402A58D" w:rsidR="00182B92" w:rsidRPr="00AD2D4D" w:rsidRDefault="00AD2D4D" w:rsidP="00AD2D4D">
      <w:pPr>
        <w:spacing w:line="360" w:lineRule="auto"/>
        <w:jc w:val="both"/>
        <w:rPr>
          <w:rFonts w:ascii="Arial" w:hAnsi="Arial" w:cs="Arial"/>
        </w:rPr>
      </w:pPr>
      <w:r w:rsidRPr="00AD2D4D">
        <w:rPr>
          <w:rFonts w:ascii="Arial" w:hAnsi="Arial" w:cs="Arial"/>
        </w:rPr>
        <w:t>Like</w:t>
      </w:r>
      <w:r w:rsidR="00182B92" w:rsidRPr="00AD2D4D">
        <w:rPr>
          <w:rFonts w:ascii="Arial" w:hAnsi="Arial" w:cs="Arial"/>
        </w:rPr>
        <w:t xml:space="preserve"> events logistics, outbound also forms a strength of the company. Another strength of the company is its high distribution network and dealership mechanism. The logistics of the company help in distribution of the products and customer satisfaction.</w:t>
      </w:r>
    </w:p>
    <w:p w14:paraId="691DF1C9" w14:textId="77777777" w:rsidR="00182B92" w:rsidRPr="00AD2D4D" w:rsidRDefault="00182B92" w:rsidP="00AD2D4D">
      <w:pPr>
        <w:spacing w:line="360" w:lineRule="auto"/>
        <w:jc w:val="both"/>
        <w:rPr>
          <w:rFonts w:ascii="Arial" w:hAnsi="Arial" w:cs="Arial"/>
        </w:rPr>
      </w:pPr>
      <w:r w:rsidRPr="00AD2D4D">
        <w:rPr>
          <w:rFonts w:ascii="Arial" w:hAnsi="Arial" w:cs="Arial"/>
        </w:rPr>
        <w:t xml:space="preserve">The marketing and sales functions of Toyota offer reliability, innovation and environmental sustainability. In addition, the UK-based firm’s customer value is what drives its marketing success. </w:t>
      </w:r>
    </w:p>
    <w:p w14:paraId="202A9736" w14:textId="66A65FA7" w:rsidR="00182B92" w:rsidRPr="00AD2D4D" w:rsidRDefault="00182B92" w:rsidP="00AD2D4D">
      <w:pPr>
        <w:spacing w:line="360" w:lineRule="auto"/>
        <w:jc w:val="both"/>
        <w:rPr>
          <w:rFonts w:ascii="Arial" w:hAnsi="Arial" w:cs="Arial"/>
        </w:rPr>
      </w:pPr>
      <w:r w:rsidRPr="00AD2D4D">
        <w:rPr>
          <w:rFonts w:ascii="Arial" w:hAnsi="Arial" w:cs="Arial"/>
        </w:rPr>
        <w:t xml:space="preserve">Overall, technical assistance is also an important strength of Toyota. The corporation offers after sale support, maintenance service and warranty programs. Through these actions, the company builds customer loyalty and establishes a reputation for quality and reliability. </w:t>
      </w:r>
    </w:p>
    <w:p w14:paraId="059EFC95" w14:textId="4F703EEB" w:rsidR="0062700F" w:rsidRDefault="0062700F" w:rsidP="00AD2D4D">
      <w:pPr>
        <w:pStyle w:val="Heading2"/>
      </w:pPr>
      <w:bookmarkStart w:id="5" w:name="_Toc232104899"/>
      <w:r w:rsidRPr="00AD2D4D">
        <w:t>Resource-Based View and VRIO Analysis</w:t>
      </w:r>
      <w:bookmarkEnd w:id="5"/>
    </w:p>
    <w:p w14:paraId="0B25F9D8" w14:textId="77777777" w:rsidR="00AD2D4D" w:rsidRPr="00AD2D4D" w:rsidRDefault="00AD2D4D" w:rsidP="00AD2D4D"/>
    <w:p w14:paraId="3CD7D110" w14:textId="77777777" w:rsidR="00182B92" w:rsidRPr="00AD2D4D" w:rsidRDefault="00182B92" w:rsidP="00AD2D4D">
      <w:pPr>
        <w:spacing w:line="360" w:lineRule="auto"/>
        <w:jc w:val="both"/>
        <w:rPr>
          <w:rFonts w:ascii="Arial" w:hAnsi="Arial" w:cs="Arial"/>
        </w:rPr>
      </w:pPr>
      <w:r w:rsidRPr="00AD2D4D">
        <w:rPr>
          <w:rFonts w:ascii="Arial" w:hAnsi="Arial" w:cs="Arial"/>
        </w:rPr>
        <w:t>The Resource-Based View (RBV) claims that firms can gain a sustainable competitive advantage via owning resources that are valuable, rare, difficult to imitate, and being well-organised to use those resources (Barney et al., 2021). First, Toyota’s brand rank is one of its most valuable resources. For decades, the company has produced high-quality cars that consumers can trust. As a result, they have built up trust from customers. You can’t replicate the brand reputation that Toyota has. This has unquestionably given Toyota the means to develop a competitive advantage.</w:t>
      </w:r>
    </w:p>
    <w:p w14:paraId="3E7C25FC" w14:textId="77777777" w:rsidR="00182B92" w:rsidRPr="00AD2D4D" w:rsidRDefault="00182B92" w:rsidP="00AD2D4D">
      <w:pPr>
        <w:spacing w:line="360" w:lineRule="auto"/>
        <w:jc w:val="both"/>
        <w:rPr>
          <w:rFonts w:ascii="Arial" w:hAnsi="Arial" w:cs="Arial"/>
        </w:rPr>
      </w:pPr>
      <w:r w:rsidRPr="00AD2D4D">
        <w:rPr>
          <w:rFonts w:ascii="Arial" w:hAnsi="Arial" w:cs="Arial"/>
        </w:rPr>
        <w:t>Another distinct source that Toyota possesses is the Toyota Production System.  Organisations from the automotive industry and other industries have attempted to introduce lean production techniques (Liker, 2021). Additionally, very few of these organizations have succeeded in doing so. Toyota has a unique corporate culture, which is focused on on-going development and improvement. Toyota's expertise in this aspect is difficult to copy.</w:t>
      </w:r>
    </w:p>
    <w:p w14:paraId="0E1A8AB5" w14:textId="3BC9FFDA" w:rsidR="0062700F" w:rsidRPr="00AD2D4D" w:rsidRDefault="00182B92" w:rsidP="00AD2D4D">
      <w:pPr>
        <w:spacing w:line="360" w:lineRule="auto"/>
        <w:jc w:val="both"/>
        <w:rPr>
          <w:rFonts w:ascii="Arial" w:hAnsi="Arial" w:cs="Arial"/>
        </w:rPr>
      </w:pPr>
      <w:r w:rsidRPr="00AD2D4D">
        <w:rPr>
          <w:rFonts w:ascii="Arial" w:hAnsi="Arial" w:cs="Arial"/>
        </w:rPr>
        <w:t xml:space="preserve">The company also has a fair amount of hybrid knowhow. Toyota is a developer of hybrid vehicles, with extensive knowledge, patents, and manufacturing experience related to them. Due to such resources, Toyota has been able to take strong positions </w:t>
      </w:r>
      <w:r w:rsidRPr="00AD2D4D">
        <w:rPr>
          <w:rFonts w:ascii="Arial" w:hAnsi="Arial" w:cs="Arial"/>
        </w:rPr>
        <w:lastRenderedPageBreak/>
        <w:t>in the sustainable vehicles. Moreover, financial resources are another source of competitive advantage for Toyota.  Toyota is well organised.</w:t>
      </w:r>
    </w:p>
    <w:p w14:paraId="0B4633E9" w14:textId="77777777" w:rsidR="00182B92" w:rsidRPr="00AD2D4D" w:rsidRDefault="00182B92" w:rsidP="00AD2D4D">
      <w:pPr>
        <w:spacing w:line="360" w:lineRule="auto"/>
        <w:jc w:val="both"/>
        <w:rPr>
          <w:rFonts w:ascii="Arial" w:hAnsi="Arial" w:cs="Arial"/>
        </w:rPr>
      </w:pPr>
    </w:p>
    <w:p w14:paraId="01C42A4F" w14:textId="77777777" w:rsidR="0062700F" w:rsidRPr="00AD2D4D" w:rsidRDefault="0062700F" w:rsidP="00AD2D4D">
      <w:pPr>
        <w:pStyle w:val="Heading2"/>
      </w:pPr>
      <w:bookmarkStart w:id="6" w:name="_Toc232104900"/>
      <w:r w:rsidRPr="00AD2D4D">
        <w:t>SWOT Analysis</w:t>
      </w:r>
      <w:bookmarkEnd w:id="6"/>
    </w:p>
    <w:p w14:paraId="1CC805CD" w14:textId="77777777" w:rsidR="00182B92" w:rsidRPr="00AD2D4D" w:rsidRDefault="00182B92" w:rsidP="00AD2D4D">
      <w:pPr>
        <w:spacing w:line="360" w:lineRule="auto"/>
        <w:jc w:val="both"/>
        <w:rPr>
          <w:rFonts w:ascii="Arial" w:hAnsi="Arial" w:cs="Arial"/>
        </w:rPr>
      </w:pPr>
      <w:r w:rsidRPr="00AD2D4D">
        <w:rPr>
          <w:rFonts w:ascii="Arial" w:hAnsi="Arial" w:cs="Arial"/>
        </w:rPr>
        <w:t>Toyota possesses a well-established portfolio of strengths The company's strength is founded on its strong global brand recognition and its leading position in hybrid technology. Toyota is also operationally excellent with strong financials and an excellent reputation for quality and reliability. The company has a good dealer network and customer loyalty.</w:t>
      </w:r>
    </w:p>
    <w:p w14:paraId="40935201" w14:textId="77777777" w:rsidR="00182B92" w:rsidRPr="00AD2D4D" w:rsidRDefault="00182B92" w:rsidP="00AD2D4D">
      <w:pPr>
        <w:spacing w:line="360" w:lineRule="auto"/>
        <w:jc w:val="both"/>
        <w:rPr>
          <w:rFonts w:ascii="Arial" w:hAnsi="Arial" w:cs="Arial"/>
        </w:rPr>
      </w:pPr>
      <w:r w:rsidRPr="00AD2D4D">
        <w:rPr>
          <w:rFonts w:ascii="Arial" w:hAnsi="Arial" w:cs="Arial"/>
        </w:rPr>
        <w:t>Toyota faces market weaknesses despite having a strong position in the auto market. Initially, in contrast to its competitors, Toyota has been perceived to be slow in the battery electric vehicle portfolio. Management of varied types of technologies like hybrid, hydrogen, electric is another area of concern.</w:t>
      </w:r>
    </w:p>
    <w:p w14:paraId="6EBDC39B" w14:textId="77777777" w:rsidR="00182B92" w:rsidRPr="00AD2D4D" w:rsidRDefault="00182B92" w:rsidP="00AD2D4D">
      <w:pPr>
        <w:spacing w:line="360" w:lineRule="auto"/>
        <w:jc w:val="both"/>
        <w:rPr>
          <w:rFonts w:ascii="Arial" w:hAnsi="Arial" w:cs="Arial"/>
        </w:rPr>
      </w:pPr>
      <w:r w:rsidRPr="00AD2D4D">
        <w:rPr>
          <w:rFonts w:ascii="Arial" w:hAnsi="Arial" w:cs="Arial"/>
        </w:rPr>
        <w:t>A few opportunities in the UK automotive market are here. Because of the increased demand for sustainable transportation, you have government support for electrification. Uses for the future include developing technologies, investing in battery technologies, and connected mobility.</w:t>
      </w:r>
    </w:p>
    <w:p w14:paraId="3C80FC84" w14:textId="0C0FC400" w:rsidR="00182B92" w:rsidRPr="00AD2D4D" w:rsidRDefault="00182B92" w:rsidP="00AD2D4D">
      <w:pPr>
        <w:spacing w:line="360" w:lineRule="auto"/>
        <w:jc w:val="both"/>
        <w:rPr>
          <w:rFonts w:ascii="Arial" w:hAnsi="Arial" w:cs="Arial"/>
        </w:rPr>
      </w:pPr>
      <w:r w:rsidRPr="00AD2D4D">
        <w:rPr>
          <w:rFonts w:ascii="Arial" w:hAnsi="Arial" w:cs="Arial"/>
        </w:rPr>
        <w:t>This organization is also subject to many threats. We face stiff competition from both established and new EV manufacturers. In addition, there will be threats like supply chain disruption, economic uncertainty and regulations. Another threat will the rapid change in the technology and customer preferences.</w:t>
      </w:r>
    </w:p>
    <w:p w14:paraId="2AECD347" w14:textId="77777777" w:rsidR="00182B92" w:rsidRPr="00AD2D4D" w:rsidRDefault="00182B92" w:rsidP="00AD2D4D">
      <w:pPr>
        <w:spacing w:line="360" w:lineRule="auto"/>
        <w:jc w:val="both"/>
        <w:rPr>
          <w:rFonts w:ascii="Arial" w:hAnsi="Arial" w:cs="Arial"/>
        </w:rPr>
      </w:pPr>
    </w:p>
    <w:p w14:paraId="3A9B8D05" w14:textId="5FB84D79" w:rsidR="0062700F" w:rsidRPr="00AD2D4D" w:rsidRDefault="0062700F" w:rsidP="00AD2D4D">
      <w:pPr>
        <w:pStyle w:val="Heading2"/>
      </w:pPr>
      <w:bookmarkStart w:id="7" w:name="_Toc232104901"/>
      <w:r w:rsidRPr="00AD2D4D">
        <w:t>Strategy Formulation</w:t>
      </w:r>
      <w:bookmarkEnd w:id="7"/>
    </w:p>
    <w:p w14:paraId="73167053" w14:textId="77777777" w:rsidR="00182B92" w:rsidRPr="00AD2D4D" w:rsidRDefault="00182B92" w:rsidP="00AD2D4D">
      <w:pPr>
        <w:spacing w:line="360" w:lineRule="auto"/>
        <w:jc w:val="both"/>
        <w:rPr>
          <w:rFonts w:ascii="Arial" w:hAnsi="Arial" w:cs="Arial"/>
          <w:b/>
          <w:bCs/>
        </w:rPr>
      </w:pPr>
    </w:p>
    <w:p w14:paraId="4569643A" w14:textId="2D7FE888" w:rsidR="00182B92" w:rsidRPr="00AD2D4D" w:rsidRDefault="00182B92" w:rsidP="00AD2D4D">
      <w:pPr>
        <w:spacing w:line="360" w:lineRule="auto"/>
        <w:jc w:val="both"/>
        <w:rPr>
          <w:rFonts w:ascii="Arial" w:hAnsi="Arial" w:cs="Arial"/>
        </w:rPr>
      </w:pPr>
      <w:r w:rsidRPr="00AD2D4D">
        <w:rPr>
          <w:rFonts w:ascii="Arial" w:hAnsi="Arial" w:cs="Arial"/>
        </w:rPr>
        <w:t xml:space="preserve">Based on the strategic analysis, Toyota needs to implement several strategies. Toyota must first step up its spending on electric vehicles. The enterprise does well range from Hybridisation towards Battery Electric Vehicles and so on, regulatory pressure along with customer demand, it is likely that future Space is dominated from Battery Electric Vehicles. If Toyota wants to compete better against the likes of Tesla and Volkswagen Group, it has to expand its EV portfolio. Secondly, Toyota should keep on </w:t>
      </w:r>
      <w:r w:rsidRPr="00AD2D4D">
        <w:rPr>
          <w:rFonts w:ascii="Arial" w:hAnsi="Arial" w:cs="Arial"/>
        </w:rPr>
        <w:lastRenderedPageBreak/>
        <w:t xml:space="preserve">investing in hydrogen fuel cell technology and advanced hybrid systems. An assortment of strategies toward sustainable mobility may serve to adapt well to changes in technology over time. These other technologies may be beneficial for commercial vehicle use. </w:t>
      </w:r>
    </w:p>
    <w:p w14:paraId="463B8A61" w14:textId="77777777" w:rsidR="00182B92" w:rsidRPr="00AD2D4D" w:rsidRDefault="00182B92" w:rsidP="00AD2D4D">
      <w:pPr>
        <w:spacing w:line="360" w:lineRule="auto"/>
        <w:jc w:val="both"/>
        <w:rPr>
          <w:rFonts w:ascii="Arial" w:hAnsi="Arial" w:cs="Arial"/>
        </w:rPr>
      </w:pPr>
      <w:r w:rsidRPr="00AD2D4D">
        <w:rPr>
          <w:rFonts w:ascii="Arial" w:hAnsi="Arial" w:cs="Arial"/>
        </w:rPr>
        <w:t xml:space="preserve">The organization should improve digital transformation of its business. The customer satisfaction and revenue generation opportunity can be maximized through investment in connected vehicles, artificial intelligence, autonomous vehicles, and digital engagement platforms. Digital technology can create efficiencies and assist with data-driven decision making. Toyota needs to diversify further their supplier network to localize sourcing to enhance supply chain resilience to ongoing disruptions. </w:t>
      </w:r>
    </w:p>
    <w:p w14:paraId="146D20E8" w14:textId="77777777" w:rsidR="00182B92" w:rsidRPr="00AD2D4D" w:rsidRDefault="00182B92" w:rsidP="00AD2D4D">
      <w:pPr>
        <w:spacing w:line="360" w:lineRule="auto"/>
        <w:jc w:val="both"/>
        <w:rPr>
          <w:rFonts w:ascii="Arial" w:hAnsi="Arial" w:cs="Arial"/>
        </w:rPr>
      </w:pPr>
    </w:p>
    <w:p w14:paraId="2121BEC0" w14:textId="7861425B" w:rsidR="0062700F" w:rsidRDefault="0062700F" w:rsidP="00AD2D4D">
      <w:pPr>
        <w:pStyle w:val="Heading3"/>
      </w:pPr>
      <w:bookmarkStart w:id="8" w:name="_Toc232104902"/>
      <w:r w:rsidRPr="00AD2D4D">
        <w:t>Conclusion and Recommendations</w:t>
      </w:r>
      <w:bookmarkEnd w:id="8"/>
    </w:p>
    <w:p w14:paraId="4BE8FBC1" w14:textId="77777777" w:rsidR="00AD2D4D" w:rsidRPr="00AD2D4D" w:rsidRDefault="00AD2D4D" w:rsidP="00AD2D4D"/>
    <w:p w14:paraId="443AB60B" w14:textId="2309B9DE" w:rsidR="00182B92" w:rsidRPr="00AD2D4D" w:rsidRDefault="00182B92" w:rsidP="00AD2D4D">
      <w:pPr>
        <w:spacing w:line="360" w:lineRule="auto"/>
        <w:jc w:val="both"/>
        <w:rPr>
          <w:rFonts w:ascii="Arial" w:hAnsi="Arial" w:cs="Arial"/>
          <w:lang w:val="ro-RO"/>
        </w:rPr>
      </w:pPr>
      <w:r w:rsidRPr="00AD2D4D">
        <w:rPr>
          <w:rFonts w:ascii="Arial" w:hAnsi="Arial" w:cs="Arial"/>
          <w:lang w:val="ro-RO"/>
        </w:rPr>
        <w:t xml:space="preserve">The UK automotive industry is changing rapidly due to environmental regulations, technology innovation, and shifting consumer preferences. Organisations need to strategically manage their business activities to stay competitive and grow sustainably. Toyota has many strengths and resources. The benefit of having a strong brand and a successful operational history. The company further enjoys strong technology and considerable financial resources. Toyota faces a number of issues despite these strengths. To begin with, it is a company that operates in an industry that is marked by increasing competition and major technological change.  Moreover, the shift to electric mobility is happening more quickly than earlier outlooks predict. Hence, the firm ought to ever-better adapt in the future in order to maintain its competitive edge in UK automotive market. To support the transition to Zero Emission Vehicles, the UK automotive industry needs a robust and ambitious zero emission vehicle strategy. It should continue to make substantial investments in hydrogen and hybrid powertrains. Moreover, by reinforcing the digital transformation initiatives, supply chain resilience, and sustainability efforts across the supply chain, Toyota will further build on its strengths, and better position itself to pursue opportunities that emerge. Overall, Toyota is well placed for future growth. </w:t>
      </w:r>
    </w:p>
    <w:p w14:paraId="47EAAD22" w14:textId="77777777" w:rsidR="00182B92" w:rsidRPr="00AD2D4D" w:rsidRDefault="00182B92" w:rsidP="00AD2D4D">
      <w:pPr>
        <w:spacing w:line="360" w:lineRule="auto"/>
        <w:jc w:val="both"/>
        <w:rPr>
          <w:rFonts w:ascii="Arial" w:hAnsi="Arial" w:cs="Arial"/>
          <w:lang w:val="ro-RO"/>
        </w:rPr>
      </w:pPr>
    </w:p>
    <w:p w14:paraId="065522F0" w14:textId="77777777" w:rsidR="0062700F" w:rsidRPr="00AD2D4D" w:rsidRDefault="0062700F" w:rsidP="00AD2D4D">
      <w:pPr>
        <w:spacing w:line="360" w:lineRule="auto"/>
        <w:jc w:val="both"/>
        <w:rPr>
          <w:rFonts w:ascii="Arial" w:hAnsi="Arial" w:cs="Arial"/>
          <w:lang w:val="ro-RO"/>
        </w:rPr>
      </w:pPr>
    </w:p>
    <w:p w14:paraId="4B80EE24" w14:textId="5A590EB3" w:rsidR="0062700F" w:rsidRPr="00AD2D4D" w:rsidRDefault="0062700F" w:rsidP="00AD2D4D">
      <w:pPr>
        <w:pStyle w:val="Heading2"/>
      </w:pPr>
      <w:bookmarkStart w:id="9" w:name="_Toc232104903"/>
      <w:r w:rsidRPr="00AD2D4D">
        <w:t>References:</w:t>
      </w:r>
      <w:bookmarkEnd w:id="9"/>
    </w:p>
    <w:p w14:paraId="7CF1755C" w14:textId="77777777" w:rsidR="0062700F" w:rsidRPr="00AD2D4D" w:rsidRDefault="0062700F" w:rsidP="00AD2D4D">
      <w:pPr>
        <w:spacing w:line="360" w:lineRule="auto"/>
        <w:jc w:val="both"/>
        <w:rPr>
          <w:rFonts w:ascii="Arial" w:hAnsi="Arial" w:cs="Arial"/>
          <w:b/>
          <w:bCs/>
        </w:rPr>
      </w:pPr>
    </w:p>
    <w:p w14:paraId="2C3CC913"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Barney, J., Ketchen, D. and Wright, M. (2021) </w:t>
      </w:r>
      <w:r w:rsidRPr="00AD2D4D">
        <w:rPr>
          <w:rFonts w:ascii="Arial" w:hAnsi="Arial" w:cs="Arial"/>
          <w:i/>
          <w:iCs/>
        </w:rPr>
        <w:t>The Future of Resource-Based Theory</w:t>
      </w:r>
      <w:r w:rsidRPr="00AD2D4D">
        <w:rPr>
          <w:rFonts w:ascii="Arial" w:hAnsi="Arial" w:cs="Arial"/>
        </w:rPr>
        <w:t>. Journal of Management, 47(7), pp. 1936–1955.</w:t>
      </w:r>
    </w:p>
    <w:p w14:paraId="32FAAA41"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Deloitte (2024) </w:t>
      </w:r>
      <w:r w:rsidRPr="00AD2D4D">
        <w:rPr>
          <w:rFonts w:ascii="Arial" w:hAnsi="Arial" w:cs="Arial"/>
          <w:i/>
          <w:iCs/>
        </w:rPr>
        <w:t>2024 Global Automotive Consumer Study</w:t>
      </w:r>
      <w:r w:rsidRPr="00AD2D4D">
        <w:rPr>
          <w:rFonts w:ascii="Arial" w:hAnsi="Arial" w:cs="Arial"/>
        </w:rPr>
        <w:t>. London: Deloitte.</w:t>
      </w:r>
    </w:p>
    <w:p w14:paraId="55625CF9"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Department for Transport (2024) </w:t>
      </w:r>
      <w:r w:rsidRPr="00AD2D4D">
        <w:rPr>
          <w:rFonts w:ascii="Arial" w:hAnsi="Arial" w:cs="Arial"/>
          <w:i/>
          <w:iCs/>
        </w:rPr>
        <w:t>Decarbonising Transport: Progress Report</w:t>
      </w:r>
      <w:r w:rsidRPr="00AD2D4D">
        <w:rPr>
          <w:rFonts w:ascii="Arial" w:hAnsi="Arial" w:cs="Arial"/>
        </w:rPr>
        <w:t>. London: UK Government.</w:t>
      </w:r>
    </w:p>
    <w:p w14:paraId="3995A2BC"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Johnson, G., Whittington, R., Scholes, K., Angwin, D. and </w:t>
      </w:r>
      <w:proofErr w:type="spellStart"/>
      <w:r w:rsidRPr="00AD2D4D">
        <w:rPr>
          <w:rFonts w:ascii="Arial" w:hAnsi="Arial" w:cs="Arial"/>
        </w:rPr>
        <w:t>Regnér</w:t>
      </w:r>
      <w:proofErr w:type="spellEnd"/>
      <w:r w:rsidRPr="00AD2D4D">
        <w:rPr>
          <w:rFonts w:ascii="Arial" w:hAnsi="Arial" w:cs="Arial"/>
        </w:rPr>
        <w:t xml:space="preserve">, P. (2023) </w:t>
      </w:r>
      <w:r w:rsidRPr="00AD2D4D">
        <w:rPr>
          <w:rFonts w:ascii="Arial" w:hAnsi="Arial" w:cs="Arial"/>
          <w:i/>
          <w:iCs/>
        </w:rPr>
        <w:t>Exploring Strategy</w:t>
      </w:r>
      <w:r w:rsidRPr="00AD2D4D">
        <w:rPr>
          <w:rFonts w:ascii="Arial" w:hAnsi="Arial" w:cs="Arial"/>
        </w:rPr>
        <w:t>. 13th ed. Harlow: Pearson.</w:t>
      </w:r>
    </w:p>
    <w:p w14:paraId="3C90DDD0"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KPMG (2024) </w:t>
      </w:r>
      <w:r w:rsidRPr="00AD2D4D">
        <w:rPr>
          <w:rFonts w:ascii="Arial" w:hAnsi="Arial" w:cs="Arial"/>
          <w:i/>
          <w:iCs/>
        </w:rPr>
        <w:t>Global Automotive Executive Survey 2024</w:t>
      </w:r>
      <w:r w:rsidRPr="00AD2D4D">
        <w:rPr>
          <w:rFonts w:ascii="Arial" w:hAnsi="Arial" w:cs="Arial"/>
        </w:rPr>
        <w:t>. London: KPMG.</w:t>
      </w:r>
    </w:p>
    <w:p w14:paraId="1C9A5466"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Liker, J.K. (2021) </w:t>
      </w:r>
      <w:r w:rsidRPr="00AD2D4D">
        <w:rPr>
          <w:rFonts w:ascii="Arial" w:hAnsi="Arial" w:cs="Arial"/>
          <w:i/>
          <w:iCs/>
        </w:rPr>
        <w:t>The Toyota Way: 14 Management Principles from the World's Greatest Manufacturer</w:t>
      </w:r>
      <w:r w:rsidRPr="00AD2D4D">
        <w:rPr>
          <w:rFonts w:ascii="Arial" w:hAnsi="Arial" w:cs="Arial"/>
        </w:rPr>
        <w:t>. Updated ed. New York: McGraw-Hill.</w:t>
      </w:r>
    </w:p>
    <w:p w14:paraId="67A48CBE"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PwC (2024) </w:t>
      </w:r>
      <w:r w:rsidRPr="00AD2D4D">
        <w:rPr>
          <w:rFonts w:ascii="Arial" w:hAnsi="Arial" w:cs="Arial"/>
          <w:i/>
          <w:iCs/>
        </w:rPr>
        <w:t>Automotive Trends and Industry Outlook 2024</w:t>
      </w:r>
      <w:r w:rsidRPr="00AD2D4D">
        <w:rPr>
          <w:rFonts w:ascii="Arial" w:hAnsi="Arial" w:cs="Arial"/>
        </w:rPr>
        <w:t>. London: PwC.</w:t>
      </w:r>
    </w:p>
    <w:p w14:paraId="2EB83E00"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Society of Motor Manufacturers and Traders (SMMT) (2024) </w:t>
      </w:r>
      <w:r w:rsidRPr="00AD2D4D">
        <w:rPr>
          <w:rFonts w:ascii="Arial" w:hAnsi="Arial" w:cs="Arial"/>
          <w:i/>
          <w:iCs/>
        </w:rPr>
        <w:t>UK Automotive Market Outlook 2024</w:t>
      </w:r>
      <w:r w:rsidRPr="00AD2D4D">
        <w:rPr>
          <w:rFonts w:ascii="Arial" w:hAnsi="Arial" w:cs="Arial"/>
        </w:rPr>
        <w:t>. London: SMMT.</w:t>
      </w:r>
    </w:p>
    <w:p w14:paraId="6D2F4BD5"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Toyota Motor Corporation (2024) </w:t>
      </w:r>
      <w:r w:rsidRPr="00AD2D4D">
        <w:rPr>
          <w:rFonts w:ascii="Arial" w:hAnsi="Arial" w:cs="Arial"/>
          <w:i/>
          <w:iCs/>
        </w:rPr>
        <w:t>Annual Report 2024</w:t>
      </w:r>
      <w:r w:rsidRPr="00AD2D4D">
        <w:rPr>
          <w:rFonts w:ascii="Arial" w:hAnsi="Arial" w:cs="Arial"/>
        </w:rPr>
        <w:t>. Toyota City: Toyota Motor Corporation.</w:t>
      </w:r>
    </w:p>
    <w:p w14:paraId="4A7D0F4F"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Toyota Motor Corporation (2024) </w:t>
      </w:r>
      <w:r w:rsidRPr="00AD2D4D">
        <w:rPr>
          <w:rFonts w:ascii="Arial" w:hAnsi="Arial" w:cs="Arial"/>
          <w:i/>
          <w:iCs/>
        </w:rPr>
        <w:t>Sustainability Data Book 2024</w:t>
      </w:r>
      <w:r w:rsidRPr="00AD2D4D">
        <w:rPr>
          <w:rFonts w:ascii="Arial" w:hAnsi="Arial" w:cs="Arial"/>
        </w:rPr>
        <w:t>. Toyota City: Toyota Motor Corporation.</w:t>
      </w:r>
    </w:p>
    <w:p w14:paraId="3AC116F3"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McKinsey &amp; Company (2024) </w:t>
      </w:r>
      <w:r w:rsidRPr="00AD2D4D">
        <w:rPr>
          <w:rFonts w:ascii="Arial" w:hAnsi="Arial" w:cs="Arial"/>
          <w:i/>
          <w:iCs/>
        </w:rPr>
        <w:t>The Future of Mobility 2030</w:t>
      </w:r>
      <w:r w:rsidRPr="00AD2D4D">
        <w:rPr>
          <w:rFonts w:ascii="Arial" w:hAnsi="Arial" w:cs="Arial"/>
        </w:rPr>
        <w:t>. London: McKinsey.</w:t>
      </w:r>
    </w:p>
    <w:p w14:paraId="1C9A4C89"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EY (2024) </w:t>
      </w:r>
      <w:r w:rsidRPr="00AD2D4D">
        <w:rPr>
          <w:rFonts w:ascii="Arial" w:hAnsi="Arial" w:cs="Arial"/>
          <w:i/>
          <w:iCs/>
        </w:rPr>
        <w:t>Automotive Transformation Report</w:t>
      </w:r>
      <w:r w:rsidRPr="00AD2D4D">
        <w:rPr>
          <w:rFonts w:ascii="Arial" w:hAnsi="Arial" w:cs="Arial"/>
        </w:rPr>
        <w:t>. London: EY.</w:t>
      </w:r>
    </w:p>
    <w:p w14:paraId="6676D898"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Accenture (2023) </w:t>
      </w:r>
      <w:r w:rsidRPr="00AD2D4D">
        <w:rPr>
          <w:rFonts w:ascii="Arial" w:hAnsi="Arial" w:cs="Arial"/>
          <w:i/>
          <w:iCs/>
        </w:rPr>
        <w:t>Technology Vision for Automotive Industry</w:t>
      </w:r>
      <w:r w:rsidRPr="00AD2D4D">
        <w:rPr>
          <w:rFonts w:ascii="Arial" w:hAnsi="Arial" w:cs="Arial"/>
        </w:rPr>
        <w:t>. London: Accenture.</w:t>
      </w:r>
    </w:p>
    <w:p w14:paraId="78601B3A"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International Energy Agency (2024) </w:t>
      </w:r>
      <w:r w:rsidRPr="00AD2D4D">
        <w:rPr>
          <w:rFonts w:ascii="Arial" w:hAnsi="Arial" w:cs="Arial"/>
          <w:i/>
          <w:iCs/>
        </w:rPr>
        <w:t>Global EV Outlook 2024</w:t>
      </w:r>
      <w:r w:rsidRPr="00AD2D4D">
        <w:rPr>
          <w:rFonts w:ascii="Arial" w:hAnsi="Arial" w:cs="Arial"/>
        </w:rPr>
        <w:t>. Paris: IEA.</w:t>
      </w:r>
    </w:p>
    <w:p w14:paraId="1A018260" w14:textId="77777777" w:rsidR="0062700F" w:rsidRPr="00AD2D4D" w:rsidRDefault="0062700F" w:rsidP="00AD2D4D">
      <w:pPr>
        <w:spacing w:line="360" w:lineRule="auto"/>
        <w:jc w:val="both"/>
        <w:rPr>
          <w:rFonts w:ascii="Arial" w:hAnsi="Arial" w:cs="Arial"/>
        </w:rPr>
      </w:pPr>
      <w:r w:rsidRPr="00AD2D4D">
        <w:rPr>
          <w:rFonts w:ascii="Arial" w:hAnsi="Arial" w:cs="Arial"/>
        </w:rPr>
        <w:t xml:space="preserve">World Economic Forum (2023) </w:t>
      </w:r>
      <w:r w:rsidRPr="00AD2D4D">
        <w:rPr>
          <w:rFonts w:ascii="Arial" w:hAnsi="Arial" w:cs="Arial"/>
          <w:i/>
          <w:iCs/>
        </w:rPr>
        <w:t>Driving the Future of Sustainable Mobility</w:t>
      </w:r>
      <w:r w:rsidRPr="00AD2D4D">
        <w:rPr>
          <w:rFonts w:ascii="Arial" w:hAnsi="Arial" w:cs="Arial"/>
        </w:rPr>
        <w:t>. Geneva: WEF.</w:t>
      </w:r>
    </w:p>
    <w:p w14:paraId="642494E5" w14:textId="77777777" w:rsidR="0062700F" w:rsidRPr="00AD2D4D" w:rsidRDefault="0062700F" w:rsidP="00AD2D4D">
      <w:pPr>
        <w:spacing w:line="360" w:lineRule="auto"/>
        <w:jc w:val="both"/>
        <w:rPr>
          <w:rFonts w:ascii="Arial" w:hAnsi="Arial" w:cs="Arial"/>
          <w:lang w:val="ro-RO"/>
        </w:rPr>
      </w:pPr>
    </w:p>
    <w:p w14:paraId="0E462144" w14:textId="77777777" w:rsidR="0062700F" w:rsidRPr="00AD2D4D" w:rsidRDefault="0062700F" w:rsidP="00AD2D4D">
      <w:pPr>
        <w:spacing w:line="360" w:lineRule="auto"/>
        <w:jc w:val="both"/>
        <w:rPr>
          <w:rFonts w:ascii="Arial" w:hAnsi="Arial" w:cs="Arial"/>
          <w:lang w:val="ro-RO"/>
        </w:rPr>
      </w:pPr>
    </w:p>
    <w:p w14:paraId="71EBBBEA" w14:textId="77777777" w:rsidR="0062700F" w:rsidRPr="00AD2D4D" w:rsidRDefault="0062700F" w:rsidP="00AD2D4D">
      <w:pPr>
        <w:spacing w:line="360" w:lineRule="auto"/>
        <w:jc w:val="both"/>
        <w:rPr>
          <w:rFonts w:ascii="Arial" w:hAnsi="Arial" w:cs="Arial"/>
          <w:lang w:val="ro-RO"/>
        </w:rPr>
      </w:pPr>
    </w:p>
    <w:p w14:paraId="1EA8E431" w14:textId="77777777" w:rsidR="0062700F" w:rsidRPr="00AD2D4D" w:rsidRDefault="0062700F" w:rsidP="00AD2D4D">
      <w:pPr>
        <w:spacing w:line="360" w:lineRule="auto"/>
        <w:jc w:val="both"/>
        <w:rPr>
          <w:rFonts w:ascii="Arial" w:hAnsi="Arial" w:cs="Arial"/>
          <w:lang w:val="ro-RO"/>
        </w:rPr>
      </w:pPr>
    </w:p>
    <w:p w14:paraId="208402DB" w14:textId="77777777" w:rsidR="0062700F" w:rsidRPr="00AD2D4D" w:rsidRDefault="0062700F" w:rsidP="00AD2D4D">
      <w:pPr>
        <w:spacing w:line="360" w:lineRule="auto"/>
        <w:jc w:val="both"/>
        <w:rPr>
          <w:rFonts w:ascii="Arial" w:hAnsi="Arial" w:cs="Arial"/>
          <w:lang w:val="ro-RO"/>
        </w:rPr>
      </w:pPr>
    </w:p>
    <w:sectPr w:rsidR="0062700F" w:rsidRPr="00AD2D4D">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2197CC" w14:textId="77777777" w:rsidR="0083078A" w:rsidRDefault="0083078A" w:rsidP="0062700F">
      <w:pPr>
        <w:spacing w:after="0" w:line="240" w:lineRule="auto"/>
      </w:pPr>
      <w:r>
        <w:separator/>
      </w:r>
    </w:p>
  </w:endnote>
  <w:endnote w:type="continuationSeparator" w:id="0">
    <w:p w14:paraId="74B969B0" w14:textId="77777777" w:rsidR="0083078A" w:rsidRDefault="0083078A" w:rsidP="006270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1209174"/>
      <w:docPartObj>
        <w:docPartGallery w:val="Page Numbers (Bottom of Page)"/>
        <w:docPartUnique/>
      </w:docPartObj>
    </w:sdtPr>
    <w:sdtEndPr>
      <w:rPr>
        <w:color w:val="7F7F7F" w:themeColor="background1" w:themeShade="7F"/>
        <w:spacing w:val="60"/>
      </w:rPr>
    </w:sdtEndPr>
    <w:sdtContent>
      <w:p w14:paraId="7813054E" w14:textId="269AA255" w:rsidR="0062700F" w:rsidRDefault="0062700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0F1FF9B" w14:textId="77777777" w:rsidR="0062700F" w:rsidRDefault="006270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59CF0" w14:textId="77777777" w:rsidR="0083078A" w:rsidRDefault="0083078A" w:rsidP="0062700F">
      <w:pPr>
        <w:spacing w:after="0" w:line="240" w:lineRule="auto"/>
      </w:pPr>
      <w:r>
        <w:separator/>
      </w:r>
    </w:p>
  </w:footnote>
  <w:footnote w:type="continuationSeparator" w:id="0">
    <w:p w14:paraId="32817B0F" w14:textId="77777777" w:rsidR="0083078A" w:rsidRDefault="0083078A" w:rsidP="006270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00F"/>
    <w:rsid w:val="00182B92"/>
    <w:rsid w:val="0062700F"/>
    <w:rsid w:val="00654F73"/>
    <w:rsid w:val="0083078A"/>
    <w:rsid w:val="0086082F"/>
    <w:rsid w:val="008A7374"/>
    <w:rsid w:val="00924BBC"/>
    <w:rsid w:val="00951857"/>
    <w:rsid w:val="009E031F"/>
    <w:rsid w:val="00A929BF"/>
    <w:rsid w:val="00AD2D4D"/>
    <w:rsid w:val="00B07D7E"/>
    <w:rsid w:val="00EC3EA6"/>
    <w:rsid w:val="00F85623"/>
    <w:rsid w:val="00FE3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06F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270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00F"/>
  </w:style>
  <w:style w:type="paragraph" w:styleId="Footer">
    <w:name w:val="footer"/>
    <w:basedOn w:val="Normal"/>
    <w:link w:val="FooterChar"/>
    <w:uiPriority w:val="99"/>
    <w:unhideWhenUsed/>
    <w:rsid w:val="006270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00F"/>
  </w:style>
  <w:style w:type="character" w:styleId="Hyperlink">
    <w:name w:val="Hyperlink"/>
    <w:basedOn w:val="DefaultParagraphFont"/>
    <w:uiPriority w:val="99"/>
    <w:unhideWhenUsed/>
    <w:rsid w:val="00AD2D4D"/>
    <w:rPr>
      <w:color w:val="467886" w:themeColor="hyperlink"/>
      <w:u w:val="single"/>
    </w:rPr>
  </w:style>
  <w:style w:type="character" w:styleId="UnresolvedMention">
    <w:name w:val="Unresolved Mention"/>
    <w:basedOn w:val="DefaultParagraphFont"/>
    <w:uiPriority w:val="99"/>
    <w:semiHidden/>
    <w:unhideWhenUsed/>
    <w:rsid w:val="00AD2D4D"/>
    <w:rPr>
      <w:color w:val="605E5C"/>
      <w:shd w:val="clear" w:color="auto" w:fill="E1DFDD"/>
    </w:rPr>
  </w:style>
  <w:style w:type="paragraph" w:styleId="TOCHeading">
    <w:name w:val="TOC Heading"/>
    <w:basedOn w:val="Heading1"/>
    <w:next w:val="Normal"/>
    <w:uiPriority w:val="39"/>
    <w:unhideWhenUsed/>
    <w:qFormat/>
    <w:rsid w:val="00AD2D4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AD2D4D"/>
    <w:pPr>
      <w:spacing w:after="100"/>
      <w:ind w:left="240"/>
    </w:pPr>
  </w:style>
  <w:style w:type="paragraph" w:styleId="TOC1">
    <w:name w:val="toc 1"/>
    <w:basedOn w:val="Normal"/>
    <w:next w:val="Normal"/>
    <w:autoRedefine/>
    <w:uiPriority w:val="39"/>
    <w:unhideWhenUsed/>
    <w:rsid w:val="00AD2D4D"/>
    <w:pPr>
      <w:spacing w:after="100"/>
    </w:pPr>
  </w:style>
  <w:style w:type="paragraph" w:styleId="TOC3">
    <w:name w:val="toc 3"/>
    <w:basedOn w:val="Normal"/>
    <w:next w:val="Normal"/>
    <w:autoRedefine/>
    <w:uiPriority w:val="39"/>
    <w:unhideWhenUsed/>
    <w:rsid w:val="00AD2D4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lupinepublishers.com/fashion-technology-textile-engineering/fulltext/analysis-of-fashion-industry-business-environment.ID.000144.php" TargetMode="Externa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espirituracer.com/reportajes/toyota-2000g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065EB-6764-4996-AACC-52361CDA27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2578</Words>
  <Characters>14700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2026-06-11T20:19:00Z</dcterms:created>
  <dcterms:modified xsi:type="dcterms:W3CDTF">2026-06-12T07:29:00Z</dcterms:modified>
</cp:coreProperties>
</file>