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D5B3E" w14:textId="77777777" w:rsidR="00803B2F" w:rsidRDefault="00A02157">
      <w:pPr>
        <w:spacing w:after="715" w:line="259" w:lineRule="auto"/>
        <w:ind w:left="0" w:firstLine="0"/>
        <w:jc w:val="left"/>
      </w:pPr>
      <w:r>
        <w:t xml:space="preserve"> </w:t>
      </w:r>
    </w:p>
    <w:p w14:paraId="03621DDD" w14:textId="77777777" w:rsidR="00803B2F" w:rsidRDefault="00A02157">
      <w:pPr>
        <w:spacing w:after="715" w:line="259" w:lineRule="auto"/>
        <w:ind w:left="0" w:firstLine="0"/>
        <w:jc w:val="left"/>
      </w:pPr>
      <w:r>
        <w:t xml:space="preserve"> </w:t>
      </w:r>
    </w:p>
    <w:p w14:paraId="66204D92" w14:textId="77777777" w:rsidR="00803B2F" w:rsidRDefault="00A02157">
      <w:pPr>
        <w:spacing w:after="409" w:line="265" w:lineRule="auto"/>
        <w:ind w:left="-5"/>
        <w:jc w:val="left"/>
      </w:pPr>
      <w:r>
        <w:rPr>
          <w:b/>
        </w:rPr>
        <w:t>Understanding the Importance of Stakeholder Engagement in the Successful Commencement and Completion of a Project</w:t>
      </w:r>
      <w:r>
        <w:t xml:space="preserve"> </w:t>
      </w:r>
    </w:p>
    <w:p w14:paraId="004CD347" w14:textId="77777777" w:rsidR="00803B2F" w:rsidRDefault="00A02157">
      <w:pPr>
        <w:spacing w:after="616" w:line="357" w:lineRule="auto"/>
        <w:ind w:left="-15" w:firstLine="0"/>
      </w:pPr>
      <w:r>
        <w:rPr>
          <w:i/>
        </w:rPr>
        <w:t>The Launch of StaySmart Plus at IHG Hotels and Resorts</w:t>
      </w:r>
      <w:r>
        <w:t xml:space="preserve"> </w:t>
      </w:r>
    </w:p>
    <w:p w14:paraId="1E51FA3A" w14:textId="77777777" w:rsidR="00803B2F" w:rsidRDefault="00A02157">
      <w:pPr>
        <w:spacing w:after="645"/>
        <w:ind w:left="-5" w:right="4"/>
      </w:pPr>
      <w:r>
        <w:t xml:space="preserve">Module: LCLM5001, Understanding and Engaging Stakeholders </w:t>
      </w:r>
    </w:p>
    <w:p w14:paraId="2228E716" w14:textId="5029AE87" w:rsidR="00D8764A" w:rsidRDefault="00D8764A" w:rsidP="00D8764A">
      <w:pPr>
        <w:spacing w:after="645"/>
        <w:ind w:left="-5" w:right="4"/>
      </w:pPr>
      <w:r>
        <w:t xml:space="preserve">Student Name; Joaquim Freire </w:t>
      </w:r>
    </w:p>
    <w:p w14:paraId="65A2C58F" w14:textId="278CE847" w:rsidR="00D8764A" w:rsidRDefault="00D8764A" w:rsidP="00D8764A">
      <w:pPr>
        <w:spacing w:after="645"/>
        <w:ind w:left="-5" w:right="4"/>
      </w:pPr>
      <w:r>
        <w:t>Student ID 2415568</w:t>
      </w:r>
    </w:p>
    <w:p w14:paraId="49F935B9" w14:textId="77777777" w:rsidR="00803B2F" w:rsidRDefault="00A02157">
      <w:pPr>
        <w:spacing w:after="0" w:line="259" w:lineRule="auto"/>
        <w:ind w:left="0" w:firstLine="0"/>
        <w:jc w:val="left"/>
      </w:pPr>
      <w:r>
        <w:t xml:space="preserve"> </w:t>
      </w:r>
      <w:r>
        <w:tab/>
        <w:t xml:space="preserve"> </w:t>
      </w:r>
      <w:r>
        <w:br w:type="page"/>
      </w:r>
    </w:p>
    <w:p w14:paraId="788EDA56" w14:textId="77777777" w:rsidR="00803B2F" w:rsidRDefault="00A02157">
      <w:pPr>
        <w:spacing w:after="109" w:line="265" w:lineRule="auto"/>
        <w:ind w:left="-5"/>
        <w:jc w:val="left"/>
      </w:pPr>
      <w:r>
        <w:rPr>
          <w:b/>
        </w:rPr>
        <w:t xml:space="preserve">Table of Contents </w:t>
      </w:r>
    </w:p>
    <w:p w14:paraId="1B5B172C" w14:textId="77777777" w:rsidR="00803B2F" w:rsidRDefault="00A02157">
      <w:pPr>
        <w:spacing w:line="259" w:lineRule="auto"/>
        <w:ind w:left="-5" w:right="4"/>
      </w:pPr>
      <w:r>
        <w:rPr>
          <w:i/>
        </w:rPr>
        <w:t>Executive Summary</w:t>
      </w:r>
      <w:r>
        <w:t xml:space="preserve"> .................................................................................................................... 3 </w:t>
      </w:r>
    </w:p>
    <w:p w14:paraId="1094A51D" w14:textId="77777777" w:rsidR="00803B2F" w:rsidRDefault="00A02157">
      <w:pPr>
        <w:numPr>
          <w:ilvl w:val="0"/>
          <w:numId w:val="1"/>
        </w:numPr>
        <w:spacing w:line="259" w:lineRule="auto"/>
        <w:ind w:right="4" w:hanging="240"/>
      </w:pPr>
      <w:r>
        <w:t xml:space="preserve">Introduction ............................................................................................................................ 4 </w:t>
      </w:r>
    </w:p>
    <w:p w14:paraId="318F10DE" w14:textId="77777777" w:rsidR="00803B2F" w:rsidRDefault="00A02157">
      <w:pPr>
        <w:numPr>
          <w:ilvl w:val="0"/>
          <w:numId w:val="1"/>
        </w:numPr>
        <w:spacing w:line="259" w:lineRule="auto"/>
        <w:ind w:right="4" w:hanging="240"/>
      </w:pPr>
      <w:r>
        <w:t xml:space="preserve">Organisational Appraisal ....................................................................................................... 5 </w:t>
      </w:r>
    </w:p>
    <w:p w14:paraId="5886EB7D" w14:textId="77777777" w:rsidR="00803B2F" w:rsidRDefault="00A02157">
      <w:pPr>
        <w:numPr>
          <w:ilvl w:val="1"/>
          <w:numId w:val="1"/>
        </w:numPr>
        <w:spacing w:line="259" w:lineRule="auto"/>
        <w:ind w:right="4" w:hanging="360"/>
      </w:pPr>
      <w:r>
        <w:t xml:space="preserve">SWOT Analysis ................................................................................................................ 5 </w:t>
      </w:r>
    </w:p>
    <w:p w14:paraId="4B050841" w14:textId="77777777" w:rsidR="00803B2F" w:rsidRDefault="00A02157">
      <w:pPr>
        <w:numPr>
          <w:ilvl w:val="1"/>
          <w:numId w:val="1"/>
        </w:numPr>
        <w:spacing w:line="259" w:lineRule="auto"/>
        <w:ind w:right="4" w:hanging="360"/>
      </w:pPr>
      <w:r>
        <w:t xml:space="preserve">PESTLE Analysis ............................................................................................................. 6 </w:t>
      </w:r>
    </w:p>
    <w:p w14:paraId="1B1A8A65" w14:textId="77777777" w:rsidR="00803B2F" w:rsidRDefault="00A02157">
      <w:pPr>
        <w:numPr>
          <w:ilvl w:val="1"/>
          <w:numId w:val="1"/>
        </w:numPr>
        <w:spacing w:line="259" w:lineRule="auto"/>
        <w:ind w:right="4" w:hanging="360"/>
      </w:pPr>
      <w:r>
        <w:t xml:space="preserve">SMART Objectives .......................................................................................................... 7 </w:t>
      </w:r>
    </w:p>
    <w:p w14:paraId="643C03EE" w14:textId="77777777" w:rsidR="00803B2F" w:rsidRDefault="00A02157">
      <w:pPr>
        <w:spacing w:line="259" w:lineRule="auto"/>
        <w:ind w:left="210" w:right="4"/>
      </w:pPr>
      <w:r>
        <w:t xml:space="preserve">Specific ................................................................................................................................... 7 </w:t>
      </w:r>
    </w:p>
    <w:p w14:paraId="6D6FA6FC" w14:textId="77777777" w:rsidR="00803B2F" w:rsidRDefault="00A02157">
      <w:pPr>
        <w:spacing w:line="259" w:lineRule="auto"/>
        <w:ind w:left="210" w:right="4"/>
      </w:pPr>
      <w:r>
        <w:t xml:space="preserve">Measurable.............................................................................................................................. 7 </w:t>
      </w:r>
    </w:p>
    <w:p w14:paraId="6F661678" w14:textId="77777777" w:rsidR="00803B2F" w:rsidRDefault="00A02157">
      <w:pPr>
        <w:spacing w:line="259" w:lineRule="auto"/>
        <w:ind w:left="210" w:right="4"/>
      </w:pPr>
      <w:r>
        <w:t xml:space="preserve">Achievable .............................................................................................................................. 7 </w:t>
      </w:r>
    </w:p>
    <w:p w14:paraId="3A78DC46" w14:textId="77777777" w:rsidR="00803B2F" w:rsidRDefault="00A02157">
      <w:pPr>
        <w:spacing w:line="259" w:lineRule="auto"/>
        <w:ind w:left="210" w:right="4"/>
      </w:pPr>
      <w:r>
        <w:t xml:space="preserve">Relevant .................................................................................................................................. 7 </w:t>
      </w:r>
    </w:p>
    <w:p w14:paraId="49A74BCF" w14:textId="77777777" w:rsidR="00803B2F" w:rsidRDefault="00A02157">
      <w:pPr>
        <w:spacing w:line="259" w:lineRule="auto"/>
        <w:ind w:left="210" w:right="4"/>
      </w:pPr>
      <w:r>
        <w:t xml:space="preserve">Time bound ............................................................................................................................. 7 </w:t>
      </w:r>
    </w:p>
    <w:p w14:paraId="321430FF" w14:textId="77777777" w:rsidR="00803B2F" w:rsidRDefault="00A02157">
      <w:pPr>
        <w:numPr>
          <w:ilvl w:val="0"/>
          <w:numId w:val="1"/>
        </w:numPr>
        <w:spacing w:line="259" w:lineRule="auto"/>
        <w:ind w:right="4" w:hanging="240"/>
      </w:pPr>
      <w:r>
        <w:t xml:space="preserve">Identification and Categorisation of Key Stakeholders ......................................................... 7 </w:t>
      </w:r>
    </w:p>
    <w:p w14:paraId="4BA87696" w14:textId="77777777" w:rsidR="00803B2F" w:rsidRDefault="00A02157">
      <w:pPr>
        <w:numPr>
          <w:ilvl w:val="1"/>
          <w:numId w:val="1"/>
        </w:numPr>
        <w:spacing w:line="259" w:lineRule="auto"/>
        <w:ind w:right="4" w:hanging="360"/>
      </w:pPr>
      <w:r>
        <w:t xml:space="preserve">Internal Stakeholders ........................................................................................................ 8 </w:t>
      </w:r>
    </w:p>
    <w:p w14:paraId="18DA2B11" w14:textId="77777777" w:rsidR="00803B2F" w:rsidRDefault="00A02157">
      <w:pPr>
        <w:numPr>
          <w:ilvl w:val="1"/>
          <w:numId w:val="1"/>
        </w:numPr>
        <w:spacing w:line="259" w:lineRule="auto"/>
        <w:ind w:right="4" w:hanging="360"/>
      </w:pPr>
      <w:r>
        <w:t xml:space="preserve">External Stakeholders ....................................................................................................... 8 </w:t>
      </w:r>
    </w:p>
    <w:p w14:paraId="04B2E519" w14:textId="77777777" w:rsidR="00803B2F" w:rsidRDefault="00A02157">
      <w:pPr>
        <w:numPr>
          <w:ilvl w:val="0"/>
          <w:numId w:val="2"/>
        </w:numPr>
        <w:spacing w:line="259" w:lineRule="auto"/>
        <w:ind w:right="4" w:hanging="240"/>
      </w:pPr>
      <w:r>
        <w:t xml:space="preserve">Frameworks, Models and Theories for Stakeholder Engagement ....................................... 11 </w:t>
      </w:r>
    </w:p>
    <w:p w14:paraId="5E0BB337" w14:textId="77777777" w:rsidR="00803B2F" w:rsidRDefault="00A02157">
      <w:pPr>
        <w:numPr>
          <w:ilvl w:val="1"/>
          <w:numId w:val="2"/>
        </w:numPr>
        <w:spacing w:line="259" w:lineRule="auto"/>
        <w:ind w:right="4" w:hanging="360"/>
      </w:pPr>
      <w:r>
        <w:t xml:space="preserve">Mendelow's Power Interest Matrix ................................................................................. 12 </w:t>
      </w:r>
    </w:p>
    <w:p w14:paraId="01E73B99" w14:textId="77777777" w:rsidR="00803B2F" w:rsidRDefault="00A02157">
      <w:pPr>
        <w:numPr>
          <w:ilvl w:val="1"/>
          <w:numId w:val="2"/>
        </w:numPr>
        <w:spacing w:line="259" w:lineRule="auto"/>
        <w:ind w:right="4" w:hanging="360"/>
      </w:pPr>
      <w:r>
        <w:t xml:space="preserve">Stakeholder Engagement Plan ........................................................................................ 13 </w:t>
      </w:r>
    </w:p>
    <w:p w14:paraId="1EE5FE4D" w14:textId="77777777" w:rsidR="00803B2F" w:rsidRDefault="00A02157">
      <w:pPr>
        <w:numPr>
          <w:ilvl w:val="1"/>
          <w:numId w:val="2"/>
        </w:numPr>
        <w:spacing w:line="259" w:lineRule="auto"/>
        <w:ind w:right="4" w:hanging="360"/>
      </w:pPr>
      <w:r>
        <w:t xml:space="preserve">Communication Plan ...................................................................................................... 13 </w:t>
      </w:r>
    </w:p>
    <w:p w14:paraId="78599FC5" w14:textId="77777777" w:rsidR="00803B2F" w:rsidRDefault="00A02157">
      <w:pPr>
        <w:numPr>
          <w:ilvl w:val="0"/>
          <w:numId w:val="2"/>
        </w:numPr>
        <w:spacing w:line="259" w:lineRule="auto"/>
        <w:ind w:right="4" w:hanging="240"/>
      </w:pPr>
      <w:r>
        <w:t xml:space="preserve">The Stakeholder Engagement Process and Management of Conflict .................................. 15 </w:t>
      </w:r>
    </w:p>
    <w:p w14:paraId="21534A92" w14:textId="77777777" w:rsidR="00803B2F" w:rsidRDefault="00A02157">
      <w:pPr>
        <w:numPr>
          <w:ilvl w:val="1"/>
          <w:numId w:val="2"/>
        </w:numPr>
        <w:spacing w:line="259" w:lineRule="auto"/>
        <w:ind w:right="4" w:hanging="360"/>
      </w:pPr>
      <w:r>
        <w:t xml:space="preserve">Communication .............................................................................................................. 15 </w:t>
      </w:r>
    </w:p>
    <w:p w14:paraId="13607C36" w14:textId="77777777" w:rsidR="00803B2F" w:rsidRDefault="00A02157">
      <w:pPr>
        <w:numPr>
          <w:ilvl w:val="1"/>
          <w:numId w:val="2"/>
        </w:numPr>
        <w:spacing w:line="259" w:lineRule="auto"/>
        <w:ind w:right="4" w:hanging="360"/>
      </w:pPr>
      <w:r>
        <w:t xml:space="preserve">Collaboration .................................................................................................................. 15 </w:t>
      </w:r>
    </w:p>
    <w:p w14:paraId="7789EDCB" w14:textId="77777777" w:rsidR="00803B2F" w:rsidRDefault="00A02157">
      <w:pPr>
        <w:numPr>
          <w:ilvl w:val="1"/>
          <w:numId w:val="2"/>
        </w:numPr>
        <w:spacing w:line="259" w:lineRule="auto"/>
        <w:ind w:right="4" w:hanging="360"/>
      </w:pPr>
      <w:r>
        <w:t xml:space="preserve">Consultation .................................................................................................................... 16 </w:t>
      </w:r>
    </w:p>
    <w:p w14:paraId="01747E36" w14:textId="77777777" w:rsidR="00803B2F" w:rsidRDefault="00A02157">
      <w:pPr>
        <w:numPr>
          <w:ilvl w:val="1"/>
          <w:numId w:val="2"/>
        </w:numPr>
        <w:spacing w:line="259" w:lineRule="auto"/>
        <w:ind w:right="4" w:hanging="360"/>
      </w:pPr>
      <w:r>
        <w:t xml:space="preserve">Commitment ................................................................................................................... 16 </w:t>
      </w:r>
    </w:p>
    <w:p w14:paraId="6D1A7BA9" w14:textId="77777777" w:rsidR="00803B2F" w:rsidRDefault="00A02157">
      <w:pPr>
        <w:numPr>
          <w:ilvl w:val="1"/>
          <w:numId w:val="2"/>
        </w:numPr>
        <w:spacing w:line="259" w:lineRule="auto"/>
        <w:ind w:right="4" w:hanging="360"/>
      </w:pPr>
      <w:r>
        <w:t xml:space="preserve">Managing Conflict Through the 4C's ............................................................................. 17 </w:t>
      </w:r>
    </w:p>
    <w:p w14:paraId="2C06FC61" w14:textId="77777777" w:rsidR="00803B2F" w:rsidRDefault="00A02157">
      <w:pPr>
        <w:numPr>
          <w:ilvl w:val="0"/>
          <w:numId w:val="2"/>
        </w:numPr>
        <w:spacing w:line="259" w:lineRule="auto"/>
        <w:ind w:right="4" w:hanging="240"/>
      </w:pPr>
      <w:r>
        <w:t xml:space="preserve">Evaluation of the Impact of Stakeholder Engagement on Business Performance ............... 18 </w:t>
      </w:r>
    </w:p>
    <w:p w14:paraId="230CEF87" w14:textId="77777777" w:rsidR="00803B2F" w:rsidRDefault="00A02157">
      <w:pPr>
        <w:numPr>
          <w:ilvl w:val="1"/>
          <w:numId w:val="2"/>
        </w:numPr>
        <w:spacing w:line="259" w:lineRule="auto"/>
        <w:ind w:right="4" w:hanging="360"/>
      </w:pPr>
      <w:r>
        <w:t xml:space="preserve">Recommendations .......................................................................................................... 18 </w:t>
      </w:r>
    </w:p>
    <w:p w14:paraId="424DE329" w14:textId="77777777" w:rsidR="00803B2F" w:rsidRDefault="00A02157">
      <w:pPr>
        <w:numPr>
          <w:ilvl w:val="0"/>
          <w:numId w:val="2"/>
        </w:numPr>
        <w:spacing w:line="259" w:lineRule="auto"/>
        <w:ind w:right="4" w:hanging="240"/>
      </w:pPr>
      <w:r>
        <w:t xml:space="preserve">Conclusion ........................................................................................................................... 19 </w:t>
      </w:r>
    </w:p>
    <w:p w14:paraId="411082EC" w14:textId="77777777" w:rsidR="00803B2F" w:rsidRDefault="00A02157">
      <w:pPr>
        <w:spacing w:line="259" w:lineRule="auto"/>
        <w:ind w:left="-5" w:right="4"/>
      </w:pPr>
      <w:r>
        <w:t xml:space="preserve">References ................................................................................................................................ 20 </w:t>
      </w:r>
    </w:p>
    <w:p w14:paraId="317B6835" w14:textId="77777777" w:rsidR="00803B2F" w:rsidRDefault="00A02157">
      <w:pPr>
        <w:spacing w:after="110" w:line="259" w:lineRule="auto"/>
        <w:ind w:left="0" w:firstLine="0"/>
        <w:jc w:val="left"/>
      </w:pPr>
      <w:r>
        <w:t xml:space="preserve"> </w:t>
      </w:r>
    </w:p>
    <w:p w14:paraId="6659963D" w14:textId="77777777" w:rsidR="00803B2F" w:rsidRDefault="00A02157">
      <w:pPr>
        <w:spacing w:after="0" w:line="259" w:lineRule="auto"/>
        <w:ind w:left="0" w:firstLine="0"/>
        <w:jc w:val="left"/>
      </w:pPr>
      <w:r>
        <w:t xml:space="preserve"> </w:t>
      </w:r>
      <w:r>
        <w:br w:type="page"/>
      </w:r>
    </w:p>
    <w:p w14:paraId="15E58BF6" w14:textId="77777777" w:rsidR="00803B2F" w:rsidRDefault="00A02157">
      <w:pPr>
        <w:pStyle w:val="Heading1"/>
        <w:spacing w:after="115" w:line="259" w:lineRule="auto"/>
        <w:ind w:left="0" w:firstLine="0"/>
      </w:pPr>
      <w:r>
        <w:rPr>
          <w:i/>
        </w:rPr>
        <w:t>Executive Summary</w:t>
      </w:r>
      <w:r>
        <w:rPr>
          <w:b w:val="0"/>
          <w:i/>
        </w:rPr>
        <w:t xml:space="preserve"> </w:t>
      </w:r>
    </w:p>
    <w:p w14:paraId="22372221" w14:textId="77777777" w:rsidR="00803B2F" w:rsidRDefault="00A02157">
      <w:pPr>
        <w:spacing w:after="31" w:line="357" w:lineRule="auto"/>
        <w:ind w:left="-15" w:firstLine="0"/>
      </w:pPr>
      <w:r>
        <w:rPr>
          <w:i/>
        </w:rPr>
        <w:t xml:space="preserve">This report examines stakeholder involvement on both starting and ending the project following the project initiation report for the launch of an innovative new artificial intelligencebased guest experience service. Called StaySmart Plus, it is to be highlighted out by the InterContinental Hotels Group Hotels and Resorts (IHG). The third largest hotel chain in the world in size with its headquarters in Windsor, Berkshire, England will form the basis of our situation appraisal using the SWOT and PESTLE models. Internal and external stakeholders related to the project will then be identified and categorized and the significance of each will be established. This will then cover the way to assess and understand the roles, responsibilities, benefits and challenges of each stakeholder with the use of Mendelow’s power interest matrix, a stakeholder engagement plan, a communication plan and a RACI matrix. The final report will include critical evaluation of stakeholder engagement process with the use of the 4Cs model: Communication, Collaboration, Consultation and Commitment and evaluate how it can influence business performance along with recommendations for further action. </w:t>
      </w:r>
    </w:p>
    <w:p w14:paraId="38250396" w14:textId="77777777" w:rsidR="00803B2F" w:rsidRDefault="00A02157">
      <w:pPr>
        <w:spacing w:after="0" w:line="259" w:lineRule="auto"/>
        <w:ind w:left="0" w:firstLine="0"/>
        <w:jc w:val="left"/>
      </w:pPr>
      <w:r>
        <w:t xml:space="preserve"> </w:t>
      </w:r>
      <w:r>
        <w:tab/>
        <w:t xml:space="preserve"> </w:t>
      </w:r>
      <w:r>
        <w:br w:type="page"/>
      </w:r>
    </w:p>
    <w:p w14:paraId="7F0762C9" w14:textId="77777777" w:rsidR="00803B2F" w:rsidRDefault="00A02157">
      <w:pPr>
        <w:spacing w:after="472" w:line="265" w:lineRule="auto"/>
        <w:ind w:left="-5"/>
        <w:jc w:val="left"/>
      </w:pPr>
      <w:r>
        <w:rPr>
          <w:b/>
        </w:rPr>
        <w:t xml:space="preserve">IHG (InterContinental Hotels Group) </w:t>
      </w:r>
    </w:p>
    <w:p w14:paraId="5965BC4B" w14:textId="77777777" w:rsidR="00803B2F" w:rsidRDefault="00A02157">
      <w:pPr>
        <w:pStyle w:val="Heading1"/>
        <w:spacing w:after="309"/>
        <w:ind w:left="-5"/>
      </w:pPr>
      <w:r>
        <w:t>1. Introduction</w:t>
      </w:r>
      <w:r>
        <w:rPr>
          <w:b w:val="0"/>
        </w:rPr>
        <w:t xml:space="preserve"> </w:t>
      </w:r>
    </w:p>
    <w:p w14:paraId="2EF56C14" w14:textId="77777777" w:rsidR="00803B2F" w:rsidRDefault="00A02157">
      <w:pPr>
        <w:spacing w:after="0"/>
        <w:ind w:left="-5" w:right="4"/>
      </w:pPr>
      <w:r>
        <w:t xml:space="preserve">IHG Hotels &amp; Resorts is one of the world's leading hotel and hospitality companies with group headquarters in Windsor Dials, Berkshire, United Kingdom, listed on the London Stock </w:t>
      </w:r>
    </w:p>
    <w:p w14:paraId="18400526" w14:textId="77777777" w:rsidR="00803B2F" w:rsidRDefault="00A02157">
      <w:pPr>
        <w:ind w:left="-5" w:right="4"/>
      </w:pPr>
      <w:r>
        <w:t xml:space="preserve">Exchange and the New York Stock Exchange and a constituent of the FTSE 100 Index (InterContinental Hotels Group PLC, 2024). It owns, operates and franchises 19 hotel brands across a full house of segments including luxury, premium, essentials and suites. Among its many brands, the iconic are InterContinental Hotels &amp; Resorts, Kimpton Hotels &amp; Restaurants, Crowne Plaza Hotels &amp; Resorts, Holiday Inn hotels and Holiday Inn Express hotels. It franchises, leases or manages more than 6,800 hotels in over 100 countries and employs more than 370,000 people working across hotels and head offices around the world (InterContinental Hotels Group PLC, 2024). Their head office is the operational centre managing global brand strategy, commercial capabilities, and technology investment across their hotels globally, and its operational headquarters in Atlanta, Singapore and Shanghai serve regional performance. </w:t>
      </w:r>
    </w:p>
    <w:p w14:paraId="6B123A06" w14:textId="77777777" w:rsidR="00803B2F" w:rsidRDefault="00A02157">
      <w:pPr>
        <w:ind w:left="-5" w:right="4"/>
      </w:pPr>
      <w:r>
        <w:t xml:space="preserve">The IHG brand portfolio’s drive to set itself apart and to raise the quality of its guest experience is at the heart of the upcoming launch of ‘StaySmart Plus’. This innovative new service represents a standard shift in customer experience through AI driven guest engagement tools, intelligent guest solutions, personalized travel concierge and a focus on sustainability initiatives that promote comfort, effectiveness and unique IHG brand differentiation. The service is scheduled to be deployed across a selected range of IHG hotels in the local and global arenas within 6 months. As Project Manager for the StaySmart Plus initiative, this position requires the Identification, Analysis and Engagement of key internal and external stakeholders necessary for the effective Design, Development, Launch and Uptake of the StaySmart Plus service. </w:t>
      </w:r>
    </w:p>
    <w:p w14:paraId="3548F35D" w14:textId="77777777" w:rsidR="00803B2F" w:rsidRDefault="00A02157">
      <w:pPr>
        <w:spacing w:after="363"/>
        <w:ind w:left="-5" w:right="4"/>
      </w:pPr>
      <w:r>
        <w:t xml:space="preserve">The purpose of this report is to identify and categorise relevant internal and external stakeholders to the StaySmart Plus launch, to propose and justify appropriate engagement mechanisms and strategies to facilitate partnership, trust and commitment across a range of cultural and market environments, and to evaluate the merits, constraints and ethical implications of stakeholder engagement for the global hospitality product launch. This discussion is grounded in contemporary stakeholder theory, as well as more recent approaches to engagement and research findings and analysis, predominantly from recent years (within the last five years). </w:t>
      </w:r>
    </w:p>
    <w:p w14:paraId="4AAD01F0" w14:textId="77777777" w:rsidR="00803B2F" w:rsidRDefault="00A02157">
      <w:pPr>
        <w:pStyle w:val="Heading1"/>
        <w:spacing w:after="304"/>
        <w:ind w:left="-5"/>
      </w:pPr>
      <w:r>
        <w:t>2. Organisational Appraisal</w:t>
      </w:r>
      <w:r>
        <w:rPr>
          <w:b w:val="0"/>
        </w:rPr>
        <w:t xml:space="preserve"> </w:t>
      </w:r>
    </w:p>
    <w:p w14:paraId="6A303524" w14:textId="77777777" w:rsidR="00803B2F" w:rsidRDefault="00A02157">
      <w:pPr>
        <w:spacing w:after="264"/>
        <w:ind w:left="-5" w:right="4"/>
      </w:pPr>
      <w:r>
        <w:t xml:space="preserve">Before stakeholders can be proactively engaged the Project Manager needs to have an understanding of the project’s environment in which it is operating. This will include an awareness of IHG’s own strengths and weaknesses, along with any external opportunities or threats that may affect the project. Presented below is a SWOT analysis, a PESTLE analysis of IHG within the scope of StaySmart Plus and finally some SMART objectives to measure the projects progress and success. </w:t>
      </w:r>
    </w:p>
    <w:p w14:paraId="5673A7EE" w14:textId="77777777" w:rsidR="00803B2F" w:rsidRDefault="00A02157">
      <w:pPr>
        <w:pStyle w:val="Heading2"/>
        <w:spacing w:after="0"/>
        <w:ind w:left="-5"/>
      </w:pPr>
      <w:r>
        <w:t>2.1 SWOT Analysis</w:t>
      </w:r>
      <w:r>
        <w:rPr>
          <w:b w:val="0"/>
        </w:rPr>
        <w:t xml:space="preserve"> </w:t>
      </w:r>
    </w:p>
    <w:tbl>
      <w:tblPr>
        <w:tblStyle w:val="TableGrid"/>
        <w:tblW w:w="8639" w:type="dxa"/>
        <w:tblInd w:w="5" w:type="dxa"/>
        <w:tblCellMar>
          <w:left w:w="110" w:type="dxa"/>
          <w:bottom w:w="138" w:type="dxa"/>
          <w:right w:w="47" w:type="dxa"/>
        </w:tblCellMar>
        <w:tblLook w:val="04A0" w:firstRow="1" w:lastRow="0" w:firstColumn="1" w:lastColumn="0" w:noHBand="0" w:noVBand="1"/>
      </w:tblPr>
      <w:tblGrid>
        <w:gridCol w:w="4502"/>
        <w:gridCol w:w="4137"/>
      </w:tblGrid>
      <w:tr w:rsidR="00803B2F" w14:paraId="163E9F78" w14:textId="77777777">
        <w:trPr>
          <w:trHeight w:val="665"/>
        </w:trPr>
        <w:tc>
          <w:tcPr>
            <w:tcW w:w="4502" w:type="dxa"/>
            <w:tcBorders>
              <w:top w:val="single" w:sz="4" w:space="0" w:color="000000"/>
              <w:left w:val="single" w:sz="4" w:space="0" w:color="000000"/>
              <w:bottom w:val="single" w:sz="4" w:space="0" w:color="000000"/>
              <w:right w:val="single" w:sz="4" w:space="0" w:color="000000"/>
            </w:tcBorders>
            <w:vAlign w:val="bottom"/>
          </w:tcPr>
          <w:p w14:paraId="2DFE26FC" w14:textId="77777777" w:rsidR="00803B2F" w:rsidRDefault="00A02157">
            <w:pPr>
              <w:spacing w:after="0" w:line="259" w:lineRule="auto"/>
              <w:ind w:left="0" w:firstLine="0"/>
              <w:jc w:val="left"/>
            </w:pPr>
            <w:r>
              <w:rPr>
                <w:b/>
              </w:rPr>
              <w:t>Strengths</w:t>
            </w:r>
            <w:r>
              <w:t xml:space="preserve"> </w:t>
            </w:r>
          </w:p>
        </w:tc>
        <w:tc>
          <w:tcPr>
            <w:tcW w:w="4137" w:type="dxa"/>
            <w:tcBorders>
              <w:top w:val="single" w:sz="4" w:space="0" w:color="000000"/>
              <w:left w:val="single" w:sz="4" w:space="0" w:color="000000"/>
              <w:bottom w:val="single" w:sz="4" w:space="0" w:color="000000"/>
              <w:right w:val="single" w:sz="4" w:space="0" w:color="000000"/>
            </w:tcBorders>
            <w:vAlign w:val="bottom"/>
          </w:tcPr>
          <w:p w14:paraId="0A2A5D01" w14:textId="77777777" w:rsidR="00803B2F" w:rsidRDefault="00A02157">
            <w:pPr>
              <w:spacing w:after="0" w:line="259" w:lineRule="auto"/>
              <w:ind w:left="0" w:firstLine="0"/>
              <w:jc w:val="left"/>
            </w:pPr>
            <w:r>
              <w:rPr>
                <w:b/>
              </w:rPr>
              <w:t>Weaknesses</w:t>
            </w:r>
            <w:r>
              <w:t xml:space="preserve"> </w:t>
            </w:r>
          </w:p>
        </w:tc>
      </w:tr>
      <w:tr w:rsidR="00803B2F" w14:paraId="6B6948AC" w14:textId="77777777">
        <w:trPr>
          <w:trHeight w:val="2321"/>
        </w:trPr>
        <w:tc>
          <w:tcPr>
            <w:tcW w:w="4502" w:type="dxa"/>
            <w:tcBorders>
              <w:top w:val="single" w:sz="4" w:space="0" w:color="000000"/>
              <w:left w:val="single" w:sz="4" w:space="0" w:color="000000"/>
              <w:bottom w:val="single" w:sz="4" w:space="0" w:color="000000"/>
              <w:right w:val="single" w:sz="4" w:space="0" w:color="000000"/>
            </w:tcBorders>
            <w:vAlign w:val="bottom"/>
          </w:tcPr>
          <w:p w14:paraId="7B788998" w14:textId="77777777" w:rsidR="00803B2F" w:rsidRDefault="00A02157">
            <w:pPr>
              <w:spacing w:after="0" w:line="259" w:lineRule="auto"/>
              <w:ind w:left="0" w:right="65" w:firstLine="0"/>
            </w:pPr>
            <w:r>
              <w:t xml:space="preserve">Established, well-known, international brand portfolio encompassing 19 hotels, with a presence in over 100+ countries, extensive loyalist schemes and sound financial position (InterContinental Hotels Group PLC, 2024). </w:t>
            </w:r>
          </w:p>
        </w:tc>
        <w:tc>
          <w:tcPr>
            <w:tcW w:w="4137" w:type="dxa"/>
            <w:tcBorders>
              <w:top w:val="single" w:sz="4" w:space="0" w:color="000000"/>
              <w:left w:val="single" w:sz="4" w:space="0" w:color="000000"/>
              <w:bottom w:val="single" w:sz="4" w:space="0" w:color="000000"/>
              <w:right w:val="single" w:sz="4" w:space="0" w:color="000000"/>
            </w:tcBorders>
          </w:tcPr>
          <w:p w14:paraId="5A43859A" w14:textId="77777777" w:rsidR="00803B2F" w:rsidRDefault="00A02157">
            <w:pPr>
              <w:spacing w:after="0" w:line="259" w:lineRule="auto"/>
              <w:ind w:left="0" w:right="66" w:firstLine="0"/>
            </w:pPr>
            <w:r>
              <w:t xml:space="preserve">Over-reliance on franchise partners to manage their own adoption of technology, differing level of IT digital capabilities in older sites. </w:t>
            </w:r>
          </w:p>
        </w:tc>
      </w:tr>
      <w:tr w:rsidR="00803B2F" w14:paraId="074CD84B" w14:textId="77777777">
        <w:trPr>
          <w:trHeight w:val="1905"/>
        </w:trPr>
        <w:tc>
          <w:tcPr>
            <w:tcW w:w="4502" w:type="dxa"/>
            <w:tcBorders>
              <w:top w:val="single" w:sz="4" w:space="0" w:color="000000"/>
              <w:left w:val="single" w:sz="4" w:space="0" w:color="000000"/>
              <w:bottom w:val="single" w:sz="4" w:space="0" w:color="000000"/>
              <w:right w:val="single" w:sz="4" w:space="0" w:color="000000"/>
            </w:tcBorders>
          </w:tcPr>
          <w:p w14:paraId="4115E59F" w14:textId="77777777" w:rsidR="00803B2F" w:rsidRDefault="00A02157">
            <w:pPr>
              <w:spacing w:after="0" w:line="259" w:lineRule="auto"/>
              <w:ind w:left="0" w:right="66" w:firstLine="0"/>
            </w:pPr>
            <w:r>
              <w:t xml:space="preserve">Existing guest data systems that support personalisation; Experienced project and technology functions within Headquarters. </w:t>
            </w:r>
          </w:p>
        </w:tc>
        <w:tc>
          <w:tcPr>
            <w:tcW w:w="4137" w:type="dxa"/>
            <w:tcBorders>
              <w:top w:val="single" w:sz="4" w:space="0" w:color="000000"/>
              <w:left w:val="single" w:sz="4" w:space="0" w:color="000000"/>
              <w:bottom w:val="single" w:sz="4" w:space="0" w:color="000000"/>
              <w:right w:val="single" w:sz="4" w:space="0" w:color="000000"/>
            </w:tcBorders>
            <w:vAlign w:val="bottom"/>
          </w:tcPr>
          <w:p w14:paraId="0016D743" w14:textId="77777777" w:rsidR="00803B2F" w:rsidRDefault="00A02157">
            <w:pPr>
              <w:spacing w:after="0" w:line="259" w:lineRule="auto"/>
              <w:ind w:left="0" w:right="65" w:firstLine="0"/>
            </w:pPr>
            <w:r>
              <w:t xml:space="preserve">Potential negative customer reactions to AI in a human dominated industry; the training requirements for a huge dispersed workforce.  </w:t>
            </w:r>
          </w:p>
        </w:tc>
      </w:tr>
      <w:tr w:rsidR="00803B2F" w14:paraId="6F496EB6" w14:textId="77777777">
        <w:trPr>
          <w:trHeight w:val="665"/>
        </w:trPr>
        <w:tc>
          <w:tcPr>
            <w:tcW w:w="4502" w:type="dxa"/>
            <w:tcBorders>
              <w:top w:val="single" w:sz="4" w:space="0" w:color="000000"/>
              <w:left w:val="single" w:sz="4" w:space="0" w:color="000000"/>
              <w:bottom w:val="single" w:sz="4" w:space="0" w:color="000000"/>
              <w:right w:val="single" w:sz="4" w:space="0" w:color="000000"/>
            </w:tcBorders>
            <w:vAlign w:val="bottom"/>
          </w:tcPr>
          <w:p w14:paraId="2A127C82" w14:textId="77777777" w:rsidR="00803B2F" w:rsidRDefault="00A02157">
            <w:pPr>
              <w:spacing w:after="0" w:line="259" w:lineRule="auto"/>
              <w:ind w:left="0" w:firstLine="0"/>
              <w:jc w:val="left"/>
            </w:pPr>
            <w:r>
              <w:rPr>
                <w:b/>
              </w:rPr>
              <w:t>Opportunities</w:t>
            </w:r>
            <w:r>
              <w:t xml:space="preserve"> </w:t>
            </w:r>
          </w:p>
        </w:tc>
        <w:tc>
          <w:tcPr>
            <w:tcW w:w="4137" w:type="dxa"/>
            <w:tcBorders>
              <w:top w:val="single" w:sz="4" w:space="0" w:color="000000"/>
              <w:left w:val="single" w:sz="4" w:space="0" w:color="000000"/>
              <w:bottom w:val="single" w:sz="4" w:space="0" w:color="000000"/>
              <w:right w:val="single" w:sz="4" w:space="0" w:color="000000"/>
            </w:tcBorders>
            <w:vAlign w:val="bottom"/>
          </w:tcPr>
          <w:p w14:paraId="223F3E65" w14:textId="77777777" w:rsidR="00803B2F" w:rsidRDefault="00A02157">
            <w:pPr>
              <w:spacing w:after="0" w:line="259" w:lineRule="auto"/>
              <w:ind w:left="0" w:firstLine="0"/>
              <w:jc w:val="left"/>
            </w:pPr>
            <w:r>
              <w:rPr>
                <w:b/>
              </w:rPr>
              <w:t>Threats</w:t>
            </w:r>
            <w:r>
              <w:t xml:space="preserve"> </w:t>
            </w:r>
          </w:p>
        </w:tc>
      </w:tr>
      <w:tr w:rsidR="00803B2F" w14:paraId="41D42772" w14:textId="77777777">
        <w:trPr>
          <w:trHeight w:val="1906"/>
        </w:trPr>
        <w:tc>
          <w:tcPr>
            <w:tcW w:w="4502" w:type="dxa"/>
            <w:tcBorders>
              <w:top w:val="single" w:sz="4" w:space="0" w:color="000000"/>
              <w:left w:val="single" w:sz="4" w:space="0" w:color="000000"/>
              <w:bottom w:val="single" w:sz="4" w:space="0" w:color="000000"/>
              <w:right w:val="single" w:sz="4" w:space="0" w:color="000000"/>
            </w:tcBorders>
            <w:vAlign w:val="bottom"/>
          </w:tcPr>
          <w:p w14:paraId="6F291F48" w14:textId="77777777" w:rsidR="00803B2F" w:rsidRDefault="00A02157">
            <w:pPr>
              <w:spacing w:after="110" w:line="259" w:lineRule="auto"/>
              <w:ind w:left="0" w:firstLine="0"/>
              <w:jc w:val="left"/>
            </w:pPr>
            <w:r>
              <w:t xml:space="preserve">Growing demand for Personalized and </w:t>
            </w:r>
          </w:p>
          <w:p w14:paraId="17A2099D" w14:textId="77777777" w:rsidR="00803B2F" w:rsidRDefault="00A02157">
            <w:pPr>
              <w:spacing w:after="0" w:line="259" w:lineRule="auto"/>
              <w:ind w:left="0" w:right="67" w:firstLine="0"/>
            </w:pPr>
            <w:r>
              <w:t xml:space="preserve">Sustainable Travel, Distinct &amp; differentiators over competitors, new revenue opportunities and enhanced data driven upselling.  </w:t>
            </w:r>
          </w:p>
        </w:tc>
        <w:tc>
          <w:tcPr>
            <w:tcW w:w="4137" w:type="dxa"/>
            <w:tcBorders>
              <w:top w:val="single" w:sz="4" w:space="0" w:color="000000"/>
              <w:left w:val="single" w:sz="4" w:space="0" w:color="000000"/>
              <w:bottom w:val="single" w:sz="4" w:space="0" w:color="000000"/>
              <w:right w:val="single" w:sz="4" w:space="0" w:color="000000"/>
            </w:tcBorders>
            <w:vAlign w:val="bottom"/>
          </w:tcPr>
          <w:p w14:paraId="3E579AA3" w14:textId="77777777" w:rsidR="00803B2F" w:rsidRDefault="00A02157">
            <w:pPr>
              <w:spacing w:after="0" w:line="259" w:lineRule="auto"/>
              <w:ind w:left="0" w:right="66" w:firstLine="0"/>
            </w:pPr>
            <w:r>
              <w:t xml:space="preserve">Data Regulation by jurisdictions Competition from those offering similar services/products impact of economic conditions on discretionary spending.  </w:t>
            </w:r>
          </w:p>
        </w:tc>
      </w:tr>
      <w:tr w:rsidR="00803B2F" w14:paraId="1361A93B" w14:textId="77777777">
        <w:trPr>
          <w:trHeight w:val="1490"/>
        </w:trPr>
        <w:tc>
          <w:tcPr>
            <w:tcW w:w="4502" w:type="dxa"/>
            <w:tcBorders>
              <w:top w:val="single" w:sz="4" w:space="0" w:color="000000"/>
              <w:left w:val="single" w:sz="4" w:space="0" w:color="000000"/>
              <w:bottom w:val="single" w:sz="4" w:space="0" w:color="000000"/>
              <w:right w:val="single" w:sz="4" w:space="0" w:color="000000"/>
            </w:tcBorders>
            <w:vAlign w:val="bottom"/>
          </w:tcPr>
          <w:p w14:paraId="02FA1E27" w14:textId="77777777" w:rsidR="00803B2F" w:rsidRDefault="00A02157">
            <w:pPr>
              <w:spacing w:after="0" w:line="259" w:lineRule="auto"/>
              <w:ind w:left="0" w:right="65" w:firstLine="0"/>
            </w:pPr>
            <w:r>
              <w:t xml:space="preserve">The development into new markets and pipeline of over two thousand hotels, (InterContinental Hotels Group PLC, 2024). </w:t>
            </w:r>
          </w:p>
        </w:tc>
        <w:tc>
          <w:tcPr>
            <w:tcW w:w="4137" w:type="dxa"/>
            <w:tcBorders>
              <w:top w:val="single" w:sz="4" w:space="0" w:color="000000"/>
              <w:left w:val="single" w:sz="4" w:space="0" w:color="000000"/>
              <w:bottom w:val="single" w:sz="4" w:space="0" w:color="000000"/>
              <w:right w:val="single" w:sz="4" w:space="0" w:color="000000"/>
            </w:tcBorders>
            <w:vAlign w:val="bottom"/>
          </w:tcPr>
          <w:p w14:paraId="50637A8F" w14:textId="77777777" w:rsidR="00803B2F" w:rsidRDefault="00A02157">
            <w:pPr>
              <w:spacing w:after="0" w:line="259" w:lineRule="auto"/>
              <w:ind w:left="0" w:right="63" w:firstLine="0"/>
            </w:pPr>
            <w:r>
              <w:t xml:space="preserve">Threat from connectivity of devices and the risk to brand and reputation from technology perceived as anonymous.  </w:t>
            </w:r>
          </w:p>
        </w:tc>
      </w:tr>
    </w:tbl>
    <w:p w14:paraId="24A5E86B" w14:textId="77777777" w:rsidR="00803B2F" w:rsidRDefault="00A02157">
      <w:pPr>
        <w:pStyle w:val="Heading2"/>
        <w:spacing w:after="0"/>
        <w:ind w:left="-5"/>
      </w:pPr>
      <w:r>
        <w:t>2.2 PESTLE Analysis</w:t>
      </w:r>
      <w:r>
        <w:rPr>
          <w:b w:val="0"/>
        </w:rPr>
        <w:t xml:space="preserve"> </w:t>
      </w:r>
    </w:p>
    <w:tbl>
      <w:tblPr>
        <w:tblStyle w:val="TableGrid"/>
        <w:tblW w:w="9004" w:type="dxa"/>
        <w:tblInd w:w="5" w:type="dxa"/>
        <w:tblCellMar>
          <w:top w:w="304" w:type="dxa"/>
          <w:left w:w="110" w:type="dxa"/>
          <w:bottom w:w="138" w:type="dxa"/>
          <w:right w:w="46" w:type="dxa"/>
        </w:tblCellMar>
        <w:tblLook w:val="04A0" w:firstRow="1" w:lastRow="0" w:firstColumn="1" w:lastColumn="0" w:noHBand="0" w:noVBand="1"/>
      </w:tblPr>
      <w:tblGrid>
        <w:gridCol w:w="2201"/>
        <w:gridCol w:w="6803"/>
      </w:tblGrid>
      <w:tr w:rsidR="00803B2F" w14:paraId="10149EE1" w14:textId="77777777">
        <w:trPr>
          <w:trHeight w:val="666"/>
        </w:trPr>
        <w:tc>
          <w:tcPr>
            <w:tcW w:w="2201" w:type="dxa"/>
            <w:tcBorders>
              <w:top w:val="single" w:sz="4" w:space="0" w:color="000000"/>
              <w:left w:val="single" w:sz="4" w:space="0" w:color="000000"/>
              <w:bottom w:val="single" w:sz="4" w:space="0" w:color="000000"/>
              <w:right w:val="single" w:sz="4" w:space="0" w:color="000000"/>
            </w:tcBorders>
            <w:vAlign w:val="bottom"/>
          </w:tcPr>
          <w:p w14:paraId="0BD21C41" w14:textId="77777777" w:rsidR="00803B2F" w:rsidRDefault="00A02157">
            <w:pPr>
              <w:spacing w:after="0" w:line="259" w:lineRule="auto"/>
              <w:ind w:left="0" w:firstLine="0"/>
              <w:jc w:val="left"/>
            </w:pPr>
            <w:r>
              <w:rPr>
                <w:b/>
              </w:rPr>
              <w:t>Factor</w:t>
            </w:r>
            <w:r>
              <w:t xml:space="preserve"> </w:t>
            </w:r>
          </w:p>
        </w:tc>
        <w:tc>
          <w:tcPr>
            <w:tcW w:w="6803" w:type="dxa"/>
            <w:tcBorders>
              <w:top w:val="single" w:sz="4" w:space="0" w:color="000000"/>
              <w:left w:val="single" w:sz="4" w:space="0" w:color="000000"/>
              <w:bottom w:val="single" w:sz="4" w:space="0" w:color="000000"/>
              <w:right w:val="single" w:sz="4" w:space="0" w:color="000000"/>
            </w:tcBorders>
            <w:vAlign w:val="bottom"/>
          </w:tcPr>
          <w:p w14:paraId="169292C0" w14:textId="77777777" w:rsidR="00803B2F" w:rsidRDefault="00A02157">
            <w:pPr>
              <w:spacing w:after="0" w:line="259" w:lineRule="auto"/>
              <w:ind w:left="0" w:firstLine="0"/>
              <w:jc w:val="left"/>
            </w:pPr>
            <w:r>
              <w:rPr>
                <w:b/>
              </w:rPr>
              <w:t>Relevance to the StaySmart Plus Project</w:t>
            </w:r>
            <w:r>
              <w:t xml:space="preserve"> </w:t>
            </w:r>
          </w:p>
        </w:tc>
      </w:tr>
      <w:tr w:rsidR="00803B2F" w14:paraId="4EE6B68E" w14:textId="77777777">
        <w:trPr>
          <w:trHeight w:val="1490"/>
        </w:trPr>
        <w:tc>
          <w:tcPr>
            <w:tcW w:w="2201" w:type="dxa"/>
            <w:tcBorders>
              <w:top w:val="single" w:sz="4" w:space="0" w:color="000000"/>
              <w:left w:val="single" w:sz="4" w:space="0" w:color="000000"/>
              <w:bottom w:val="single" w:sz="4" w:space="0" w:color="000000"/>
              <w:right w:val="single" w:sz="4" w:space="0" w:color="000000"/>
            </w:tcBorders>
          </w:tcPr>
          <w:p w14:paraId="021FCA06" w14:textId="77777777" w:rsidR="00803B2F" w:rsidRDefault="00A02157">
            <w:pPr>
              <w:spacing w:after="0" w:line="259" w:lineRule="auto"/>
              <w:ind w:left="0" w:firstLine="0"/>
              <w:jc w:val="left"/>
            </w:pPr>
            <w:r>
              <w:rPr>
                <w:b/>
              </w:rPr>
              <w:t xml:space="preserve">Political </w:t>
            </w:r>
          </w:p>
        </w:tc>
        <w:tc>
          <w:tcPr>
            <w:tcW w:w="6803" w:type="dxa"/>
            <w:tcBorders>
              <w:top w:val="single" w:sz="4" w:space="0" w:color="000000"/>
              <w:left w:val="single" w:sz="4" w:space="0" w:color="000000"/>
              <w:bottom w:val="single" w:sz="4" w:space="0" w:color="000000"/>
              <w:right w:val="single" w:sz="4" w:space="0" w:color="000000"/>
            </w:tcBorders>
            <w:vAlign w:val="bottom"/>
          </w:tcPr>
          <w:p w14:paraId="18960912" w14:textId="77777777" w:rsidR="00803B2F" w:rsidRDefault="00A02157">
            <w:pPr>
              <w:spacing w:after="0" w:line="259" w:lineRule="auto"/>
              <w:ind w:left="0" w:right="70" w:firstLine="0"/>
            </w:pPr>
            <w:r>
              <w:t xml:space="preserve">International Market Guest volumes are affected by government tourism policy, trade agreements and visa regimes between countries; influencing the speed of rollout of technology lead services.  </w:t>
            </w:r>
          </w:p>
        </w:tc>
      </w:tr>
      <w:tr w:rsidR="00803B2F" w14:paraId="74EEEE56" w14:textId="77777777">
        <w:trPr>
          <w:trHeight w:val="1495"/>
        </w:trPr>
        <w:tc>
          <w:tcPr>
            <w:tcW w:w="2201" w:type="dxa"/>
            <w:tcBorders>
              <w:top w:val="single" w:sz="4" w:space="0" w:color="000000"/>
              <w:left w:val="single" w:sz="4" w:space="0" w:color="000000"/>
              <w:bottom w:val="single" w:sz="4" w:space="0" w:color="000000"/>
              <w:right w:val="single" w:sz="4" w:space="0" w:color="000000"/>
            </w:tcBorders>
          </w:tcPr>
          <w:p w14:paraId="03F64D37" w14:textId="77777777" w:rsidR="00803B2F" w:rsidRDefault="00A02157">
            <w:pPr>
              <w:spacing w:after="0" w:line="259" w:lineRule="auto"/>
              <w:ind w:left="0" w:firstLine="0"/>
              <w:jc w:val="left"/>
            </w:pPr>
            <w:r>
              <w:rPr>
                <w:b/>
              </w:rPr>
              <w:t xml:space="preserve">Economic </w:t>
            </w:r>
          </w:p>
        </w:tc>
        <w:tc>
          <w:tcPr>
            <w:tcW w:w="6803" w:type="dxa"/>
            <w:tcBorders>
              <w:top w:val="single" w:sz="4" w:space="0" w:color="000000"/>
              <w:left w:val="single" w:sz="4" w:space="0" w:color="000000"/>
              <w:bottom w:val="single" w:sz="4" w:space="0" w:color="000000"/>
              <w:right w:val="single" w:sz="4" w:space="0" w:color="000000"/>
            </w:tcBorders>
            <w:vAlign w:val="bottom"/>
          </w:tcPr>
          <w:p w14:paraId="1AFCF27A" w14:textId="77777777" w:rsidR="00803B2F" w:rsidRDefault="00A02157">
            <w:pPr>
              <w:spacing w:after="0" w:line="259" w:lineRule="auto"/>
              <w:ind w:left="0" w:right="69" w:firstLine="0"/>
            </w:pPr>
            <w:r>
              <w:t xml:space="preserve">Currency fluctuation, inflation and the level of discretionary income across markets impact guest readiness to pay for premium service and the willingness of franchise partners to invest capital.  </w:t>
            </w:r>
          </w:p>
        </w:tc>
      </w:tr>
      <w:tr w:rsidR="00803B2F" w14:paraId="317ECFB3" w14:textId="77777777">
        <w:trPr>
          <w:trHeight w:val="1905"/>
        </w:trPr>
        <w:tc>
          <w:tcPr>
            <w:tcW w:w="2201" w:type="dxa"/>
            <w:tcBorders>
              <w:top w:val="single" w:sz="4" w:space="0" w:color="000000"/>
              <w:left w:val="single" w:sz="4" w:space="0" w:color="000000"/>
              <w:bottom w:val="single" w:sz="4" w:space="0" w:color="000000"/>
              <w:right w:val="single" w:sz="4" w:space="0" w:color="000000"/>
            </w:tcBorders>
          </w:tcPr>
          <w:p w14:paraId="0D3A460B" w14:textId="77777777" w:rsidR="00803B2F" w:rsidRDefault="00A02157">
            <w:pPr>
              <w:spacing w:after="0" w:line="259" w:lineRule="auto"/>
              <w:ind w:left="0" w:firstLine="0"/>
              <w:jc w:val="left"/>
            </w:pPr>
            <w:r>
              <w:rPr>
                <w:b/>
              </w:rPr>
              <w:t xml:space="preserve">Social </w:t>
            </w:r>
          </w:p>
        </w:tc>
        <w:tc>
          <w:tcPr>
            <w:tcW w:w="6803" w:type="dxa"/>
            <w:tcBorders>
              <w:top w:val="single" w:sz="4" w:space="0" w:color="000000"/>
              <w:left w:val="single" w:sz="4" w:space="0" w:color="000000"/>
              <w:bottom w:val="single" w:sz="4" w:space="0" w:color="000000"/>
              <w:right w:val="single" w:sz="4" w:space="0" w:color="000000"/>
            </w:tcBorders>
            <w:vAlign w:val="bottom"/>
          </w:tcPr>
          <w:p w14:paraId="0F9DBD96" w14:textId="77777777" w:rsidR="00803B2F" w:rsidRDefault="00A02157">
            <w:pPr>
              <w:spacing w:after="0" w:line="259" w:lineRule="auto"/>
              <w:ind w:left="0" w:right="63" w:firstLine="0"/>
            </w:pPr>
            <w:r>
              <w:t xml:space="preserve">Future levels of adoption, which will require careful cross-cultural management, will be determined by evolving generational attitudes towards engagement with an AI, and rising customer desire for personalized services and ethical consumption.  </w:t>
            </w:r>
          </w:p>
        </w:tc>
      </w:tr>
      <w:tr w:rsidR="00803B2F" w14:paraId="7416CAC6" w14:textId="77777777">
        <w:trPr>
          <w:trHeight w:val="1906"/>
        </w:trPr>
        <w:tc>
          <w:tcPr>
            <w:tcW w:w="2201" w:type="dxa"/>
            <w:tcBorders>
              <w:top w:val="single" w:sz="4" w:space="0" w:color="000000"/>
              <w:left w:val="single" w:sz="4" w:space="0" w:color="000000"/>
              <w:bottom w:val="single" w:sz="4" w:space="0" w:color="000000"/>
              <w:right w:val="single" w:sz="4" w:space="0" w:color="000000"/>
            </w:tcBorders>
          </w:tcPr>
          <w:p w14:paraId="68F2E64F" w14:textId="77777777" w:rsidR="00803B2F" w:rsidRDefault="00A02157">
            <w:pPr>
              <w:spacing w:after="0" w:line="259" w:lineRule="auto"/>
              <w:ind w:left="0" w:firstLine="0"/>
              <w:jc w:val="left"/>
            </w:pPr>
            <w:r>
              <w:rPr>
                <w:b/>
              </w:rPr>
              <w:t xml:space="preserve">Technological </w:t>
            </w:r>
          </w:p>
        </w:tc>
        <w:tc>
          <w:tcPr>
            <w:tcW w:w="6803" w:type="dxa"/>
            <w:tcBorders>
              <w:top w:val="single" w:sz="4" w:space="0" w:color="000000"/>
              <w:left w:val="single" w:sz="4" w:space="0" w:color="000000"/>
              <w:bottom w:val="single" w:sz="4" w:space="0" w:color="000000"/>
              <w:right w:val="single" w:sz="4" w:space="0" w:color="000000"/>
            </w:tcBorders>
            <w:vAlign w:val="bottom"/>
          </w:tcPr>
          <w:p w14:paraId="497A4E33" w14:textId="77777777" w:rsidR="00803B2F" w:rsidRDefault="00A02157">
            <w:pPr>
              <w:spacing w:after="0" w:line="259" w:lineRule="auto"/>
              <w:ind w:left="0" w:right="65" w:firstLine="0"/>
            </w:pPr>
            <w:r>
              <w:t xml:space="preserve">The practical viability and costs of integration will depend on the reliability of connections and the availability of the software platform, how mature are current hotel operating systems and the rate at which AI technology develops.  </w:t>
            </w:r>
          </w:p>
        </w:tc>
      </w:tr>
      <w:tr w:rsidR="00803B2F" w14:paraId="3BDAB77C" w14:textId="77777777">
        <w:trPr>
          <w:trHeight w:val="1906"/>
        </w:trPr>
        <w:tc>
          <w:tcPr>
            <w:tcW w:w="2201" w:type="dxa"/>
            <w:tcBorders>
              <w:top w:val="single" w:sz="4" w:space="0" w:color="000000"/>
              <w:left w:val="single" w:sz="4" w:space="0" w:color="000000"/>
              <w:bottom w:val="single" w:sz="4" w:space="0" w:color="000000"/>
              <w:right w:val="single" w:sz="4" w:space="0" w:color="000000"/>
            </w:tcBorders>
          </w:tcPr>
          <w:p w14:paraId="296DFC60" w14:textId="77777777" w:rsidR="00803B2F" w:rsidRDefault="00A02157">
            <w:pPr>
              <w:spacing w:after="0" w:line="259" w:lineRule="auto"/>
              <w:ind w:left="0" w:firstLine="0"/>
              <w:jc w:val="left"/>
            </w:pPr>
            <w:r>
              <w:rPr>
                <w:b/>
              </w:rPr>
              <w:t xml:space="preserve">Legal </w:t>
            </w:r>
          </w:p>
        </w:tc>
        <w:tc>
          <w:tcPr>
            <w:tcW w:w="6803" w:type="dxa"/>
            <w:tcBorders>
              <w:top w:val="single" w:sz="4" w:space="0" w:color="000000"/>
              <w:left w:val="single" w:sz="4" w:space="0" w:color="000000"/>
              <w:bottom w:val="single" w:sz="4" w:space="0" w:color="000000"/>
              <w:right w:val="single" w:sz="4" w:space="0" w:color="000000"/>
            </w:tcBorders>
            <w:vAlign w:val="bottom"/>
          </w:tcPr>
          <w:p w14:paraId="7B77BEAC" w14:textId="77777777" w:rsidR="00803B2F" w:rsidRDefault="00A02157">
            <w:pPr>
              <w:spacing w:after="0" w:line="259" w:lineRule="auto"/>
              <w:ind w:left="0" w:right="69" w:firstLine="0"/>
            </w:pPr>
            <w:r>
              <w:t xml:space="preserve">The organization must also adhere to laws related to data protection, such as the General Data Protection Regulation (GDPR) and other laws covering data protection, as well as those associated with employment law, relating to the retraining of staff. </w:t>
            </w:r>
          </w:p>
        </w:tc>
      </w:tr>
      <w:tr w:rsidR="00803B2F" w14:paraId="411011A8" w14:textId="77777777">
        <w:trPr>
          <w:trHeight w:val="1905"/>
        </w:trPr>
        <w:tc>
          <w:tcPr>
            <w:tcW w:w="2201" w:type="dxa"/>
            <w:tcBorders>
              <w:top w:val="single" w:sz="4" w:space="0" w:color="000000"/>
              <w:left w:val="single" w:sz="4" w:space="0" w:color="000000"/>
              <w:bottom w:val="single" w:sz="4" w:space="0" w:color="000000"/>
              <w:right w:val="single" w:sz="4" w:space="0" w:color="000000"/>
            </w:tcBorders>
          </w:tcPr>
          <w:p w14:paraId="50BDD235" w14:textId="77777777" w:rsidR="00803B2F" w:rsidRDefault="00A02157">
            <w:pPr>
              <w:spacing w:after="0" w:line="259" w:lineRule="auto"/>
              <w:ind w:left="0" w:firstLine="0"/>
              <w:jc w:val="left"/>
            </w:pPr>
            <w:r>
              <w:rPr>
                <w:b/>
              </w:rPr>
              <w:t xml:space="preserve">Environmental </w:t>
            </w:r>
          </w:p>
        </w:tc>
        <w:tc>
          <w:tcPr>
            <w:tcW w:w="6803" w:type="dxa"/>
            <w:tcBorders>
              <w:top w:val="single" w:sz="4" w:space="0" w:color="000000"/>
              <w:left w:val="single" w:sz="4" w:space="0" w:color="000000"/>
              <w:bottom w:val="single" w:sz="4" w:space="0" w:color="000000"/>
              <w:right w:val="single" w:sz="4" w:space="0" w:color="000000"/>
            </w:tcBorders>
            <w:vAlign w:val="bottom"/>
          </w:tcPr>
          <w:p w14:paraId="1D362402" w14:textId="77777777" w:rsidR="00803B2F" w:rsidRDefault="00A02157">
            <w:pPr>
              <w:spacing w:after="0" w:line="259" w:lineRule="auto"/>
              <w:ind w:left="0" w:right="67" w:firstLine="0"/>
            </w:pPr>
            <w:r>
              <w:t xml:space="preserve">There are increasing legal and consumer pressure on hospitality companies to make their businesses environmentally friendly using facilities, intended to encourage energy efficiency and waste minimization (Ricaurte and Jagarajan, 2021).  </w:t>
            </w:r>
          </w:p>
        </w:tc>
      </w:tr>
    </w:tbl>
    <w:p w14:paraId="208224F6" w14:textId="77777777" w:rsidR="00803B2F" w:rsidRDefault="00A02157">
      <w:pPr>
        <w:spacing w:after="3" w:line="259" w:lineRule="auto"/>
        <w:ind w:left="-5" w:right="4"/>
      </w:pPr>
      <w:r>
        <w:t xml:space="preserve">Collectively, the appraisal suggests that despite IHG’s substantial brand equity and financial strength, the successful realization of StaySmart Plus will hinge significantly upon the participation of external stakeholders that are not directly within the scope of project team control: these are primarily its franchise partners, technology providers and the regulators. These findings strengthen the reasoning of Tampio, Haapasalo &amp; Ali (2022) regarding the importance of proactive and organised stakeholder identification for creating value in a complex project, and also corroborate the position taken by Klaus Rosinska &amp; Iwko (2021) that managing stakeholders is an aspect of project success which is often downplayed. </w:t>
      </w:r>
    </w:p>
    <w:p w14:paraId="3BD0BD6C" w14:textId="77777777" w:rsidR="00803B2F" w:rsidRDefault="00A02157">
      <w:pPr>
        <w:pStyle w:val="Heading2"/>
        <w:spacing w:after="3" w:line="259" w:lineRule="auto"/>
        <w:ind w:left="-5" w:right="4"/>
        <w:jc w:val="both"/>
      </w:pPr>
      <w:r>
        <w:t xml:space="preserve">2.3 SMART Objectives </w:t>
      </w:r>
    </w:p>
    <w:tbl>
      <w:tblPr>
        <w:tblStyle w:val="TableGrid"/>
        <w:tblW w:w="8934" w:type="dxa"/>
        <w:tblInd w:w="90" w:type="dxa"/>
        <w:tblCellMar>
          <w:top w:w="184" w:type="dxa"/>
          <w:left w:w="110" w:type="dxa"/>
          <w:right w:w="51" w:type="dxa"/>
        </w:tblCellMar>
        <w:tblLook w:val="04A0" w:firstRow="1" w:lastRow="0" w:firstColumn="1" w:lastColumn="0" w:noHBand="0" w:noVBand="1"/>
      </w:tblPr>
      <w:tblGrid>
        <w:gridCol w:w="1981"/>
        <w:gridCol w:w="6953"/>
      </w:tblGrid>
      <w:tr w:rsidR="00803B2F" w14:paraId="39D7F654" w14:textId="77777777">
        <w:trPr>
          <w:trHeight w:val="1495"/>
        </w:trPr>
        <w:tc>
          <w:tcPr>
            <w:tcW w:w="1981" w:type="dxa"/>
            <w:tcBorders>
              <w:top w:val="single" w:sz="4" w:space="0" w:color="000000"/>
              <w:left w:val="single" w:sz="4" w:space="0" w:color="000000"/>
              <w:bottom w:val="single" w:sz="4" w:space="0" w:color="000000"/>
              <w:right w:val="single" w:sz="4" w:space="0" w:color="000000"/>
            </w:tcBorders>
          </w:tcPr>
          <w:p w14:paraId="51FF99B9" w14:textId="77777777" w:rsidR="00803B2F" w:rsidRDefault="00A02157">
            <w:pPr>
              <w:spacing w:after="0" w:line="259" w:lineRule="auto"/>
              <w:ind w:left="0" w:firstLine="0"/>
              <w:jc w:val="left"/>
            </w:pPr>
            <w:r>
              <w:rPr>
                <w:b/>
              </w:rPr>
              <w:t xml:space="preserve">Specific </w:t>
            </w:r>
          </w:p>
        </w:tc>
        <w:tc>
          <w:tcPr>
            <w:tcW w:w="6953" w:type="dxa"/>
            <w:tcBorders>
              <w:top w:val="single" w:sz="4" w:space="0" w:color="000000"/>
              <w:left w:val="single" w:sz="4" w:space="0" w:color="000000"/>
              <w:bottom w:val="single" w:sz="4" w:space="0" w:color="000000"/>
              <w:right w:val="single" w:sz="4" w:space="0" w:color="000000"/>
            </w:tcBorders>
            <w:vAlign w:val="center"/>
          </w:tcPr>
          <w:p w14:paraId="55B91E9B" w14:textId="77777777" w:rsidR="00803B2F" w:rsidRDefault="00A02157">
            <w:pPr>
              <w:spacing w:after="0" w:line="259" w:lineRule="auto"/>
              <w:ind w:left="0" w:right="66" w:firstLine="0"/>
            </w:pPr>
            <w:r>
              <w:t xml:space="preserve">Launch StaySmart Plus, with AI guest engagement, customized travel, and sustainable features, in an inaugural selection of 50 properties in global and domestic locations. </w:t>
            </w:r>
          </w:p>
        </w:tc>
      </w:tr>
      <w:tr w:rsidR="00803B2F" w14:paraId="7FF0D3FF" w14:textId="77777777">
        <w:trPr>
          <w:trHeight w:val="1490"/>
        </w:trPr>
        <w:tc>
          <w:tcPr>
            <w:tcW w:w="1981" w:type="dxa"/>
            <w:tcBorders>
              <w:top w:val="single" w:sz="4" w:space="0" w:color="000000"/>
              <w:left w:val="single" w:sz="4" w:space="0" w:color="000000"/>
              <w:bottom w:val="single" w:sz="4" w:space="0" w:color="000000"/>
              <w:right w:val="single" w:sz="4" w:space="0" w:color="000000"/>
            </w:tcBorders>
          </w:tcPr>
          <w:p w14:paraId="2D11BC13" w14:textId="77777777" w:rsidR="00803B2F" w:rsidRDefault="00A02157">
            <w:pPr>
              <w:spacing w:after="0" w:line="259" w:lineRule="auto"/>
              <w:ind w:left="0" w:firstLine="0"/>
              <w:jc w:val="left"/>
            </w:pPr>
            <w:r>
              <w:rPr>
                <w:b/>
              </w:rPr>
              <w:t xml:space="preserve">Measurable </w:t>
            </w:r>
          </w:p>
        </w:tc>
        <w:tc>
          <w:tcPr>
            <w:tcW w:w="6953" w:type="dxa"/>
            <w:tcBorders>
              <w:top w:val="single" w:sz="4" w:space="0" w:color="000000"/>
              <w:left w:val="single" w:sz="4" w:space="0" w:color="000000"/>
              <w:bottom w:val="single" w:sz="4" w:space="0" w:color="000000"/>
              <w:right w:val="single" w:sz="4" w:space="0" w:color="000000"/>
            </w:tcBorders>
            <w:vAlign w:val="center"/>
          </w:tcPr>
          <w:p w14:paraId="1C68EA4A" w14:textId="77777777" w:rsidR="00803B2F" w:rsidRDefault="00A02157">
            <w:pPr>
              <w:spacing w:after="0" w:line="259" w:lineRule="auto"/>
              <w:ind w:left="0" w:right="66" w:firstLine="0"/>
            </w:pPr>
            <w:r>
              <w:t xml:space="preserve">Deliver the rollout using existing IHG technology infrastructure, franchise relationships and corporate project resources, supplemented by selected external technology partners. </w:t>
            </w:r>
          </w:p>
        </w:tc>
      </w:tr>
      <w:tr w:rsidR="00803B2F" w14:paraId="05C50E15" w14:textId="77777777">
        <w:trPr>
          <w:trHeight w:val="1491"/>
        </w:trPr>
        <w:tc>
          <w:tcPr>
            <w:tcW w:w="1981" w:type="dxa"/>
            <w:tcBorders>
              <w:top w:val="single" w:sz="4" w:space="0" w:color="000000"/>
              <w:left w:val="single" w:sz="4" w:space="0" w:color="000000"/>
              <w:bottom w:val="single" w:sz="4" w:space="0" w:color="000000"/>
              <w:right w:val="single" w:sz="4" w:space="0" w:color="000000"/>
            </w:tcBorders>
          </w:tcPr>
          <w:p w14:paraId="5501E9E7" w14:textId="77777777" w:rsidR="00803B2F" w:rsidRDefault="00A02157">
            <w:pPr>
              <w:spacing w:after="0" w:line="259" w:lineRule="auto"/>
              <w:ind w:left="0" w:firstLine="0"/>
              <w:jc w:val="left"/>
            </w:pPr>
            <w:r>
              <w:rPr>
                <w:b/>
              </w:rPr>
              <w:t xml:space="preserve">Achievable </w:t>
            </w:r>
          </w:p>
        </w:tc>
        <w:tc>
          <w:tcPr>
            <w:tcW w:w="6953" w:type="dxa"/>
            <w:tcBorders>
              <w:top w:val="single" w:sz="4" w:space="0" w:color="000000"/>
              <w:left w:val="single" w:sz="4" w:space="0" w:color="000000"/>
              <w:bottom w:val="single" w:sz="4" w:space="0" w:color="000000"/>
              <w:right w:val="single" w:sz="4" w:space="0" w:color="000000"/>
            </w:tcBorders>
            <w:vAlign w:val="center"/>
          </w:tcPr>
          <w:p w14:paraId="45771DF5" w14:textId="77777777" w:rsidR="00803B2F" w:rsidRDefault="00A02157">
            <w:pPr>
              <w:spacing w:after="0" w:line="259" w:lineRule="auto"/>
              <w:ind w:left="0" w:right="66" w:firstLine="0"/>
            </w:pPr>
            <w:r>
              <w:t xml:space="preserve">Roll out using current IHG tech infrastructure, Franchise relationships and corporate project resources supported by targeted external tech partners.  </w:t>
            </w:r>
          </w:p>
        </w:tc>
      </w:tr>
      <w:tr w:rsidR="00803B2F" w14:paraId="56724CFC" w14:textId="77777777">
        <w:trPr>
          <w:trHeight w:val="1080"/>
        </w:trPr>
        <w:tc>
          <w:tcPr>
            <w:tcW w:w="1981" w:type="dxa"/>
            <w:tcBorders>
              <w:top w:val="single" w:sz="4" w:space="0" w:color="000000"/>
              <w:left w:val="single" w:sz="4" w:space="0" w:color="000000"/>
              <w:bottom w:val="single" w:sz="4" w:space="0" w:color="000000"/>
              <w:right w:val="single" w:sz="4" w:space="0" w:color="000000"/>
            </w:tcBorders>
          </w:tcPr>
          <w:p w14:paraId="73B9F971" w14:textId="77777777" w:rsidR="00803B2F" w:rsidRDefault="00A02157">
            <w:pPr>
              <w:spacing w:after="0" w:line="259" w:lineRule="auto"/>
              <w:ind w:left="0" w:firstLine="0"/>
              <w:jc w:val="left"/>
            </w:pPr>
            <w:r>
              <w:rPr>
                <w:b/>
              </w:rPr>
              <w:t xml:space="preserve">Relevant </w:t>
            </w:r>
          </w:p>
        </w:tc>
        <w:tc>
          <w:tcPr>
            <w:tcW w:w="6953" w:type="dxa"/>
            <w:tcBorders>
              <w:top w:val="single" w:sz="4" w:space="0" w:color="000000"/>
              <w:left w:val="single" w:sz="4" w:space="0" w:color="000000"/>
              <w:bottom w:val="single" w:sz="4" w:space="0" w:color="000000"/>
              <w:right w:val="single" w:sz="4" w:space="0" w:color="000000"/>
            </w:tcBorders>
            <w:vAlign w:val="center"/>
          </w:tcPr>
          <w:p w14:paraId="40A35EA2" w14:textId="77777777" w:rsidR="00803B2F" w:rsidRDefault="00A02157">
            <w:pPr>
              <w:spacing w:after="0" w:line="259" w:lineRule="auto"/>
              <w:ind w:left="0" w:firstLine="0"/>
            </w:pPr>
            <w:r>
              <w:t xml:space="preserve">Supporting IHG's brand differentiation strategy, its Journey to Tomorrow plan, and a portfolio of sustainability led amenities.  </w:t>
            </w:r>
          </w:p>
        </w:tc>
      </w:tr>
      <w:tr w:rsidR="00803B2F" w14:paraId="72903629" w14:textId="77777777">
        <w:trPr>
          <w:trHeight w:val="1075"/>
        </w:trPr>
        <w:tc>
          <w:tcPr>
            <w:tcW w:w="1981" w:type="dxa"/>
            <w:tcBorders>
              <w:top w:val="single" w:sz="4" w:space="0" w:color="000000"/>
              <w:left w:val="single" w:sz="4" w:space="0" w:color="000000"/>
              <w:bottom w:val="single" w:sz="4" w:space="0" w:color="000000"/>
              <w:right w:val="single" w:sz="4" w:space="0" w:color="000000"/>
            </w:tcBorders>
          </w:tcPr>
          <w:p w14:paraId="7A003B1B" w14:textId="77777777" w:rsidR="00803B2F" w:rsidRDefault="00A02157">
            <w:pPr>
              <w:spacing w:after="0" w:line="259" w:lineRule="auto"/>
              <w:ind w:left="0" w:firstLine="0"/>
              <w:jc w:val="left"/>
            </w:pPr>
            <w:r>
              <w:rPr>
                <w:b/>
              </w:rPr>
              <w:t xml:space="preserve">Time bound </w:t>
            </w:r>
          </w:p>
        </w:tc>
        <w:tc>
          <w:tcPr>
            <w:tcW w:w="6953" w:type="dxa"/>
            <w:tcBorders>
              <w:top w:val="single" w:sz="4" w:space="0" w:color="000000"/>
              <w:left w:val="single" w:sz="4" w:space="0" w:color="000000"/>
              <w:bottom w:val="single" w:sz="4" w:space="0" w:color="000000"/>
              <w:right w:val="single" w:sz="4" w:space="0" w:color="000000"/>
            </w:tcBorders>
            <w:vAlign w:val="center"/>
          </w:tcPr>
          <w:p w14:paraId="75E879A9" w14:textId="77777777" w:rsidR="00803B2F" w:rsidRDefault="00A02157">
            <w:pPr>
              <w:spacing w:after="0" w:line="259" w:lineRule="auto"/>
              <w:ind w:left="0" w:firstLine="0"/>
            </w:pPr>
            <w:r>
              <w:t xml:space="preserve">To deliver design, stakeholder management, testing and phase rollout in 6-month project period. </w:t>
            </w:r>
          </w:p>
        </w:tc>
      </w:tr>
    </w:tbl>
    <w:p w14:paraId="217AC725" w14:textId="77777777" w:rsidR="00803B2F" w:rsidRDefault="00A02157">
      <w:pPr>
        <w:pStyle w:val="Heading1"/>
        <w:spacing w:after="309"/>
        <w:ind w:left="-5"/>
      </w:pPr>
      <w:r>
        <w:t>3. Identification and Categorisation of Key Stakeholders</w:t>
      </w:r>
      <w:r>
        <w:rPr>
          <w:b w:val="0"/>
        </w:rPr>
        <w:t xml:space="preserve"> </w:t>
      </w:r>
    </w:p>
    <w:p w14:paraId="7E36A0D7" w14:textId="77777777" w:rsidR="00803B2F" w:rsidRDefault="00A02157">
      <w:pPr>
        <w:spacing w:after="264"/>
        <w:ind w:left="-5" w:right="4"/>
      </w:pPr>
      <w:r>
        <w:t xml:space="preserve">A stakeholder is identified by Freeman (1984) as any individual or organisation that can affect or is affected by, the achievement of an organisations’ objectives and has since provided the fundamental basis for analysing stakeholders for projects. Stakeholders within the StaySmart Plus project consist of internal, being individuals and groups inside of an organisations structure, and external stakeholders who are parties outside of an organisations structure with influence or consigned interest in the project (JSTOR, 2026). </w:t>
      </w:r>
    </w:p>
    <w:p w14:paraId="10C56679" w14:textId="77777777" w:rsidR="00803B2F" w:rsidRDefault="00A02157">
      <w:pPr>
        <w:pStyle w:val="Heading2"/>
        <w:ind w:left="-5"/>
      </w:pPr>
      <w:r>
        <w:t>3.1 Internal Stakeholders</w:t>
      </w:r>
      <w:r>
        <w:rPr>
          <w:b w:val="0"/>
        </w:rPr>
        <w:t xml:space="preserve"> </w:t>
      </w:r>
    </w:p>
    <w:p w14:paraId="7FF8E7ED" w14:textId="77777777" w:rsidR="00803B2F" w:rsidRDefault="00A02157">
      <w:pPr>
        <w:spacing w:after="263"/>
        <w:ind w:left="-5" w:right="4"/>
      </w:pPr>
      <w:r>
        <w:t xml:space="preserve">Internal stakeholders are located within IHG’s organisational boundary, with responsibility for delivery of the project. The core internal stakeholders are: The executive sponsor and senior leaders (who approves the investment and direction of the project), The project management office (PMO) (responsible for co-ordination and planning of delivery), Information technology and digital innovation teams (responsible for platform design and development and its implementation). Sales and marketing teams (responsible for the positioning and marketing of the service), Human resource department (responsible for training and up-skilling staff), Hotel general managers and front-line employees (responsible for the operation of the service and interaction with customers). </w:t>
      </w:r>
    </w:p>
    <w:p w14:paraId="0AE6633D" w14:textId="77777777" w:rsidR="00803B2F" w:rsidRDefault="00A02157">
      <w:pPr>
        <w:pStyle w:val="Heading2"/>
        <w:ind w:left="-5"/>
      </w:pPr>
      <w:r>
        <w:t>3.2 External Stakeholders</w:t>
      </w:r>
      <w:r>
        <w:rPr>
          <w:b w:val="0"/>
        </w:rPr>
        <w:t xml:space="preserve"> </w:t>
      </w:r>
    </w:p>
    <w:p w14:paraId="4379E377" w14:textId="77777777" w:rsidR="00803B2F" w:rsidRDefault="00A02157">
      <w:pPr>
        <w:spacing w:after="43" w:line="259" w:lineRule="auto"/>
        <w:ind w:left="-5" w:right="4"/>
      </w:pPr>
      <w:r>
        <w:t xml:space="preserve">External stakeholders are outside of the company but have an either a strong interest in, or can impact, the success of the project. These are: franchise partners and hotels: these need to consent to the roll-out and be responsible for its funding at local level, guests and loyalty program members: the ultimate recipients of the benefit, tech suppliers: the platform for deployment and delivery, government and regulatory authorities: such as national data protection agencies, communities and sustainability groups: who have an interest in our initiatives, investors: for the returns on the capital committed. </w:t>
      </w:r>
    </w:p>
    <w:tbl>
      <w:tblPr>
        <w:tblStyle w:val="TableGrid"/>
        <w:tblW w:w="9004" w:type="dxa"/>
        <w:tblInd w:w="5" w:type="dxa"/>
        <w:tblCellMar>
          <w:top w:w="303" w:type="dxa"/>
          <w:left w:w="110" w:type="dxa"/>
          <w:bottom w:w="138" w:type="dxa"/>
          <w:right w:w="45" w:type="dxa"/>
        </w:tblCellMar>
        <w:tblLook w:val="04A0" w:firstRow="1" w:lastRow="0" w:firstColumn="1" w:lastColumn="0" w:noHBand="0" w:noVBand="1"/>
      </w:tblPr>
      <w:tblGrid>
        <w:gridCol w:w="1401"/>
        <w:gridCol w:w="3602"/>
        <w:gridCol w:w="4001"/>
      </w:tblGrid>
      <w:tr w:rsidR="00803B2F" w14:paraId="5973775A" w14:textId="77777777">
        <w:trPr>
          <w:trHeight w:val="665"/>
        </w:trPr>
        <w:tc>
          <w:tcPr>
            <w:tcW w:w="1401" w:type="dxa"/>
            <w:tcBorders>
              <w:top w:val="single" w:sz="4" w:space="0" w:color="000000"/>
              <w:left w:val="single" w:sz="4" w:space="0" w:color="000000"/>
              <w:bottom w:val="single" w:sz="4" w:space="0" w:color="000000"/>
              <w:right w:val="single" w:sz="4" w:space="0" w:color="000000"/>
            </w:tcBorders>
            <w:vAlign w:val="bottom"/>
          </w:tcPr>
          <w:p w14:paraId="361830EF" w14:textId="77777777" w:rsidR="00803B2F" w:rsidRDefault="00A02157">
            <w:pPr>
              <w:spacing w:after="0" w:line="259" w:lineRule="auto"/>
              <w:ind w:left="0" w:firstLine="0"/>
              <w:jc w:val="left"/>
            </w:pPr>
            <w:r>
              <w:rPr>
                <w:b/>
              </w:rPr>
              <w:t>Category</w:t>
            </w:r>
            <w:r>
              <w:t xml:space="preserve"> </w:t>
            </w:r>
          </w:p>
        </w:tc>
        <w:tc>
          <w:tcPr>
            <w:tcW w:w="3602" w:type="dxa"/>
            <w:tcBorders>
              <w:top w:val="single" w:sz="4" w:space="0" w:color="000000"/>
              <w:left w:val="single" w:sz="4" w:space="0" w:color="000000"/>
              <w:bottom w:val="single" w:sz="4" w:space="0" w:color="000000"/>
              <w:right w:val="single" w:sz="4" w:space="0" w:color="000000"/>
            </w:tcBorders>
            <w:vAlign w:val="bottom"/>
          </w:tcPr>
          <w:p w14:paraId="591A1F75" w14:textId="77777777" w:rsidR="00803B2F" w:rsidRDefault="00A02157">
            <w:pPr>
              <w:spacing w:after="0" w:line="259" w:lineRule="auto"/>
              <w:ind w:left="1" w:firstLine="0"/>
              <w:jc w:val="left"/>
            </w:pPr>
            <w:r>
              <w:rPr>
                <w:b/>
              </w:rPr>
              <w:t>Stakeholder</w:t>
            </w:r>
            <w:r>
              <w:t xml:space="preserve"> </w:t>
            </w:r>
          </w:p>
        </w:tc>
        <w:tc>
          <w:tcPr>
            <w:tcW w:w="4002" w:type="dxa"/>
            <w:tcBorders>
              <w:top w:val="single" w:sz="4" w:space="0" w:color="000000"/>
              <w:left w:val="single" w:sz="4" w:space="0" w:color="000000"/>
              <w:bottom w:val="single" w:sz="4" w:space="0" w:color="000000"/>
              <w:right w:val="single" w:sz="4" w:space="0" w:color="000000"/>
            </w:tcBorders>
            <w:vAlign w:val="bottom"/>
          </w:tcPr>
          <w:p w14:paraId="5A35B527" w14:textId="77777777" w:rsidR="00803B2F" w:rsidRDefault="00A02157">
            <w:pPr>
              <w:spacing w:after="0" w:line="259" w:lineRule="auto"/>
              <w:ind w:left="0" w:firstLine="0"/>
              <w:jc w:val="left"/>
            </w:pPr>
            <w:r>
              <w:rPr>
                <w:b/>
              </w:rPr>
              <w:t>Primary Interest in the Project</w:t>
            </w:r>
            <w:r>
              <w:t xml:space="preserve"> </w:t>
            </w:r>
          </w:p>
        </w:tc>
      </w:tr>
      <w:tr w:rsidR="00803B2F" w14:paraId="2C8BCCBC" w14:textId="77777777">
        <w:trPr>
          <w:trHeight w:val="1075"/>
        </w:trPr>
        <w:tc>
          <w:tcPr>
            <w:tcW w:w="1401" w:type="dxa"/>
            <w:tcBorders>
              <w:top w:val="single" w:sz="4" w:space="0" w:color="000000"/>
              <w:left w:val="single" w:sz="4" w:space="0" w:color="000000"/>
              <w:bottom w:val="single" w:sz="4" w:space="0" w:color="000000"/>
              <w:right w:val="single" w:sz="4" w:space="0" w:color="000000"/>
            </w:tcBorders>
          </w:tcPr>
          <w:p w14:paraId="3DB69DE6" w14:textId="77777777" w:rsidR="00803B2F" w:rsidRDefault="00A02157">
            <w:pPr>
              <w:spacing w:after="0" w:line="259" w:lineRule="auto"/>
              <w:ind w:left="0" w:firstLine="0"/>
              <w:jc w:val="left"/>
            </w:pPr>
            <w:r>
              <w:rPr>
                <w:b/>
              </w:rPr>
              <w:t xml:space="preserve">Internal </w:t>
            </w:r>
          </w:p>
        </w:tc>
        <w:tc>
          <w:tcPr>
            <w:tcW w:w="3602" w:type="dxa"/>
            <w:tcBorders>
              <w:top w:val="single" w:sz="4" w:space="0" w:color="000000"/>
              <w:left w:val="single" w:sz="4" w:space="0" w:color="000000"/>
              <w:bottom w:val="single" w:sz="4" w:space="0" w:color="000000"/>
              <w:right w:val="single" w:sz="4" w:space="0" w:color="000000"/>
            </w:tcBorders>
            <w:vAlign w:val="bottom"/>
          </w:tcPr>
          <w:p w14:paraId="21D4511B" w14:textId="77777777" w:rsidR="00803B2F" w:rsidRDefault="00A02157">
            <w:pPr>
              <w:spacing w:after="0" w:line="259" w:lineRule="auto"/>
              <w:ind w:left="1" w:firstLine="0"/>
              <w:jc w:val="left"/>
            </w:pPr>
            <w:r>
              <w:t xml:space="preserve">Executive </w:t>
            </w:r>
            <w:r>
              <w:tab/>
              <w:t xml:space="preserve">sponsor </w:t>
            </w:r>
            <w:r>
              <w:tab/>
              <w:t xml:space="preserve">and </w:t>
            </w:r>
            <w:r>
              <w:tab/>
              <w:t xml:space="preserve">senior leadership </w:t>
            </w:r>
          </w:p>
        </w:tc>
        <w:tc>
          <w:tcPr>
            <w:tcW w:w="4002" w:type="dxa"/>
            <w:tcBorders>
              <w:top w:val="single" w:sz="4" w:space="0" w:color="000000"/>
              <w:left w:val="single" w:sz="4" w:space="0" w:color="000000"/>
              <w:bottom w:val="single" w:sz="4" w:space="0" w:color="000000"/>
              <w:right w:val="single" w:sz="4" w:space="0" w:color="000000"/>
            </w:tcBorders>
            <w:vAlign w:val="bottom"/>
          </w:tcPr>
          <w:p w14:paraId="69383666" w14:textId="77777777" w:rsidR="00803B2F" w:rsidRDefault="00A02157">
            <w:pPr>
              <w:spacing w:after="0" w:line="259" w:lineRule="auto"/>
              <w:ind w:left="0" w:firstLine="0"/>
            </w:pPr>
            <w:r>
              <w:t xml:space="preserve">Strategic alignment, return on investment and brand differentiation. </w:t>
            </w:r>
          </w:p>
        </w:tc>
      </w:tr>
      <w:tr w:rsidR="00803B2F" w14:paraId="576DD8F4" w14:textId="77777777">
        <w:trPr>
          <w:trHeight w:val="1081"/>
        </w:trPr>
        <w:tc>
          <w:tcPr>
            <w:tcW w:w="1401" w:type="dxa"/>
            <w:tcBorders>
              <w:top w:val="single" w:sz="4" w:space="0" w:color="000000"/>
              <w:left w:val="single" w:sz="4" w:space="0" w:color="000000"/>
              <w:bottom w:val="single" w:sz="4" w:space="0" w:color="000000"/>
              <w:right w:val="single" w:sz="4" w:space="0" w:color="000000"/>
            </w:tcBorders>
          </w:tcPr>
          <w:p w14:paraId="0A3A0E6F" w14:textId="77777777" w:rsidR="00803B2F" w:rsidRDefault="00A02157">
            <w:pPr>
              <w:spacing w:after="0" w:line="259" w:lineRule="auto"/>
              <w:ind w:left="0" w:firstLine="0"/>
              <w:jc w:val="left"/>
            </w:pPr>
            <w:r>
              <w:rPr>
                <w:b/>
              </w:rPr>
              <w:t xml:space="preserve">Internal </w:t>
            </w:r>
          </w:p>
        </w:tc>
        <w:tc>
          <w:tcPr>
            <w:tcW w:w="3602" w:type="dxa"/>
            <w:tcBorders>
              <w:top w:val="single" w:sz="4" w:space="0" w:color="000000"/>
              <w:left w:val="single" w:sz="4" w:space="0" w:color="000000"/>
              <w:bottom w:val="single" w:sz="4" w:space="0" w:color="000000"/>
              <w:right w:val="single" w:sz="4" w:space="0" w:color="000000"/>
            </w:tcBorders>
            <w:vAlign w:val="bottom"/>
          </w:tcPr>
          <w:p w14:paraId="70486C66" w14:textId="77777777" w:rsidR="00803B2F" w:rsidRDefault="00A02157">
            <w:pPr>
              <w:spacing w:after="0" w:line="259" w:lineRule="auto"/>
              <w:ind w:left="1" w:firstLine="0"/>
            </w:pPr>
            <w:r>
              <w:t xml:space="preserve">Project Manager and project management office </w:t>
            </w:r>
          </w:p>
        </w:tc>
        <w:tc>
          <w:tcPr>
            <w:tcW w:w="4002" w:type="dxa"/>
            <w:tcBorders>
              <w:top w:val="single" w:sz="4" w:space="0" w:color="000000"/>
              <w:left w:val="single" w:sz="4" w:space="0" w:color="000000"/>
              <w:bottom w:val="single" w:sz="4" w:space="0" w:color="000000"/>
              <w:right w:val="single" w:sz="4" w:space="0" w:color="000000"/>
            </w:tcBorders>
            <w:vAlign w:val="bottom"/>
          </w:tcPr>
          <w:p w14:paraId="2573681D" w14:textId="77777777" w:rsidR="00803B2F" w:rsidRDefault="00A02157">
            <w:pPr>
              <w:spacing w:after="0" w:line="259" w:lineRule="auto"/>
              <w:ind w:left="0" w:firstLine="0"/>
              <w:jc w:val="left"/>
            </w:pPr>
            <w:r>
              <w:t xml:space="preserve">Delivery to time, budget, quality and scope. </w:t>
            </w:r>
          </w:p>
        </w:tc>
      </w:tr>
      <w:tr w:rsidR="00803B2F" w14:paraId="30A32081" w14:textId="77777777">
        <w:trPr>
          <w:trHeight w:val="1076"/>
        </w:trPr>
        <w:tc>
          <w:tcPr>
            <w:tcW w:w="1401" w:type="dxa"/>
            <w:tcBorders>
              <w:top w:val="single" w:sz="4" w:space="0" w:color="000000"/>
              <w:left w:val="single" w:sz="4" w:space="0" w:color="000000"/>
              <w:bottom w:val="single" w:sz="4" w:space="0" w:color="000000"/>
              <w:right w:val="single" w:sz="4" w:space="0" w:color="000000"/>
            </w:tcBorders>
          </w:tcPr>
          <w:p w14:paraId="2C29003A" w14:textId="77777777" w:rsidR="00803B2F" w:rsidRDefault="00A02157">
            <w:pPr>
              <w:spacing w:after="0" w:line="259" w:lineRule="auto"/>
              <w:ind w:left="0" w:firstLine="0"/>
              <w:jc w:val="left"/>
            </w:pPr>
            <w:r>
              <w:rPr>
                <w:b/>
              </w:rPr>
              <w:t xml:space="preserve">Internal </w:t>
            </w:r>
          </w:p>
        </w:tc>
        <w:tc>
          <w:tcPr>
            <w:tcW w:w="3602" w:type="dxa"/>
            <w:tcBorders>
              <w:top w:val="single" w:sz="4" w:space="0" w:color="000000"/>
              <w:left w:val="single" w:sz="4" w:space="0" w:color="000000"/>
              <w:bottom w:val="single" w:sz="4" w:space="0" w:color="000000"/>
              <w:right w:val="single" w:sz="4" w:space="0" w:color="000000"/>
            </w:tcBorders>
            <w:vAlign w:val="bottom"/>
          </w:tcPr>
          <w:p w14:paraId="3BFA8703" w14:textId="77777777" w:rsidR="00803B2F" w:rsidRDefault="00A02157">
            <w:pPr>
              <w:spacing w:after="0" w:line="259" w:lineRule="auto"/>
              <w:ind w:left="1" w:firstLine="0"/>
            </w:pPr>
            <w:r>
              <w:t xml:space="preserve">Information technology and digital innovation team </w:t>
            </w:r>
          </w:p>
        </w:tc>
        <w:tc>
          <w:tcPr>
            <w:tcW w:w="4002" w:type="dxa"/>
            <w:tcBorders>
              <w:top w:val="single" w:sz="4" w:space="0" w:color="000000"/>
              <w:left w:val="single" w:sz="4" w:space="0" w:color="000000"/>
              <w:bottom w:val="single" w:sz="4" w:space="0" w:color="000000"/>
              <w:right w:val="single" w:sz="4" w:space="0" w:color="000000"/>
            </w:tcBorders>
            <w:vAlign w:val="bottom"/>
          </w:tcPr>
          <w:p w14:paraId="151A650B" w14:textId="77777777" w:rsidR="00803B2F" w:rsidRDefault="00A02157">
            <w:pPr>
              <w:spacing w:after="0" w:line="259" w:lineRule="auto"/>
              <w:ind w:left="0" w:firstLine="0"/>
            </w:pPr>
            <w:r>
              <w:t xml:space="preserve">Reliable, secure integration of artificial intelligence tools with existing systems. </w:t>
            </w:r>
          </w:p>
        </w:tc>
      </w:tr>
      <w:tr w:rsidR="00803B2F" w14:paraId="6F00C0D6" w14:textId="77777777">
        <w:trPr>
          <w:trHeight w:val="1490"/>
        </w:trPr>
        <w:tc>
          <w:tcPr>
            <w:tcW w:w="1401" w:type="dxa"/>
            <w:tcBorders>
              <w:top w:val="single" w:sz="4" w:space="0" w:color="000000"/>
              <w:left w:val="single" w:sz="4" w:space="0" w:color="000000"/>
              <w:bottom w:val="single" w:sz="4" w:space="0" w:color="000000"/>
              <w:right w:val="single" w:sz="4" w:space="0" w:color="000000"/>
            </w:tcBorders>
          </w:tcPr>
          <w:p w14:paraId="7D22AF9B" w14:textId="77777777" w:rsidR="00803B2F" w:rsidRDefault="00A02157">
            <w:pPr>
              <w:spacing w:after="0" w:line="259" w:lineRule="auto"/>
              <w:ind w:left="0" w:firstLine="0"/>
              <w:jc w:val="left"/>
            </w:pPr>
            <w:r>
              <w:rPr>
                <w:b/>
              </w:rPr>
              <w:t xml:space="preserve">Internal </w:t>
            </w:r>
          </w:p>
        </w:tc>
        <w:tc>
          <w:tcPr>
            <w:tcW w:w="3602" w:type="dxa"/>
            <w:tcBorders>
              <w:top w:val="single" w:sz="4" w:space="0" w:color="000000"/>
              <w:left w:val="single" w:sz="4" w:space="0" w:color="000000"/>
              <w:bottom w:val="single" w:sz="4" w:space="0" w:color="000000"/>
              <w:right w:val="single" w:sz="4" w:space="0" w:color="000000"/>
            </w:tcBorders>
          </w:tcPr>
          <w:p w14:paraId="36B7B6BC" w14:textId="77777777" w:rsidR="00803B2F" w:rsidRDefault="00A02157">
            <w:pPr>
              <w:spacing w:after="0" w:line="259" w:lineRule="auto"/>
              <w:ind w:left="1" w:firstLine="0"/>
              <w:jc w:val="left"/>
            </w:pPr>
            <w:r>
              <w:t xml:space="preserve">Sales and marketing department </w:t>
            </w:r>
          </w:p>
        </w:tc>
        <w:tc>
          <w:tcPr>
            <w:tcW w:w="4002" w:type="dxa"/>
            <w:tcBorders>
              <w:top w:val="single" w:sz="4" w:space="0" w:color="000000"/>
              <w:left w:val="single" w:sz="4" w:space="0" w:color="000000"/>
              <w:bottom w:val="single" w:sz="4" w:space="0" w:color="000000"/>
              <w:right w:val="single" w:sz="4" w:space="0" w:color="000000"/>
            </w:tcBorders>
            <w:vAlign w:val="bottom"/>
          </w:tcPr>
          <w:p w14:paraId="40EA13A7" w14:textId="77777777" w:rsidR="00803B2F" w:rsidRDefault="00A02157">
            <w:pPr>
              <w:spacing w:after="0" w:line="259" w:lineRule="auto"/>
              <w:ind w:left="0" w:right="63" w:firstLine="0"/>
            </w:pPr>
            <w:r>
              <w:t xml:space="preserve">Effective positioning, guest communication and revenue generation. </w:t>
            </w:r>
          </w:p>
        </w:tc>
      </w:tr>
      <w:tr w:rsidR="00803B2F" w14:paraId="11D807E2" w14:textId="77777777">
        <w:trPr>
          <w:trHeight w:val="1080"/>
        </w:trPr>
        <w:tc>
          <w:tcPr>
            <w:tcW w:w="1401" w:type="dxa"/>
            <w:tcBorders>
              <w:top w:val="single" w:sz="4" w:space="0" w:color="000000"/>
              <w:left w:val="single" w:sz="4" w:space="0" w:color="000000"/>
              <w:bottom w:val="single" w:sz="4" w:space="0" w:color="000000"/>
              <w:right w:val="single" w:sz="4" w:space="0" w:color="000000"/>
            </w:tcBorders>
          </w:tcPr>
          <w:p w14:paraId="0AF2C369" w14:textId="77777777" w:rsidR="00803B2F" w:rsidRDefault="00A02157">
            <w:pPr>
              <w:spacing w:after="0" w:line="259" w:lineRule="auto"/>
              <w:ind w:left="0" w:firstLine="0"/>
              <w:jc w:val="left"/>
            </w:pPr>
            <w:r>
              <w:rPr>
                <w:b/>
              </w:rPr>
              <w:t xml:space="preserve">Internal </w:t>
            </w:r>
          </w:p>
        </w:tc>
        <w:tc>
          <w:tcPr>
            <w:tcW w:w="3602" w:type="dxa"/>
            <w:tcBorders>
              <w:top w:val="single" w:sz="4" w:space="0" w:color="000000"/>
              <w:left w:val="single" w:sz="4" w:space="0" w:color="000000"/>
              <w:bottom w:val="single" w:sz="4" w:space="0" w:color="000000"/>
              <w:right w:val="single" w:sz="4" w:space="0" w:color="000000"/>
            </w:tcBorders>
            <w:vAlign w:val="bottom"/>
          </w:tcPr>
          <w:p w14:paraId="1E3F5BC1" w14:textId="77777777" w:rsidR="00803B2F" w:rsidRDefault="00A02157">
            <w:pPr>
              <w:spacing w:after="0" w:line="259" w:lineRule="auto"/>
              <w:ind w:left="1" w:firstLine="0"/>
              <w:jc w:val="left"/>
            </w:pPr>
            <w:r>
              <w:t xml:space="preserve">Human resources and learning and development </w:t>
            </w:r>
          </w:p>
        </w:tc>
        <w:tc>
          <w:tcPr>
            <w:tcW w:w="4002" w:type="dxa"/>
            <w:tcBorders>
              <w:top w:val="single" w:sz="4" w:space="0" w:color="000000"/>
              <w:left w:val="single" w:sz="4" w:space="0" w:color="000000"/>
              <w:bottom w:val="single" w:sz="4" w:space="0" w:color="000000"/>
              <w:right w:val="single" w:sz="4" w:space="0" w:color="000000"/>
            </w:tcBorders>
            <w:vAlign w:val="bottom"/>
          </w:tcPr>
          <w:p w14:paraId="7FAFAEF6" w14:textId="77777777" w:rsidR="00803B2F" w:rsidRDefault="00A02157">
            <w:pPr>
              <w:spacing w:after="0" w:line="259" w:lineRule="auto"/>
              <w:ind w:left="0" w:firstLine="0"/>
            </w:pPr>
            <w:r>
              <w:t xml:space="preserve">Workforce readiness, training and change management. </w:t>
            </w:r>
          </w:p>
        </w:tc>
      </w:tr>
      <w:tr w:rsidR="00803B2F" w14:paraId="06251989" w14:textId="77777777">
        <w:trPr>
          <w:trHeight w:val="1081"/>
        </w:trPr>
        <w:tc>
          <w:tcPr>
            <w:tcW w:w="1401" w:type="dxa"/>
            <w:tcBorders>
              <w:top w:val="single" w:sz="4" w:space="0" w:color="000000"/>
              <w:left w:val="single" w:sz="4" w:space="0" w:color="000000"/>
              <w:bottom w:val="single" w:sz="4" w:space="0" w:color="000000"/>
              <w:right w:val="single" w:sz="4" w:space="0" w:color="000000"/>
            </w:tcBorders>
          </w:tcPr>
          <w:p w14:paraId="27B32DF6" w14:textId="77777777" w:rsidR="00803B2F" w:rsidRDefault="00A02157">
            <w:pPr>
              <w:spacing w:after="0" w:line="259" w:lineRule="auto"/>
              <w:ind w:left="0" w:firstLine="0"/>
              <w:jc w:val="left"/>
            </w:pPr>
            <w:r>
              <w:rPr>
                <w:b/>
              </w:rPr>
              <w:t xml:space="preserve">Internal </w:t>
            </w:r>
          </w:p>
        </w:tc>
        <w:tc>
          <w:tcPr>
            <w:tcW w:w="3602" w:type="dxa"/>
            <w:tcBorders>
              <w:top w:val="single" w:sz="4" w:space="0" w:color="000000"/>
              <w:left w:val="single" w:sz="4" w:space="0" w:color="000000"/>
              <w:bottom w:val="single" w:sz="4" w:space="0" w:color="000000"/>
              <w:right w:val="single" w:sz="4" w:space="0" w:color="000000"/>
            </w:tcBorders>
          </w:tcPr>
          <w:p w14:paraId="1FF70D70" w14:textId="77777777" w:rsidR="00803B2F" w:rsidRDefault="00A02157">
            <w:pPr>
              <w:spacing w:after="0" w:line="259" w:lineRule="auto"/>
              <w:ind w:left="1" w:firstLine="0"/>
              <w:jc w:val="left"/>
            </w:pPr>
            <w:r>
              <w:t xml:space="preserve">Hotel general managers and staff </w:t>
            </w:r>
          </w:p>
        </w:tc>
        <w:tc>
          <w:tcPr>
            <w:tcW w:w="4002" w:type="dxa"/>
            <w:tcBorders>
              <w:top w:val="single" w:sz="4" w:space="0" w:color="000000"/>
              <w:left w:val="single" w:sz="4" w:space="0" w:color="000000"/>
              <w:bottom w:val="single" w:sz="4" w:space="0" w:color="000000"/>
              <w:right w:val="single" w:sz="4" w:space="0" w:color="000000"/>
            </w:tcBorders>
            <w:vAlign w:val="bottom"/>
          </w:tcPr>
          <w:p w14:paraId="63CB37B5" w14:textId="77777777" w:rsidR="00803B2F" w:rsidRDefault="00A02157">
            <w:pPr>
              <w:spacing w:after="0" w:line="259" w:lineRule="auto"/>
              <w:ind w:left="0" w:firstLine="0"/>
            </w:pPr>
            <w:r>
              <w:t xml:space="preserve">Operational feasibility and day to day service delivery. </w:t>
            </w:r>
          </w:p>
        </w:tc>
      </w:tr>
      <w:tr w:rsidR="00803B2F" w14:paraId="65A7E7B4" w14:textId="77777777">
        <w:trPr>
          <w:trHeight w:val="1490"/>
        </w:trPr>
        <w:tc>
          <w:tcPr>
            <w:tcW w:w="1401" w:type="dxa"/>
            <w:tcBorders>
              <w:top w:val="single" w:sz="4" w:space="0" w:color="000000"/>
              <w:left w:val="single" w:sz="4" w:space="0" w:color="000000"/>
              <w:bottom w:val="single" w:sz="4" w:space="0" w:color="000000"/>
              <w:right w:val="single" w:sz="4" w:space="0" w:color="000000"/>
            </w:tcBorders>
          </w:tcPr>
          <w:p w14:paraId="58515D22" w14:textId="77777777" w:rsidR="00803B2F" w:rsidRDefault="00A02157">
            <w:pPr>
              <w:spacing w:after="0" w:line="259" w:lineRule="auto"/>
              <w:ind w:left="0" w:firstLine="0"/>
              <w:jc w:val="left"/>
            </w:pPr>
            <w:r>
              <w:rPr>
                <w:b/>
              </w:rPr>
              <w:t xml:space="preserve">External </w:t>
            </w:r>
          </w:p>
        </w:tc>
        <w:tc>
          <w:tcPr>
            <w:tcW w:w="3602" w:type="dxa"/>
            <w:tcBorders>
              <w:top w:val="single" w:sz="4" w:space="0" w:color="000000"/>
              <w:left w:val="single" w:sz="4" w:space="0" w:color="000000"/>
              <w:bottom w:val="single" w:sz="4" w:space="0" w:color="000000"/>
              <w:right w:val="single" w:sz="4" w:space="0" w:color="000000"/>
            </w:tcBorders>
          </w:tcPr>
          <w:p w14:paraId="446EBC51" w14:textId="77777777" w:rsidR="00803B2F" w:rsidRDefault="00A02157">
            <w:pPr>
              <w:spacing w:after="0" w:line="259" w:lineRule="auto"/>
              <w:ind w:left="1" w:firstLine="0"/>
              <w:jc w:val="left"/>
            </w:pPr>
            <w:r>
              <w:t xml:space="preserve">Franchise </w:t>
            </w:r>
            <w:r>
              <w:tab/>
              <w:t xml:space="preserve">partners </w:t>
            </w:r>
            <w:r>
              <w:tab/>
              <w:t xml:space="preserve">and </w:t>
            </w:r>
            <w:r>
              <w:tab/>
              <w:t xml:space="preserve">hotel owners </w:t>
            </w:r>
          </w:p>
        </w:tc>
        <w:tc>
          <w:tcPr>
            <w:tcW w:w="4002" w:type="dxa"/>
            <w:tcBorders>
              <w:top w:val="single" w:sz="4" w:space="0" w:color="000000"/>
              <w:left w:val="single" w:sz="4" w:space="0" w:color="000000"/>
              <w:bottom w:val="single" w:sz="4" w:space="0" w:color="000000"/>
              <w:right w:val="single" w:sz="4" w:space="0" w:color="000000"/>
            </w:tcBorders>
            <w:vAlign w:val="bottom"/>
          </w:tcPr>
          <w:p w14:paraId="673B3688" w14:textId="77777777" w:rsidR="00803B2F" w:rsidRDefault="00A02157">
            <w:pPr>
              <w:spacing w:after="0" w:line="259" w:lineRule="auto"/>
              <w:ind w:left="0" w:right="66" w:firstLine="0"/>
            </w:pPr>
            <w:r>
              <w:t xml:space="preserve">Return on local investment and minimal disruption to existing operations. </w:t>
            </w:r>
          </w:p>
        </w:tc>
      </w:tr>
      <w:tr w:rsidR="00803B2F" w14:paraId="55676259" w14:textId="77777777">
        <w:trPr>
          <w:trHeight w:val="1080"/>
        </w:trPr>
        <w:tc>
          <w:tcPr>
            <w:tcW w:w="1401" w:type="dxa"/>
            <w:tcBorders>
              <w:top w:val="single" w:sz="4" w:space="0" w:color="000000"/>
              <w:left w:val="single" w:sz="4" w:space="0" w:color="000000"/>
              <w:bottom w:val="single" w:sz="4" w:space="0" w:color="000000"/>
              <w:right w:val="single" w:sz="4" w:space="0" w:color="000000"/>
            </w:tcBorders>
          </w:tcPr>
          <w:p w14:paraId="7570DE99" w14:textId="77777777" w:rsidR="00803B2F" w:rsidRDefault="00A02157">
            <w:pPr>
              <w:spacing w:after="0" w:line="259" w:lineRule="auto"/>
              <w:ind w:left="0" w:firstLine="0"/>
              <w:jc w:val="left"/>
            </w:pPr>
            <w:r>
              <w:rPr>
                <w:b/>
              </w:rPr>
              <w:t xml:space="preserve">External </w:t>
            </w:r>
          </w:p>
        </w:tc>
        <w:tc>
          <w:tcPr>
            <w:tcW w:w="3602" w:type="dxa"/>
            <w:tcBorders>
              <w:top w:val="single" w:sz="4" w:space="0" w:color="000000"/>
              <w:left w:val="single" w:sz="4" w:space="0" w:color="000000"/>
              <w:bottom w:val="single" w:sz="4" w:space="0" w:color="000000"/>
              <w:right w:val="single" w:sz="4" w:space="0" w:color="000000"/>
            </w:tcBorders>
            <w:vAlign w:val="bottom"/>
          </w:tcPr>
          <w:p w14:paraId="0618773E" w14:textId="77777777" w:rsidR="00803B2F" w:rsidRDefault="00A02157">
            <w:pPr>
              <w:spacing w:after="0" w:line="259" w:lineRule="auto"/>
              <w:ind w:left="1" w:firstLine="0"/>
              <w:jc w:val="left"/>
            </w:pPr>
            <w:r>
              <w:t xml:space="preserve">Guests and loyalty programme members </w:t>
            </w:r>
          </w:p>
        </w:tc>
        <w:tc>
          <w:tcPr>
            <w:tcW w:w="4002" w:type="dxa"/>
            <w:tcBorders>
              <w:top w:val="single" w:sz="4" w:space="0" w:color="000000"/>
              <w:left w:val="single" w:sz="4" w:space="0" w:color="000000"/>
              <w:bottom w:val="single" w:sz="4" w:space="0" w:color="000000"/>
              <w:right w:val="single" w:sz="4" w:space="0" w:color="000000"/>
            </w:tcBorders>
            <w:vAlign w:val="bottom"/>
          </w:tcPr>
          <w:p w14:paraId="73A328F6" w14:textId="77777777" w:rsidR="00803B2F" w:rsidRDefault="00A02157">
            <w:pPr>
              <w:spacing w:after="0" w:line="259" w:lineRule="auto"/>
              <w:ind w:left="0" w:firstLine="0"/>
            </w:pPr>
            <w:r>
              <w:t xml:space="preserve">Improved, personalised and trustworthy guest experience. </w:t>
            </w:r>
          </w:p>
        </w:tc>
      </w:tr>
      <w:tr w:rsidR="00803B2F" w14:paraId="01D7CC08" w14:textId="77777777">
        <w:trPr>
          <w:trHeight w:val="1075"/>
        </w:trPr>
        <w:tc>
          <w:tcPr>
            <w:tcW w:w="1401" w:type="dxa"/>
            <w:tcBorders>
              <w:top w:val="single" w:sz="4" w:space="0" w:color="000000"/>
              <w:left w:val="single" w:sz="4" w:space="0" w:color="000000"/>
              <w:bottom w:val="single" w:sz="4" w:space="0" w:color="000000"/>
              <w:right w:val="single" w:sz="4" w:space="0" w:color="000000"/>
            </w:tcBorders>
          </w:tcPr>
          <w:p w14:paraId="7A34C945" w14:textId="77777777" w:rsidR="00803B2F" w:rsidRDefault="00A02157">
            <w:pPr>
              <w:spacing w:after="0" w:line="259" w:lineRule="auto"/>
              <w:ind w:left="0" w:firstLine="0"/>
              <w:jc w:val="left"/>
            </w:pPr>
            <w:r>
              <w:rPr>
                <w:b/>
              </w:rPr>
              <w:t xml:space="preserve">External </w:t>
            </w:r>
          </w:p>
        </w:tc>
        <w:tc>
          <w:tcPr>
            <w:tcW w:w="3602" w:type="dxa"/>
            <w:tcBorders>
              <w:top w:val="single" w:sz="4" w:space="0" w:color="000000"/>
              <w:left w:val="single" w:sz="4" w:space="0" w:color="000000"/>
              <w:bottom w:val="single" w:sz="4" w:space="0" w:color="000000"/>
              <w:right w:val="single" w:sz="4" w:space="0" w:color="000000"/>
            </w:tcBorders>
            <w:vAlign w:val="bottom"/>
          </w:tcPr>
          <w:p w14:paraId="561A4D35" w14:textId="77777777" w:rsidR="00803B2F" w:rsidRDefault="00A02157">
            <w:pPr>
              <w:spacing w:after="0" w:line="259" w:lineRule="auto"/>
              <w:ind w:left="1" w:firstLine="0"/>
            </w:pPr>
            <w:r>
              <w:t xml:space="preserve">Technology suppliers and artificial intelligence vendors </w:t>
            </w:r>
          </w:p>
        </w:tc>
        <w:tc>
          <w:tcPr>
            <w:tcW w:w="4002" w:type="dxa"/>
            <w:tcBorders>
              <w:top w:val="single" w:sz="4" w:space="0" w:color="000000"/>
              <w:left w:val="single" w:sz="4" w:space="0" w:color="000000"/>
              <w:bottom w:val="single" w:sz="4" w:space="0" w:color="000000"/>
              <w:right w:val="single" w:sz="4" w:space="0" w:color="000000"/>
            </w:tcBorders>
            <w:vAlign w:val="bottom"/>
          </w:tcPr>
          <w:p w14:paraId="4A10CEBC" w14:textId="77777777" w:rsidR="00803B2F" w:rsidRDefault="00A02157">
            <w:pPr>
              <w:spacing w:after="0" w:line="259" w:lineRule="auto"/>
              <w:ind w:left="0" w:firstLine="0"/>
            </w:pPr>
            <w:r>
              <w:t xml:space="preserve">Long term commercial partnership and successful technical delivery. </w:t>
            </w:r>
          </w:p>
        </w:tc>
      </w:tr>
      <w:tr w:rsidR="00803B2F" w14:paraId="4B5EB43C" w14:textId="77777777">
        <w:trPr>
          <w:trHeight w:val="1081"/>
        </w:trPr>
        <w:tc>
          <w:tcPr>
            <w:tcW w:w="1401" w:type="dxa"/>
            <w:tcBorders>
              <w:top w:val="single" w:sz="4" w:space="0" w:color="000000"/>
              <w:left w:val="single" w:sz="4" w:space="0" w:color="000000"/>
              <w:bottom w:val="single" w:sz="4" w:space="0" w:color="000000"/>
              <w:right w:val="single" w:sz="4" w:space="0" w:color="000000"/>
            </w:tcBorders>
          </w:tcPr>
          <w:p w14:paraId="4EBAF831" w14:textId="77777777" w:rsidR="00803B2F" w:rsidRDefault="00A02157">
            <w:pPr>
              <w:spacing w:after="0" w:line="259" w:lineRule="auto"/>
              <w:ind w:left="0" w:firstLine="0"/>
              <w:jc w:val="left"/>
            </w:pPr>
            <w:r>
              <w:rPr>
                <w:b/>
              </w:rPr>
              <w:t xml:space="preserve">External </w:t>
            </w:r>
          </w:p>
        </w:tc>
        <w:tc>
          <w:tcPr>
            <w:tcW w:w="3602" w:type="dxa"/>
            <w:tcBorders>
              <w:top w:val="single" w:sz="4" w:space="0" w:color="000000"/>
              <w:left w:val="single" w:sz="4" w:space="0" w:color="000000"/>
              <w:bottom w:val="single" w:sz="4" w:space="0" w:color="000000"/>
              <w:right w:val="single" w:sz="4" w:space="0" w:color="000000"/>
            </w:tcBorders>
            <w:vAlign w:val="bottom"/>
          </w:tcPr>
          <w:p w14:paraId="75D04CDC" w14:textId="77777777" w:rsidR="00803B2F" w:rsidRDefault="00A02157">
            <w:pPr>
              <w:spacing w:after="0" w:line="259" w:lineRule="auto"/>
              <w:ind w:left="1" w:firstLine="0"/>
              <w:jc w:val="left"/>
            </w:pPr>
            <w:r>
              <w:t xml:space="preserve">Regulatory and data protection authorities </w:t>
            </w:r>
          </w:p>
        </w:tc>
        <w:tc>
          <w:tcPr>
            <w:tcW w:w="4002" w:type="dxa"/>
            <w:tcBorders>
              <w:top w:val="single" w:sz="4" w:space="0" w:color="000000"/>
              <w:left w:val="single" w:sz="4" w:space="0" w:color="000000"/>
              <w:bottom w:val="single" w:sz="4" w:space="0" w:color="000000"/>
              <w:right w:val="single" w:sz="4" w:space="0" w:color="000000"/>
            </w:tcBorders>
            <w:vAlign w:val="bottom"/>
          </w:tcPr>
          <w:p w14:paraId="53219BB1" w14:textId="77777777" w:rsidR="00803B2F" w:rsidRDefault="00A02157">
            <w:pPr>
              <w:spacing w:after="0" w:line="259" w:lineRule="auto"/>
              <w:ind w:left="0" w:firstLine="0"/>
            </w:pPr>
            <w:r>
              <w:t xml:space="preserve">Compliance with data protection and consumer protection law. </w:t>
            </w:r>
          </w:p>
        </w:tc>
      </w:tr>
      <w:tr w:rsidR="00803B2F" w14:paraId="16444EF9" w14:textId="77777777">
        <w:trPr>
          <w:trHeight w:val="1075"/>
        </w:trPr>
        <w:tc>
          <w:tcPr>
            <w:tcW w:w="1401" w:type="dxa"/>
            <w:tcBorders>
              <w:top w:val="single" w:sz="4" w:space="0" w:color="000000"/>
              <w:left w:val="single" w:sz="4" w:space="0" w:color="000000"/>
              <w:bottom w:val="single" w:sz="4" w:space="0" w:color="000000"/>
              <w:right w:val="single" w:sz="4" w:space="0" w:color="000000"/>
            </w:tcBorders>
          </w:tcPr>
          <w:p w14:paraId="0B3540F6" w14:textId="77777777" w:rsidR="00803B2F" w:rsidRDefault="00A02157">
            <w:pPr>
              <w:spacing w:after="0" w:line="259" w:lineRule="auto"/>
              <w:ind w:left="0" w:firstLine="0"/>
              <w:jc w:val="left"/>
            </w:pPr>
            <w:r>
              <w:rPr>
                <w:b/>
              </w:rPr>
              <w:t xml:space="preserve">External </w:t>
            </w:r>
          </w:p>
        </w:tc>
        <w:tc>
          <w:tcPr>
            <w:tcW w:w="3602" w:type="dxa"/>
            <w:tcBorders>
              <w:top w:val="single" w:sz="4" w:space="0" w:color="000000"/>
              <w:left w:val="single" w:sz="4" w:space="0" w:color="000000"/>
              <w:bottom w:val="single" w:sz="4" w:space="0" w:color="000000"/>
              <w:right w:val="single" w:sz="4" w:space="0" w:color="000000"/>
            </w:tcBorders>
            <w:vAlign w:val="bottom"/>
          </w:tcPr>
          <w:p w14:paraId="1509C4B5" w14:textId="77777777" w:rsidR="00803B2F" w:rsidRDefault="00A02157">
            <w:pPr>
              <w:tabs>
                <w:tab w:val="center" w:pos="1790"/>
                <w:tab w:val="right" w:pos="3447"/>
              </w:tabs>
              <w:spacing w:after="116" w:line="259" w:lineRule="auto"/>
              <w:ind w:left="0" w:firstLine="0"/>
              <w:jc w:val="left"/>
            </w:pPr>
            <w:r>
              <w:t xml:space="preserve">Local </w:t>
            </w:r>
            <w:r>
              <w:tab/>
              <w:t xml:space="preserve">communities </w:t>
            </w:r>
            <w:r>
              <w:tab/>
              <w:t xml:space="preserve">and </w:t>
            </w:r>
          </w:p>
          <w:p w14:paraId="32CC1518" w14:textId="77777777" w:rsidR="00803B2F" w:rsidRDefault="00A02157">
            <w:pPr>
              <w:spacing w:after="0" w:line="259" w:lineRule="auto"/>
              <w:ind w:left="1" w:firstLine="0"/>
              <w:jc w:val="left"/>
            </w:pPr>
            <w:r>
              <w:t xml:space="preserve">sustainability partners </w:t>
            </w:r>
          </w:p>
        </w:tc>
        <w:tc>
          <w:tcPr>
            <w:tcW w:w="4002" w:type="dxa"/>
            <w:tcBorders>
              <w:top w:val="single" w:sz="4" w:space="0" w:color="000000"/>
              <w:left w:val="single" w:sz="4" w:space="0" w:color="000000"/>
              <w:bottom w:val="single" w:sz="4" w:space="0" w:color="000000"/>
              <w:right w:val="single" w:sz="4" w:space="0" w:color="000000"/>
            </w:tcBorders>
            <w:vAlign w:val="bottom"/>
          </w:tcPr>
          <w:p w14:paraId="5A51FC2E" w14:textId="77777777" w:rsidR="00803B2F" w:rsidRDefault="00A02157">
            <w:pPr>
              <w:spacing w:after="0" w:line="259" w:lineRule="auto"/>
              <w:ind w:left="0" w:firstLine="0"/>
            </w:pPr>
            <w:r>
              <w:t xml:space="preserve">Positive environmental and social impact of amenities. </w:t>
            </w:r>
          </w:p>
        </w:tc>
      </w:tr>
      <w:tr w:rsidR="00803B2F" w14:paraId="1F458996" w14:textId="77777777">
        <w:trPr>
          <w:trHeight w:val="1080"/>
        </w:trPr>
        <w:tc>
          <w:tcPr>
            <w:tcW w:w="1401" w:type="dxa"/>
            <w:tcBorders>
              <w:top w:val="single" w:sz="4" w:space="0" w:color="000000"/>
              <w:left w:val="single" w:sz="4" w:space="0" w:color="000000"/>
              <w:bottom w:val="single" w:sz="4" w:space="0" w:color="000000"/>
              <w:right w:val="single" w:sz="4" w:space="0" w:color="000000"/>
            </w:tcBorders>
          </w:tcPr>
          <w:p w14:paraId="55966D43" w14:textId="77777777" w:rsidR="00803B2F" w:rsidRDefault="00A02157">
            <w:pPr>
              <w:spacing w:after="0" w:line="259" w:lineRule="auto"/>
              <w:ind w:left="0" w:firstLine="0"/>
              <w:jc w:val="left"/>
            </w:pPr>
            <w:r>
              <w:rPr>
                <w:b/>
              </w:rPr>
              <w:t xml:space="preserve">External </w:t>
            </w:r>
          </w:p>
        </w:tc>
        <w:tc>
          <w:tcPr>
            <w:tcW w:w="3602" w:type="dxa"/>
            <w:tcBorders>
              <w:top w:val="single" w:sz="4" w:space="0" w:color="000000"/>
              <w:left w:val="single" w:sz="4" w:space="0" w:color="000000"/>
              <w:bottom w:val="single" w:sz="4" w:space="0" w:color="000000"/>
              <w:right w:val="single" w:sz="4" w:space="0" w:color="000000"/>
            </w:tcBorders>
          </w:tcPr>
          <w:p w14:paraId="06EA9622" w14:textId="77777777" w:rsidR="00803B2F" w:rsidRDefault="00A02157">
            <w:pPr>
              <w:spacing w:after="0" w:line="259" w:lineRule="auto"/>
              <w:ind w:left="1" w:firstLine="0"/>
              <w:jc w:val="left"/>
            </w:pPr>
            <w:r>
              <w:t xml:space="preserve">Shareholders and investors </w:t>
            </w:r>
          </w:p>
        </w:tc>
        <w:tc>
          <w:tcPr>
            <w:tcW w:w="4002" w:type="dxa"/>
            <w:tcBorders>
              <w:top w:val="single" w:sz="4" w:space="0" w:color="000000"/>
              <w:left w:val="single" w:sz="4" w:space="0" w:color="000000"/>
              <w:bottom w:val="single" w:sz="4" w:space="0" w:color="000000"/>
              <w:right w:val="single" w:sz="4" w:space="0" w:color="000000"/>
            </w:tcBorders>
            <w:vAlign w:val="bottom"/>
          </w:tcPr>
          <w:p w14:paraId="708E5451" w14:textId="77777777" w:rsidR="00803B2F" w:rsidRDefault="00A02157">
            <w:pPr>
              <w:spacing w:after="0" w:line="259" w:lineRule="auto"/>
              <w:ind w:left="0" w:firstLine="0"/>
              <w:jc w:val="left"/>
            </w:pPr>
            <w:r>
              <w:t xml:space="preserve">Financial performance and sustainable growth. </w:t>
            </w:r>
          </w:p>
        </w:tc>
      </w:tr>
    </w:tbl>
    <w:p w14:paraId="49BBF105" w14:textId="77777777" w:rsidR="00803B2F" w:rsidRDefault="00A02157">
      <w:pPr>
        <w:spacing w:after="349" w:line="265" w:lineRule="auto"/>
        <w:ind w:left="-5"/>
        <w:jc w:val="left"/>
      </w:pPr>
      <w:r>
        <w:rPr>
          <w:b/>
        </w:rPr>
        <w:t>4. Roles, Responsibilities, Benefits and Challenges of Key Stakeholders</w:t>
      </w:r>
      <w:r>
        <w:t xml:space="preserve"> </w:t>
      </w:r>
    </w:p>
    <w:p w14:paraId="4A1A2921" w14:textId="77777777" w:rsidR="00803B2F" w:rsidRDefault="00A02157">
      <w:pPr>
        <w:ind w:left="-5" w:right="4"/>
      </w:pPr>
      <w:r>
        <w:t xml:space="preserve">Each group of stakeholders offers specific advantages for StaySmart Plus but also pose specific threats. While the executive sponsor can grant authorization and dedicate funds to the initiative, an inability to get quick decisions at this level can impede timely approvals. The IT team can offer valuable technological experience; nevertheless, resource conflicts associated with this shared responsibility can lead to schedule incompatibilities with other corporate projects (Blak Bernat, Linhares Qualharini and Souto Castro, 2023).  </w:t>
      </w:r>
    </w:p>
    <w:p w14:paraId="68A8A86F" w14:textId="77777777" w:rsidR="00803B2F" w:rsidRDefault="00A02157">
      <w:pPr>
        <w:ind w:left="-5" w:right="4"/>
      </w:pPr>
      <w:r>
        <w:t xml:space="preserve">Franchise partners offer intimate understanding of their market areas and funds to support the initial costs but given that they are independent business entrepreneurs, they may reject any modifications which will rise the expense of operations; this trend reflects a larger, in general observation that non-sponsoring project members prioritize their personal commercial interests than the goals of the initiative when finances and influence are at stake.  </w:t>
      </w:r>
    </w:p>
    <w:p w14:paraId="2952952C" w14:textId="77777777" w:rsidR="00803B2F" w:rsidRDefault="00A02157">
      <w:pPr>
        <w:spacing w:after="0"/>
        <w:ind w:left="-5" w:right="4"/>
      </w:pPr>
      <w:r>
        <w:t xml:space="preserve">Customers are essential as a validation mechanism since adoption and input are crucial to the initiative’s success; yet, the presence of varying degrees of technical complexity and attitudes towards AI in different regions suggests a need to develop a tailor-made approach to engage consumers (Iyelolu et al., 2024). Technology vendors provide cutting edge solutions however; the dependence on outsourced vendors opens a gap to potential delays in delivery. The impact of regulating agencies on project launch is significant given their capacity to prolong the release dates; hence, understanding their position and expectations without substantial contact will be imperative. Employees are indispensable to the implementation success, considering the critical role they will play to clarify to guests the benefits of the new service and ultimately influence service quality (Vrontis et al., 2022). </w:t>
      </w:r>
    </w:p>
    <w:p w14:paraId="60319392" w14:textId="77777777" w:rsidR="00803B2F" w:rsidRDefault="00A02157">
      <w:pPr>
        <w:spacing w:after="43" w:line="259" w:lineRule="auto"/>
        <w:ind w:left="-5" w:right="4"/>
      </w:pPr>
      <w:r>
        <w:t xml:space="preserve">In order to manage the accountabilities for the above diverse range of roles a RACI matrix (Responsible, Accountable, Consulted and Informed) has been developed for the main activities. </w:t>
      </w:r>
    </w:p>
    <w:tbl>
      <w:tblPr>
        <w:tblStyle w:val="TableGrid"/>
        <w:tblW w:w="9004" w:type="dxa"/>
        <w:tblInd w:w="90" w:type="dxa"/>
        <w:tblCellMar>
          <w:top w:w="304" w:type="dxa"/>
          <w:left w:w="105" w:type="dxa"/>
          <w:right w:w="50" w:type="dxa"/>
        </w:tblCellMar>
        <w:tblLook w:val="04A0" w:firstRow="1" w:lastRow="0" w:firstColumn="1" w:lastColumn="0" w:noHBand="0" w:noVBand="1"/>
      </w:tblPr>
      <w:tblGrid>
        <w:gridCol w:w="1726"/>
        <w:gridCol w:w="1150"/>
        <w:gridCol w:w="1021"/>
        <w:gridCol w:w="1440"/>
        <w:gridCol w:w="1256"/>
        <w:gridCol w:w="1160"/>
        <w:gridCol w:w="1251"/>
      </w:tblGrid>
      <w:tr w:rsidR="00803B2F" w14:paraId="371E84DC" w14:textId="77777777">
        <w:trPr>
          <w:trHeight w:val="1736"/>
        </w:trPr>
        <w:tc>
          <w:tcPr>
            <w:tcW w:w="1726" w:type="dxa"/>
            <w:tcBorders>
              <w:top w:val="single" w:sz="4" w:space="0" w:color="000000"/>
              <w:left w:val="single" w:sz="4" w:space="0" w:color="000000"/>
              <w:bottom w:val="single" w:sz="4" w:space="0" w:color="000000"/>
              <w:right w:val="single" w:sz="4" w:space="0" w:color="000000"/>
            </w:tcBorders>
          </w:tcPr>
          <w:p w14:paraId="68F73907" w14:textId="77777777" w:rsidR="00803B2F" w:rsidRDefault="00A02157">
            <w:pPr>
              <w:spacing w:after="115" w:line="259" w:lineRule="auto"/>
              <w:ind w:left="5" w:firstLine="0"/>
              <w:jc w:val="left"/>
            </w:pPr>
            <w:r>
              <w:rPr>
                <w:b/>
              </w:rPr>
              <w:t xml:space="preserve">Project </w:t>
            </w:r>
          </w:p>
          <w:p w14:paraId="6F53BE72" w14:textId="77777777" w:rsidR="00803B2F" w:rsidRDefault="00A02157">
            <w:pPr>
              <w:spacing w:after="0" w:line="259" w:lineRule="auto"/>
              <w:ind w:left="5" w:firstLine="0"/>
              <w:jc w:val="left"/>
            </w:pPr>
            <w:r>
              <w:rPr>
                <w:b/>
              </w:rPr>
              <w:t xml:space="preserve">Activity </w:t>
            </w:r>
          </w:p>
        </w:tc>
        <w:tc>
          <w:tcPr>
            <w:tcW w:w="1150" w:type="dxa"/>
            <w:tcBorders>
              <w:top w:val="single" w:sz="4" w:space="0" w:color="000000"/>
              <w:left w:val="single" w:sz="4" w:space="0" w:color="000000"/>
              <w:bottom w:val="single" w:sz="4" w:space="0" w:color="000000"/>
              <w:right w:val="single" w:sz="4" w:space="0" w:color="000000"/>
            </w:tcBorders>
          </w:tcPr>
          <w:p w14:paraId="7ABE13BF" w14:textId="77777777" w:rsidR="00803B2F" w:rsidRDefault="00A02157">
            <w:pPr>
              <w:spacing w:after="115" w:line="259" w:lineRule="auto"/>
              <w:ind w:left="0" w:firstLine="0"/>
              <w:jc w:val="left"/>
            </w:pPr>
            <w:r>
              <w:rPr>
                <w:b/>
              </w:rPr>
              <w:t xml:space="preserve">Project </w:t>
            </w:r>
          </w:p>
          <w:p w14:paraId="69087BA6" w14:textId="77777777" w:rsidR="00803B2F" w:rsidRDefault="00A02157">
            <w:pPr>
              <w:spacing w:after="0" w:line="259" w:lineRule="auto"/>
              <w:ind w:left="0" w:firstLine="0"/>
            </w:pPr>
            <w:r>
              <w:rPr>
                <w:b/>
              </w:rPr>
              <w:t xml:space="preserve">Manager </w:t>
            </w:r>
          </w:p>
        </w:tc>
        <w:tc>
          <w:tcPr>
            <w:tcW w:w="1021" w:type="dxa"/>
            <w:tcBorders>
              <w:top w:val="single" w:sz="4" w:space="0" w:color="000000"/>
              <w:left w:val="single" w:sz="4" w:space="0" w:color="000000"/>
              <w:bottom w:val="single" w:sz="4" w:space="0" w:color="000000"/>
              <w:right w:val="single" w:sz="4" w:space="0" w:color="000000"/>
            </w:tcBorders>
            <w:vAlign w:val="center"/>
          </w:tcPr>
          <w:p w14:paraId="057C737D" w14:textId="77777777" w:rsidR="00803B2F" w:rsidRDefault="00A02157">
            <w:pPr>
              <w:spacing w:after="115" w:line="259" w:lineRule="auto"/>
              <w:ind w:left="0" w:firstLine="0"/>
            </w:pPr>
            <w:r>
              <w:rPr>
                <w:b/>
              </w:rPr>
              <w:t xml:space="preserve">IT and </w:t>
            </w:r>
          </w:p>
          <w:p w14:paraId="12673045" w14:textId="77777777" w:rsidR="00803B2F" w:rsidRDefault="00A02157">
            <w:pPr>
              <w:spacing w:after="115" w:line="259" w:lineRule="auto"/>
              <w:ind w:left="0" w:firstLine="0"/>
              <w:jc w:val="left"/>
            </w:pPr>
            <w:r>
              <w:rPr>
                <w:b/>
              </w:rPr>
              <w:t xml:space="preserve">Digital </w:t>
            </w:r>
          </w:p>
          <w:p w14:paraId="1BB380D7" w14:textId="77777777" w:rsidR="00803B2F" w:rsidRDefault="00A02157">
            <w:pPr>
              <w:spacing w:after="0" w:line="259" w:lineRule="auto"/>
              <w:ind w:left="0" w:firstLine="0"/>
              <w:jc w:val="left"/>
            </w:pPr>
            <w:r>
              <w:rPr>
                <w:b/>
              </w:rPr>
              <w:t xml:space="preserve">Team </w:t>
            </w:r>
          </w:p>
        </w:tc>
        <w:tc>
          <w:tcPr>
            <w:tcW w:w="1440" w:type="dxa"/>
            <w:tcBorders>
              <w:top w:val="single" w:sz="4" w:space="0" w:color="000000"/>
              <w:left w:val="single" w:sz="4" w:space="0" w:color="000000"/>
              <w:bottom w:val="single" w:sz="4" w:space="0" w:color="000000"/>
              <w:right w:val="single" w:sz="4" w:space="0" w:color="000000"/>
            </w:tcBorders>
          </w:tcPr>
          <w:p w14:paraId="50626D4E" w14:textId="77777777" w:rsidR="00803B2F" w:rsidRDefault="00A02157">
            <w:pPr>
              <w:spacing w:after="0" w:line="259" w:lineRule="auto"/>
              <w:ind w:left="0" w:firstLine="0"/>
              <w:jc w:val="left"/>
            </w:pPr>
            <w:r>
              <w:rPr>
                <w:b/>
              </w:rPr>
              <w:t xml:space="preserve">Marketing </w:t>
            </w:r>
          </w:p>
        </w:tc>
        <w:tc>
          <w:tcPr>
            <w:tcW w:w="1256" w:type="dxa"/>
            <w:tcBorders>
              <w:top w:val="single" w:sz="4" w:space="0" w:color="000000"/>
              <w:left w:val="single" w:sz="4" w:space="0" w:color="000000"/>
              <w:bottom w:val="single" w:sz="4" w:space="0" w:color="000000"/>
              <w:right w:val="single" w:sz="4" w:space="0" w:color="000000"/>
            </w:tcBorders>
          </w:tcPr>
          <w:p w14:paraId="6B0821D3" w14:textId="77777777" w:rsidR="00803B2F" w:rsidRDefault="00A02157">
            <w:pPr>
              <w:spacing w:after="115" w:line="259" w:lineRule="auto"/>
              <w:ind w:left="0" w:firstLine="0"/>
            </w:pPr>
            <w:r>
              <w:rPr>
                <w:b/>
              </w:rPr>
              <w:t xml:space="preserve">Franchise </w:t>
            </w:r>
          </w:p>
          <w:p w14:paraId="32068959" w14:textId="77777777" w:rsidR="00803B2F" w:rsidRDefault="00A02157">
            <w:pPr>
              <w:spacing w:after="0" w:line="259" w:lineRule="auto"/>
              <w:ind w:left="0" w:firstLine="0"/>
              <w:jc w:val="left"/>
            </w:pPr>
            <w:r>
              <w:rPr>
                <w:b/>
              </w:rPr>
              <w:t xml:space="preserve">Partners </w:t>
            </w:r>
          </w:p>
        </w:tc>
        <w:tc>
          <w:tcPr>
            <w:tcW w:w="1160" w:type="dxa"/>
            <w:tcBorders>
              <w:top w:val="single" w:sz="4" w:space="0" w:color="000000"/>
              <w:left w:val="single" w:sz="4" w:space="0" w:color="000000"/>
              <w:bottom w:val="single" w:sz="4" w:space="0" w:color="000000"/>
              <w:right w:val="single" w:sz="4" w:space="0" w:color="000000"/>
            </w:tcBorders>
          </w:tcPr>
          <w:p w14:paraId="3FCFF22D" w14:textId="77777777" w:rsidR="00803B2F" w:rsidRDefault="00A02157">
            <w:pPr>
              <w:spacing w:after="115" w:line="259" w:lineRule="auto"/>
              <w:ind w:left="0" w:firstLine="0"/>
            </w:pPr>
            <w:r>
              <w:rPr>
                <w:b/>
              </w:rPr>
              <w:t xml:space="preserve">HR and </w:t>
            </w:r>
          </w:p>
          <w:p w14:paraId="278A6FD5" w14:textId="77777777" w:rsidR="00803B2F" w:rsidRDefault="00A02157">
            <w:pPr>
              <w:spacing w:after="0" w:line="259" w:lineRule="auto"/>
              <w:ind w:left="0" w:firstLine="0"/>
            </w:pPr>
            <w:r>
              <w:rPr>
                <w:b/>
              </w:rPr>
              <w:t xml:space="preserve">Training </w:t>
            </w:r>
          </w:p>
        </w:tc>
        <w:tc>
          <w:tcPr>
            <w:tcW w:w="1251" w:type="dxa"/>
            <w:tcBorders>
              <w:top w:val="single" w:sz="4" w:space="0" w:color="000000"/>
              <w:left w:val="single" w:sz="4" w:space="0" w:color="000000"/>
              <w:bottom w:val="single" w:sz="4" w:space="0" w:color="000000"/>
              <w:right w:val="single" w:sz="4" w:space="0" w:color="000000"/>
            </w:tcBorders>
          </w:tcPr>
          <w:p w14:paraId="04F0FCCC" w14:textId="77777777" w:rsidR="00803B2F" w:rsidRDefault="00A02157">
            <w:pPr>
              <w:spacing w:after="115" w:line="259" w:lineRule="auto"/>
              <w:ind w:left="0" w:firstLine="0"/>
            </w:pPr>
            <w:r>
              <w:rPr>
                <w:b/>
              </w:rPr>
              <w:t xml:space="preserve">Executive </w:t>
            </w:r>
          </w:p>
          <w:p w14:paraId="2C1EDD5A" w14:textId="77777777" w:rsidR="00803B2F" w:rsidRDefault="00A02157">
            <w:pPr>
              <w:spacing w:after="0" w:line="259" w:lineRule="auto"/>
              <w:ind w:left="0" w:firstLine="0"/>
              <w:jc w:val="left"/>
            </w:pPr>
            <w:r>
              <w:rPr>
                <w:b/>
              </w:rPr>
              <w:t xml:space="preserve">Sponsor </w:t>
            </w:r>
          </w:p>
        </w:tc>
      </w:tr>
      <w:tr w:rsidR="00803B2F" w14:paraId="5A0CA337" w14:textId="77777777">
        <w:trPr>
          <w:trHeight w:val="1730"/>
        </w:trPr>
        <w:tc>
          <w:tcPr>
            <w:tcW w:w="1726" w:type="dxa"/>
            <w:tcBorders>
              <w:top w:val="single" w:sz="4" w:space="0" w:color="000000"/>
              <w:left w:val="single" w:sz="4" w:space="0" w:color="000000"/>
              <w:bottom w:val="single" w:sz="4" w:space="0" w:color="000000"/>
              <w:right w:val="single" w:sz="4" w:space="0" w:color="000000"/>
            </w:tcBorders>
            <w:vAlign w:val="center"/>
          </w:tcPr>
          <w:p w14:paraId="28DBCA7C" w14:textId="77777777" w:rsidR="00803B2F" w:rsidRDefault="00A02157">
            <w:pPr>
              <w:spacing w:after="5" w:line="354" w:lineRule="auto"/>
              <w:ind w:left="5" w:firstLine="0"/>
            </w:pPr>
            <w:r>
              <w:t xml:space="preserve">Define project scope and </w:t>
            </w:r>
          </w:p>
          <w:p w14:paraId="12F3B35E" w14:textId="77777777" w:rsidR="00803B2F" w:rsidRDefault="00A02157">
            <w:pPr>
              <w:spacing w:after="0" w:line="259" w:lineRule="auto"/>
              <w:ind w:left="5" w:firstLine="0"/>
              <w:jc w:val="left"/>
            </w:pPr>
            <w:r>
              <w:t xml:space="preserve">objectives </w:t>
            </w:r>
          </w:p>
        </w:tc>
        <w:tc>
          <w:tcPr>
            <w:tcW w:w="1150" w:type="dxa"/>
            <w:tcBorders>
              <w:top w:val="single" w:sz="4" w:space="0" w:color="000000"/>
              <w:left w:val="single" w:sz="4" w:space="0" w:color="000000"/>
              <w:bottom w:val="single" w:sz="4" w:space="0" w:color="000000"/>
              <w:right w:val="single" w:sz="4" w:space="0" w:color="000000"/>
            </w:tcBorders>
          </w:tcPr>
          <w:p w14:paraId="2A34D918" w14:textId="77777777" w:rsidR="00803B2F" w:rsidRDefault="00A02157">
            <w:pPr>
              <w:spacing w:after="0" w:line="259" w:lineRule="auto"/>
              <w:ind w:left="0" w:firstLine="0"/>
              <w:jc w:val="left"/>
            </w:pPr>
            <w:r>
              <w:t xml:space="preserve">R </w:t>
            </w:r>
          </w:p>
        </w:tc>
        <w:tc>
          <w:tcPr>
            <w:tcW w:w="1021" w:type="dxa"/>
            <w:tcBorders>
              <w:top w:val="single" w:sz="4" w:space="0" w:color="000000"/>
              <w:left w:val="single" w:sz="4" w:space="0" w:color="000000"/>
              <w:bottom w:val="single" w:sz="4" w:space="0" w:color="000000"/>
              <w:right w:val="single" w:sz="4" w:space="0" w:color="000000"/>
            </w:tcBorders>
          </w:tcPr>
          <w:p w14:paraId="48792D2F" w14:textId="77777777" w:rsidR="00803B2F" w:rsidRDefault="00A02157">
            <w:pPr>
              <w:spacing w:after="0" w:line="259" w:lineRule="auto"/>
              <w:ind w:left="0" w:firstLine="0"/>
              <w:jc w:val="left"/>
            </w:pPr>
            <w:r>
              <w:t xml:space="preserve">C </w:t>
            </w:r>
          </w:p>
        </w:tc>
        <w:tc>
          <w:tcPr>
            <w:tcW w:w="1440" w:type="dxa"/>
            <w:tcBorders>
              <w:top w:val="single" w:sz="4" w:space="0" w:color="000000"/>
              <w:left w:val="single" w:sz="4" w:space="0" w:color="000000"/>
              <w:bottom w:val="single" w:sz="4" w:space="0" w:color="000000"/>
              <w:right w:val="single" w:sz="4" w:space="0" w:color="000000"/>
            </w:tcBorders>
          </w:tcPr>
          <w:p w14:paraId="6BC73824" w14:textId="77777777" w:rsidR="00803B2F" w:rsidRDefault="00A02157">
            <w:pPr>
              <w:spacing w:after="0" w:line="259" w:lineRule="auto"/>
              <w:ind w:left="0" w:firstLine="0"/>
              <w:jc w:val="left"/>
            </w:pPr>
            <w:r>
              <w:t xml:space="preserve">C </w:t>
            </w:r>
          </w:p>
        </w:tc>
        <w:tc>
          <w:tcPr>
            <w:tcW w:w="1256" w:type="dxa"/>
            <w:tcBorders>
              <w:top w:val="single" w:sz="4" w:space="0" w:color="000000"/>
              <w:left w:val="single" w:sz="4" w:space="0" w:color="000000"/>
              <w:bottom w:val="single" w:sz="4" w:space="0" w:color="000000"/>
              <w:right w:val="single" w:sz="4" w:space="0" w:color="000000"/>
            </w:tcBorders>
          </w:tcPr>
          <w:p w14:paraId="54C1B5A3" w14:textId="77777777" w:rsidR="00803B2F" w:rsidRDefault="00A02157">
            <w:pPr>
              <w:spacing w:after="0" w:line="259" w:lineRule="auto"/>
              <w:ind w:left="0" w:firstLine="0"/>
              <w:jc w:val="left"/>
            </w:pPr>
            <w:r>
              <w:t xml:space="preserve">C </w:t>
            </w:r>
          </w:p>
        </w:tc>
        <w:tc>
          <w:tcPr>
            <w:tcW w:w="1160" w:type="dxa"/>
            <w:tcBorders>
              <w:top w:val="single" w:sz="4" w:space="0" w:color="000000"/>
              <w:left w:val="single" w:sz="4" w:space="0" w:color="000000"/>
              <w:bottom w:val="single" w:sz="4" w:space="0" w:color="000000"/>
              <w:right w:val="single" w:sz="4" w:space="0" w:color="000000"/>
            </w:tcBorders>
          </w:tcPr>
          <w:p w14:paraId="26621219" w14:textId="77777777" w:rsidR="00803B2F" w:rsidRDefault="00A02157">
            <w:pPr>
              <w:spacing w:after="0" w:line="259" w:lineRule="auto"/>
              <w:ind w:left="0" w:firstLine="0"/>
              <w:jc w:val="left"/>
            </w:pPr>
            <w:r>
              <w:t xml:space="preserve">I </w:t>
            </w:r>
          </w:p>
        </w:tc>
        <w:tc>
          <w:tcPr>
            <w:tcW w:w="1251" w:type="dxa"/>
            <w:tcBorders>
              <w:top w:val="single" w:sz="4" w:space="0" w:color="000000"/>
              <w:left w:val="single" w:sz="4" w:space="0" w:color="000000"/>
              <w:bottom w:val="single" w:sz="4" w:space="0" w:color="000000"/>
              <w:right w:val="single" w:sz="4" w:space="0" w:color="000000"/>
            </w:tcBorders>
          </w:tcPr>
          <w:p w14:paraId="1B5D016E" w14:textId="77777777" w:rsidR="00803B2F" w:rsidRDefault="00A02157">
            <w:pPr>
              <w:spacing w:after="0" w:line="259" w:lineRule="auto"/>
              <w:ind w:left="0" w:firstLine="0"/>
              <w:jc w:val="left"/>
            </w:pPr>
            <w:r>
              <w:t xml:space="preserve">A </w:t>
            </w:r>
          </w:p>
        </w:tc>
      </w:tr>
      <w:tr w:rsidR="00803B2F" w14:paraId="7B7437E3" w14:textId="77777777">
        <w:trPr>
          <w:trHeight w:val="1731"/>
        </w:trPr>
        <w:tc>
          <w:tcPr>
            <w:tcW w:w="1726" w:type="dxa"/>
            <w:tcBorders>
              <w:top w:val="single" w:sz="4" w:space="0" w:color="000000"/>
              <w:left w:val="single" w:sz="4" w:space="0" w:color="000000"/>
              <w:bottom w:val="single" w:sz="4" w:space="0" w:color="000000"/>
              <w:right w:val="single" w:sz="4" w:space="0" w:color="000000"/>
            </w:tcBorders>
            <w:vAlign w:val="center"/>
          </w:tcPr>
          <w:p w14:paraId="31DE4F0C" w14:textId="77777777" w:rsidR="00803B2F" w:rsidRDefault="00A02157">
            <w:pPr>
              <w:spacing w:after="0" w:line="358" w:lineRule="auto"/>
              <w:ind w:left="5" w:firstLine="0"/>
            </w:pPr>
            <w:r>
              <w:t xml:space="preserve">Design AI platform and </w:t>
            </w:r>
          </w:p>
          <w:p w14:paraId="388B3F93" w14:textId="77777777" w:rsidR="00803B2F" w:rsidRDefault="00A02157">
            <w:pPr>
              <w:spacing w:after="0" w:line="259" w:lineRule="auto"/>
              <w:ind w:left="5" w:firstLine="0"/>
              <w:jc w:val="left"/>
            </w:pPr>
            <w:r>
              <w:t xml:space="preserve">integration </w:t>
            </w:r>
          </w:p>
        </w:tc>
        <w:tc>
          <w:tcPr>
            <w:tcW w:w="1150" w:type="dxa"/>
            <w:tcBorders>
              <w:top w:val="single" w:sz="4" w:space="0" w:color="000000"/>
              <w:left w:val="single" w:sz="4" w:space="0" w:color="000000"/>
              <w:bottom w:val="single" w:sz="4" w:space="0" w:color="000000"/>
              <w:right w:val="single" w:sz="4" w:space="0" w:color="000000"/>
            </w:tcBorders>
          </w:tcPr>
          <w:p w14:paraId="5112B76E" w14:textId="77777777" w:rsidR="00803B2F" w:rsidRDefault="00A02157">
            <w:pPr>
              <w:spacing w:after="0" w:line="259" w:lineRule="auto"/>
              <w:ind w:left="0" w:firstLine="0"/>
              <w:jc w:val="left"/>
            </w:pPr>
            <w:r>
              <w:t xml:space="preserve">A </w:t>
            </w:r>
          </w:p>
        </w:tc>
        <w:tc>
          <w:tcPr>
            <w:tcW w:w="1021" w:type="dxa"/>
            <w:tcBorders>
              <w:top w:val="single" w:sz="4" w:space="0" w:color="000000"/>
              <w:left w:val="single" w:sz="4" w:space="0" w:color="000000"/>
              <w:bottom w:val="single" w:sz="4" w:space="0" w:color="000000"/>
              <w:right w:val="single" w:sz="4" w:space="0" w:color="000000"/>
            </w:tcBorders>
          </w:tcPr>
          <w:p w14:paraId="5613C64F" w14:textId="77777777" w:rsidR="00803B2F" w:rsidRDefault="00A02157">
            <w:pPr>
              <w:spacing w:after="0" w:line="259" w:lineRule="auto"/>
              <w:ind w:left="0" w:firstLine="0"/>
              <w:jc w:val="left"/>
            </w:pPr>
            <w:r>
              <w:t xml:space="preserve">R </w:t>
            </w:r>
          </w:p>
        </w:tc>
        <w:tc>
          <w:tcPr>
            <w:tcW w:w="1440" w:type="dxa"/>
            <w:tcBorders>
              <w:top w:val="single" w:sz="4" w:space="0" w:color="000000"/>
              <w:left w:val="single" w:sz="4" w:space="0" w:color="000000"/>
              <w:bottom w:val="single" w:sz="4" w:space="0" w:color="000000"/>
              <w:right w:val="single" w:sz="4" w:space="0" w:color="000000"/>
            </w:tcBorders>
          </w:tcPr>
          <w:p w14:paraId="4FABAC40" w14:textId="77777777" w:rsidR="00803B2F" w:rsidRDefault="00A02157">
            <w:pPr>
              <w:spacing w:after="0" w:line="259" w:lineRule="auto"/>
              <w:ind w:left="0" w:firstLine="0"/>
              <w:jc w:val="left"/>
            </w:pPr>
            <w:r>
              <w:t xml:space="preserve">I </w:t>
            </w:r>
          </w:p>
        </w:tc>
        <w:tc>
          <w:tcPr>
            <w:tcW w:w="1256" w:type="dxa"/>
            <w:tcBorders>
              <w:top w:val="single" w:sz="4" w:space="0" w:color="000000"/>
              <w:left w:val="single" w:sz="4" w:space="0" w:color="000000"/>
              <w:bottom w:val="single" w:sz="4" w:space="0" w:color="000000"/>
              <w:right w:val="single" w:sz="4" w:space="0" w:color="000000"/>
            </w:tcBorders>
          </w:tcPr>
          <w:p w14:paraId="07FBEE24" w14:textId="77777777" w:rsidR="00803B2F" w:rsidRDefault="00A02157">
            <w:pPr>
              <w:spacing w:after="0" w:line="259" w:lineRule="auto"/>
              <w:ind w:left="0" w:firstLine="0"/>
              <w:jc w:val="left"/>
            </w:pPr>
            <w:r>
              <w:t xml:space="preserve">C </w:t>
            </w:r>
          </w:p>
        </w:tc>
        <w:tc>
          <w:tcPr>
            <w:tcW w:w="1160" w:type="dxa"/>
            <w:tcBorders>
              <w:top w:val="single" w:sz="4" w:space="0" w:color="000000"/>
              <w:left w:val="single" w:sz="4" w:space="0" w:color="000000"/>
              <w:bottom w:val="single" w:sz="4" w:space="0" w:color="000000"/>
              <w:right w:val="single" w:sz="4" w:space="0" w:color="000000"/>
            </w:tcBorders>
          </w:tcPr>
          <w:p w14:paraId="66EB9B37" w14:textId="77777777" w:rsidR="00803B2F" w:rsidRDefault="00A02157">
            <w:pPr>
              <w:spacing w:after="0" w:line="259" w:lineRule="auto"/>
              <w:ind w:left="0" w:firstLine="0"/>
              <w:jc w:val="left"/>
            </w:pPr>
            <w:r>
              <w:t xml:space="preserve">I </w:t>
            </w:r>
          </w:p>
        </w:tc>
        <w:tc>
          <w:tcPr>
            <w:tcW w:w="1251" w:type="dxa"/>
            <w:tcBorders>
              <w:top w:val="single" w:sz="4" w:space="0" w:color="000000"/>
              <w:left w:val="single" w:sz="4" w:space="0" w:color="000000"/>
              <w:bottom w:val="single" w:sz="4" w:space="0" w:color="000000"/>
              <w:right w:val="single" w:sz="4" w:space="0" w:color="000000"/>
            </w:tcBorders>
          </w:tcPr>
          <w:p w14:paraId="77AE7966" w14:textId="77777777" w:rsidR="00803B2F" w:rsidRDefault="00A02157">
            <w:pPr>
              <w:spacing w:after="0" w:line="259" w:lineRule="auto"/>
              <w:ind w:left="0" w:firstLine="0"/>
              <w:jc w:val="left"/>
            </w:pPr>
            <w:r>
              <w:t xml:space="preserve">I </w:t>
            </w:r>
          </w:p>
        </w:tc>
      </w:tr>
      <w:tr w:rsidR="00803B2F" w14:paraId="2DDC0F46" w14:textId="77777777">
        <w:trPr>
          <w:trHeight w:val="1730"/>
        </w:trPr>
        <w:tc>
          <w:tcPr>
            <w:tcW w:w="1726" w:type="dxa"/>
            <w:tcBorders>
              <w:top w:val="single" w:sz="4" w:space="0" w:color="000000"/>
              <w:left w:val="single" w:sz="4" w:space="0" w:color="000000"/>
              <w:bottom w:val="single" w:sz="4" w:space="0" w:color="000000"/>
              <w:right w:val="single" w:sz="4" w:space="0" w:color="000000"/>
            </w:tcBorders>
            <w:vAlign w:val="center"/>
          </w:tcPr>
          <w:p w14:paraId="3490E6A4" w14:textId="77777777" w:rsidR="00803B2F" w:rsidRDefault="00A02157">
            <w:pPr>
              <w:spacing w:after="0" w:line="259" w:lineRule="auto"/>
              <w:ind w:left="5" w:firstLine="0"/>
              <w:jc w:val="left"/>
            </w:pPr>
            <w:r>
              <w:t xml:space="preserve">Approve local hotel implementation </w:t>
            </w:r>
          </w:p>
        </w:tc>
        <w:tc>
          <w:tcPr>
            <w:tcW w:w="1150" w:type="dxa"/>
            <w:tcBorders>
              <w:top w:val="single" w:sz="4" w:space="0" w:color="000000"/>
              <w:left w:val="single" w:sz="4" w:space="0" w:color="000000"/>
              <w:bottom w:val="single" w:sz="4" w:space="0" w:color="000000"/>
              <w:right w:val="single" w:sz="4" w:space="0" w:color="000000"/>
            </w:tcBorders>
          </w:tcPr>
          <w:p w14:paraId="35ED0010" w14:textId="77777777" w:rsidR="00803B2F" w:rsidRDefault="00A02157">
            <w:pPr>
              <w:spacing w:after="0" w:line="259" w:lineRule="auto"/>
              <w:ind w:left="0" w:firstLine="0"/>
              <w:jc w:val="left"/>
            </w:pPr>
            <w:r>
              <w:t xml:space="preserve">C </w:t>
            </w:r>
          </w:p>
        </w:tc>
        <w:tc>
          <w:tcPr>
            <w:tcW w:w="1021" w:type="dxa"/>
            <w:tcBorders>
              <w:top w:val="single" w:sz="4" w:space="0" w:color="000000"/>
              <w:left w:val="single" w:sz="4" w:space="0" w:color="000000"/>
              <w:bottom w:val="single" w:sz="4" w:space="0" w:color="000000"/>
              <w:right w:val="single" w:sz="4" w:space="0" w:color="000000"/>
            </w:tcBorders>
          </w:tcPr>
          <w:p w14:paraId="60284186" w14:textId="77777777" w:rsidR="00803B2F" w:rsidRDefault="00A02157">
            <w:pPr>
              <w:spacing w:after="0" w:line="259" w:lineRule="auto"/>
              <w:ind w:left="0" w:firstLine="0"/>
              <w:jc w:val="left"/>
            </w:pPr>
            <w:r>
              <w:t xml:space="preserve">I </w:t>
            </w:r>
          </w:p>
        </w:tc>
        <w:tc>
          <w:tcPr>
            <w:tcW w:w="1440" w:type="dxa"/>
            <w:tcBorders>
              <w:top w:val="single" w:sz="4" w:space="0" w:color="000000"/>
              <w:left w:val="single" w:sz="4" w:space="0" w:color="000000"/>
              <w:bottom w:val="single" w:sz="4" w:space="0" w:color="000000"/>
              <w:right w:val="single" w:sz="4" w:space="0" w:color="000000"/>
            </w:tcBorders>
          </w:tcPr>
          <w:p w14:paraId="0366981C" w14:textId="77777777" w:rsidR="00803B2F" w:rsidRDefault="00A02157">
            <w:pPr>
              <w:spacing w:after="0" w:line="259" w:lineRule="auto"/>
              <w:ind w:left="0" w:firstLine="0"/>
              <w:jc w:val="left"/>
            </w:pPr>
            <w:r>
              <w:t xml:space="preserve">I </w:t>
            </w:r>
          </w:p>
        </w:tc>
        <w:tc>
          <w:tcPr>
            <w:tcW w:w="1256" w:type="dxa"/>
            <w:tcBorders>
              <w:top w:val="single" w:sz="4" w:space="0" w:color="000000"/>
              <w:left w:val="single" w:sz="4" w:space="0" w:color="000000"/>
              <w:bottom w:val="single" w:sz="4" w:space="0" w:color="000000"/>
              <w:right w:val="single" w:sz="4" w:space="0" w:color="000000"/>
            </w:tcBorders>
          </w:tcPr>
          <w:p w14:paraId="11E62944" w14:textId="77777777" w:rsidR="00803B2F" w:rsidRDefault="00A02157">
            <w:pPr>
              <w:spacing w:after="0" w:line="259" w:lineRule="auto"/>
              <w:ind w:left="0" w:firstLine="0"/>
              <w:jc w:val="left"/>
            </w:pPr>
            <w:r>
              <w:t xml:space="preserve">R </w:t>
            </w:r>
          </w:p>
        </w:tc>
        <w:tc>
          <w:tcPr>
            <w:tcW w:w="1160" w:type="dxa"/>
            <w:tcBorders>
              <w:top w:val="single" w:sz="4" w:space="0" w:color="000000"/>
              <w:left w:val="single" w:sz="4" w:space="0" w:color="000000"/>
              <w:bottom w:val="single" w:sz="4" w:space="0" w:color="000000"/>
              <w:right w:val="single" w:sz="4" w:space="0" w:color="000000"/>
            </w:tcBorders>
          </w:tcPr>
          <w:p w14:paraId="45C9C6EE" w14:textId="77777777" w:rsidR="00803B2F" w:rsidRDefault="00A02157">
            <w:pPr>
              <w:spacing w:after="0" w:line="259" w:lineRule="auto"/>
              <w:ind w:left="0" w:firstLine="0"/>
              <w:jc w:val="left"/>
            </w:pPr>
            <w:r>
              <w:t xml:space="preserve">I </w:t>
            </w:r>
          </w:p>
        </w:tc>
        <w:tc>
          <w:tcPr>
            <w:tcW w:w="1251" w:type="dxa"/>
            <w:tcBorders>
              <w:top w:val="single" w:sz="4" w:space="0" w:color="000000"/>
              <w:left w:val="single" w:sz="4" w:space="0" w:color="000000"/>
              <w:bottom w:val="single" w:sz="4" w:space="0" w:color="000000"/>
              <w:right w:val="single" w:sz="4" w:space="0" w:color="000000"/>
            </w:tcBorders>
          </w:tcPr>
          <w:p w14:paraId="68E17F43" w14:textId="77777777" w:rsidR="00803B2F" w:rsidRDefault="00A02157">
            <w:pPr>
              <w:spacing w:after="0" w:line="259" w:lineRule="auto"/>
              <w:ind w:left="0" w:firstLine="0"/>
              <w:jc w:val="left"/>
            </w:pPr>
            <w:r>
              <w:t xml:space="preserve">A </w:t>
            </w:r>
          </w:p>
        </w:tc>
      </w:tr>
      <w:tr w:rsidR="00803B2F" w14:paraId="0C0F4D6E" w14:textId="77777777">
        <w:trPr>
          <w:trHeight w:val="1736"/>
        </w:trPr>
        <w:tc>
          <w:tcPr>
            <w:tcW w:w="1726" w:type="dxa"/>
            <w:tcBorders>
              <w:top w:val="single" w:sz="4" w:space="0" w:color="000000"/>
              <w:left w:val="single" w:sz="4" w:space="0" w:color="000000"/>
              <w:bottom w:val="single" w:sz="4" w:space="0" w:color="000000"/>
              <w:right w:val="single" w:sz="4" w:space="0" w:color="000000"/>
            </w:tcBorders>
            <w:vAlign w:val="center"/>
          </w:tcPr>
          <w:p w14:paraId="6E42B36A" w14:textId="77777777" w:rsidR="00803B2F" w:rsidRDefault="00A02157">
            <w:pPr>
              <w:spacing w:after="0" w:line="259" w:lineRule="auto"/>
              <w:ind w:left="5" w:right="65" w:firstLine="0"/>
            </w:pPr>
            <w:r>
              <w:t xml:space="preserve">Develop guest communication and marketing </w:t>
            </w:r>
          </w:p>
        </w:tc>
        <w:tc>
          <w:tcPr>
            <w:tcW w:w="1150" w:type="dxa"/>
            <w:tcBorders>
              <w:top w:val="single" w:sz="4" w:space="0" w:color="000000"/>
              <w:left w:val="single" w:sz="4" w:space="0" w:color="000000"/>
              <w:bottom w:val="single" w:sz="4" w:space="0" w:color="000000"/>
              <w:right w:val="single" w:sz="4" w:space="0" w:color="000000"/>
            </w:tcBorders>
          </w:tcPr>
          <w:p w14:paraId="0FE9D230" w14:textId="77777777" w:rsidR="00803B2F" w:rsidRDefault="00A02157">
            <w:pPr>
              <w:spacing w:after="0" w:line="259" w:lineRule="auto"/>
              <w:ind w:left="0" w:firstLine="0"/>
              <w:jc w:val="left"/>
            </w:pPr>
            <w:r>
              <w:t xml:space="preserve">C </w:t>
            </w:r>
          </w:p>
        </w:tc>
        <w:tc>
          <w:tcPr>
            <w:tcW w:w="1021" w:type="dxa"/>
            <w:tcBorders>
              <w:top w:val="single" w:sz="4" w:space="0" w:color="000000"/>
              <w:left w:val="single" w:sz="4" w:space="0" w:color="000000"/>
              <w:bottom w:val="single" w:sz="4" w:space="0" w:color="000000"/>
              <w:right w:val="single" w:sz="4" w:space="0" w:color="000000"/>
            </w:tcBorders>
          </w:tcPr>
          <w:p w14:paraId="1831257A" w14:textId="77777777" w:rsidR="00803B2F" w:rsidRDefault="00A02157">
            <w:pPr>
              <w:spacing w:after="0" w:line="259" w:lineRule="auto"/>
              <w:ind w:left="0" w:firstLine="0"/>
              <w:jc w:val="left"/>
            </w:pPr>
            <w:r>
              <w:t xml:space="preserve">I </w:t>
            </w:r>
          </w:p>
        </w:tc>
        <w:tc>
          <w:tcPr>
            <w:tcW w:w="1440" w:type="dxa"/>
            <w:tcBorders>
              <w:top w:val="single" w:sz="4" w:space="0" w:color="000000"/>
              <w:left w:val="single" w:sz="4" w:space="0" w:color="000000"/>
              <w:bottom w:val="single" w:sz="4" w:space="0" w:color="000000"/>
              <w:right w:val="single" w:sz="4" w:space="0" w:color="000000"/>
            </w:tcBorders>
          </w:tcPr>
          <w:p w14:paraId="307768FA" w14:textId="77777777" w:rsidR="00803B2F" w:rsidRDefault="00A02157">
            <w:pPr>
              <w:spacing w:after="0" w:line="259" w:lineRule="auto"/>
              <w:ind w:left="0" w:firstLine="0"/>
              <w:jc w:val="left"/>
            </w:pPr>
            <w:r>
              <w:t xml:space="preserve">R </w:t>
            </w:r>
          </w:p>
        </w:tc>
        <w:tc>
          <w:tcPr>
            <w:tcW w:w="1256" w:type="dxa"/>
            <w:tcBorders>
              <w:top w:val="single" w:sz="4" w:space="0" w:color="000000"/>
              <w:left w:val="single" w:sz="4" w:space="0" w:color="000000"/>
              <w:bottom w:val="single" w:sz="4" w:space="0" w:color="000000"/>
              <w:right w:val="single" w:sz="4" w:space="0" w:color="000000"/>
            </w:tcBorders>
          </w:tcPr>
          <w:p w14:paraId="70030660" w14:textId="77777777" w:rsidR="00803B2F" w:rsidRDefault="00A02157">
            <w:pPr>
              <w:spacing w:after="0" w:line="259" w:lineRule="auto"/>
              <w:ind w:left="0" w:firstLine="0"/>
              <w:jc w:val="left"/>
            </w:pPr>
            <w:r>
              <w:t xml:space="preserve">C </w:t>
            </w:r>
          </w:p>
        </w:tc>
        <w:tc>
          <w:tcPr>
            <w:tcW w:w="1160" w:type="dxa"/>
            <w:tcBorders>
              <w:top w:val="single" w:sz="4" w:space="0" w:color="000000"/>
              <w:left w:val="single" w:sz="4" w:space="0" w:color="000000"/>
              <w:bottom w:val="single" w:sz="4" w:space="0" w:color="000000"/>
              <w:right w:val="single" w:sz="4" w:space="0" w:color="000000"/>
            </w:tcBorders>
          </w:tcPr>
          <w:p w14:paraId="3F187C9F" w14:textId="77777777" w:rsidR="00803B2F" w:rsidRDefault="00A02157">
            <w:pPr>
              <w:spacing w:after="0" w:line="259" w:lineRule="auto"/>
              <w:ind w:left="0" w:firstLine="0"/>
              <w:jc w:val="left"/>
            </w:pPr>
            <w:r>
              <w:t xml:space="preserve">I </w:t>
            </w:r>
          </w:p>
        </w:tc>
        <w:tc>
          <w:tcPr>
            <w:tcW w:w="1251" w:type="dxa"/>
            <w:tcBorders>
              <w:top w:val="single" w:sz="4" w:space="0" w:color="000000"/>
              <w:left w:val="single" w:sz="4" w:space="0" w:color="000000"/>
              <w:bottom w:val="single" w:sz="4" w:space="0" w:color="000000"/>
              <w:right w:val="single" w:sz="4" w:space="0" w:color="000000"/>
            </w:tcBorders>
          </w:tcPr>
          <w:p w14:paraId="2971C13F" w14:textId="77777777" w:rsidR="00803B2F" w:rsidRDefault="00A02157">
            <w:pPr>
              <w:spacing w:after="0" w:line="259" w:lineRule="auto"/>
              <w:ind w:left="0" w:firstLine="0"/>
              <w:jc w:val="left"/>
            </w:pPr>
            <w:r>
              <w:t xml:space="preserve">A </w:t>
            </w:r>
          </w:p>
        </w:tc>
      </w:tr>
      <w:tr w:rsidR="00803B2F" w14:paraId="2D7BC716" w14:textId="77777777">
        <w:trPr>
          <w:trHeight w:val="1730"/>
        </w:trPr>
        <w:tc>
          <w:tcPr>
            <w:tcW w:w="1726" w:type="dxa"/>
            <w:tcBorders>
              <w:top w:val="single" w:sz="4" w:space="0" w:color="000000"/>
              <w:left w:val="single" w:sz="4" w:space="0" w:color="000000"/>
              <w:bottom w:val="single" w:sz="4" w:space="0" w:color="000000"/>
              <w:right w:val="single" w:sz="4" w:space="0" w:color="000000"/>
            </w:tcBorders>
            <w:vAlign w:val="center"/>
          </w:tcPr>
          <w:p w14:paraId="421A29A3" w14:textId="77777777" w:rsidR="00803B2F" w:rsidRDefault="00A02157">
            <w:pPr>
              <w:spacing w:after="0" w:line="364" w:lineRule="auto"/>
              <w:ind w:left="5" w:firstLine="0"/>
              <w:jc w:val="left"/>
            </w:pPr>
            <w:r>
              <w:t xml:space="preserve">Deliver </w:t>
            </w:r>
            <w:r>
              <w:tab/>
              <w:t xml:space="preserve">staff training </w:t>
            </w:r>
          </w:p>
          <w:p w14:paraId="00BC204B" w14:textId="77777777" w:rsidR="00803B2F" w:rsidRDefault="00A02157">
            <w:pPr>
              <w:spacing w:after="0" w:line="259" w:lineRule="auto"/>
              <w:ind w:left="5" w:firstLine="0"/>
              <w:jc w:val="left"/>
            </w:pPr>
            <w:r>
              <w:t xml:space="preserve">programme </w:t>
            </w:r>
          </w:p>
        </w:tc>
        <w:tc>
          <w:tcPr>
            <w:tcW w:w="1150" w:type="dxa"/>
            <w:tcBorders>
              <w:top w:val="single" w:sz="4" w:space="0" w:color="000000"/>
              <w:left w:val="single" w:sz="4" w:space="0" w:color="000000"/>
              <w:bottom w:val="single" w:sz="4" w:space="0" w:color="000000"/>
              <w:right w:val="single" w:sz="4" w:space="0" w:color="000000"/>
            </w:tcBorders>
          </w:tcPr>
          <w:p w14:paraId="4C2F9B10" w14:textId="77777777" w:rsidR="00803B2F" w:rsidRDefault="00A02157">
            <w:pPr>
              <w:spacing w:after="0" w:line="259" w:lineRule="auto"/>
              <w:ind w:left="0" w:firstLine="0"/>
              <w:jc w:val="left"/>
            </w:pPr>
            <w:r>
              <w:t xml:space="preserve">A </w:t>
            </w:r>
          </w:p>
        </w:tc>
        <w:tc>
          <w:tcPr>
            <w:tcW w:w="1021" w:type="dxa"/>
            <w:tcBorders>
              <w:top w:val="single" w:sz="4" w:space="0" w:color="000000"/>
              <w:left w:val="single" w:sz="4" w:space="0" w:color="000000"/>
              <w:bottom w:val="single" w:sz="4" w:space="0" w:color="000000"/>
              <w:right w:val="single" w:sz="4" w:space="0" w:color="000000"/>
            </w:tcBorders>
          </w:tcPr>
          <w:p w14:paraId="595C8908" w14:textId="77777777" w:rsidR="00803B2F" w:rsidRDefault="00A02157">
            <w:pPr>
              <w:spacing w:after="0" w:line="259" w:lineRule="auto"/>
              <w:ind w:left="0" w:firstLine="0"/>
              <w:jc w:val="left"/>
            </w:pPr>
            <w:r>
              <w:t xml:space="preserve">C </w:t>
            </w:r>
          </w:p>
        </w:tc>
        <w:tc>
          <w:tcPr>
            <w:tcW w:w="1440" w:type="dxa"/>
            <w:tcBorders>
              <w:top w:val="single" w:sz="4" w:space="0" w:color="000000"/>
              <w:left w:val="single" w:sz="4" w:space="0" w:color="000000"/>
              <w:bottom w:val="single" w:sz="4" w:space="0" w:color="000000"/>
              <w:right w:val="single" w:sz="4" w:space="0" w:color="000000"/>
            </w:tcBorders>
          </w:tcPr>
          <w:p w14:paraId="4E01E381" w14:textId="77777777" w:rsidR="00803B2F" w:rsidRDefault="00A02157">
            <w:pPr>
              <w:spacing w:after="0" w:line="259" w:lineRule="auto"/>
              <w:ind w:left="0" w:firstLine="0"/>
              <w:jc w:val="left"/>
            </w:pPr>
            <w:r>
              <w:t xml:space="preserve">I </w:t>
            </w:r>
          </w:p>
        </w:tc>
        <w:tc>
          <w:tcPr>
            <w:tcW w:w="1256" w:type="dxa"/>
            <w:tcBorders>
              <w:top w:val="single" w:sz="4" w:space="0" w:color="000000"/>
              <w:left w:val="single" w:sz="4" w:space="0" w:color="000000"/>
              <w:bottom w:val="single" w:sz="4" w:space="0" w:color="000000"/>
              <w:right w:val="single" w:sz="4" w:space="0" w:color="000000"/>
            </w:tcBorders>
          </w:tcPr>
          <w:p w14:paraId="39819F69" w14:textId="77777777" w:rsidR="00803B2F" w:rsidRDefault="00A02157">
            <w:pPr>
              <w:spacing w:after="0" w:line="259" w:lineRule="auto"/>
              <w:ind w:left="0" w:firstLine="0"/>
              <w:jc w:val="left"/>
            </w:pPr>
            <w:r>
              <w:t xml:space="preserve">C </w:t>
            </w:r>
          </w:p>
        </w:tc>
        <w:tc>
          <w:tcPr>
            <w:tcW w:w="1160" w:type="dxa"/>
            <w:tcBorders>
              <w:top w:val="single" w:sz="4" w:space="0" w:color="000000"/>
              <w:left w:val="single" w:sz="4" w:space="0" w:color="000000"/>
              <w:bottom w:val="single" w:sz="4" w:space="0" w:color="000000"/>
              <w:right w:val="single" w:sz="4" w:space="0" w:color="000000"/>
            </w:tcBorders>
          </w:tcPr>
          <w:p w14:paraId="3CCD46ED" w14:textId="77777777" w:rsidR="00803B2F" w:rsidRDefault="00A02157">
            <w:pPr>
              <w:spacing w:after="0" w:line="259" w:lineRule="auto"/>
              <w:ind w:left="0" w:firstLine="0"/>
              <w:jc w:val="left"/>
            </w:pPr>
            <w:r>
              <w:t xml:space="preserve">R </w:t>
            </w:r>
          </w:p>
        </w:tc>
        <w:tc>
          <w:tcPr>
            <w:tcW w:w="1251" w:type="dxa"/>
            <w:tcBorders>
              <w:top w:val="single" w:sz="4" w:space="0" w:color="000000"/>
              <w:left w:val="single" w:sz="4" w:space="0" w:color="000000"/>
              <w:bottom w:val="single" w:sz="4" w:space="0" w:color="000000"/>
              <w:right w:val="single" w:sz="4" w:space="0" w:color="000000"/>
            </w:tcBorders>
          </w:tcPr>
          <w:p w14:paraId="2A26CC63" w14:textId="77777777" w:rsidR="00803B2F" w:rsidRDefault="00A02157">
            <w:pPr>
              <w:spacing w:after="0" w:line="259" w:lineRule="auto"/>
              <w:ind w:left="0" w:firstLine="0"/>
              <w:jc w:val="left"/>
            </w:pPr>
            <w:r>
              <w:t xml:space="preserve">I </w:t>
            </w:r>
          </w:p>
        </w:tc>
      </w:tr>
      <w:tr w:rsidR="00803B2F" w14:paraId="40BDEB2C" w14:textId="77777777">
        <w:trPr>
          <w:trHeight w:val="1735"/>
        </w:trPr>
        <w:tc>
          <w:tcPr>
            <w:tcW w:w="1726" w:type="dxa"/>
            <w:tcBorders>
              <w:top w:val="single" w:sz="4" w:space="0" w:color="000000"/>
              <w:left w:val="single" w:sz="4" w:space="0" w:color="000000"/>
              <w:bottom w:val="single" w:sz="4" w:space="0" w:color="000000"/>
              <w:right w:val="single" w:sz="4" w:space="0" w:color="000000"/>
            </w:tcBorders>
            <w:vAlign w:val="center"/>
          </w:tcPr>
          <w:p w14:paraId="009157A9" w14:textId="77777777" w:rsidR="00803B2F" w:rsidRDefault="00A02157">
            <w:pPr>
              <w:spacing w:after="0" w:line="259" w:lineRule="auto"/>
              <w:ind w:left="5" w:right="65" w:firstLine="0"/>
            </w:pPr>
            <w:r>
              <w:t xml:space="preserve">Data protection and compliance review </w:t>
            </w:r>
          </w:p>
        </w:tc>
        <w:tc>
          <w:tcPr>
            <w:tcW w:w="1150" w:type="dxa"/>
            <w:tcBorders>
              <w:top w:val="single" w:sz="4" w:space="0" w:color="000000"/>
              <w:left w:val="single" w:sz="4" w:space="0" w:color="000000"/>
              <w:bottom w:val="single" w:sz="4" w:space="0" w:color="000000"/>
              <w:right w:val="single" w:sz="4" w:space="0" w:color="000000"/>
            </w:tcBorders>
          </w:tcPr>
          <w:p w14:paraId="62DC9881" w14:textId="77777777" w:rsidR="00803B2F" w:rsidRDefault="00A02157">
            <w:pPr>
              <w:spacing w:after="0" w:line="259" w:lineRule="auto"/>
              <w:ind w:left="0" w:firstLine="0"/>
              <w:jc w:val="left"/>
            </w:pPr>
            <w:r>
              <w:t xml:space="preserve">A </w:t>
            </w:r>
          </w:p>
        </w:tc>
        <w:tc>
          <w:tcPr>
            <w:tcW w:w="1021" w:type="dxa"/>
            <w:tcBorders>
              <w:top w:val="single" w:sz="4" w:space="0" w:color="000000"/>
              <w:left w:val="single" w:sz="4" w:space="0" w:color="000000"/>
              <w:bottom w:val="single" w:sz="4" w:space="0" w:color="000000"/>
              <w:right w:val="single" w:sz="4" w:space="0" w:color="000000"/>
            </w:tcBorders>
          </w:tcPr>
          <w:p w14:paraId="43D369DA" w14:textId="77777777" w:rsidR="00803B2F" w:rsidRDefault="00A02157">
            <w:pPr>
              <w:spacing w:after="0" w:line="259" w:lineRule="auto"/>
              <w:ind w:left="0" w:firstLine="0"/>
              <w:jc w:val="left"/>
            </w:pPr>
            <w:r>
              <w:t xml:space="preserve">R </w:t>
            </w:r>
          </w:p>
        </w:tc>
        <w:tc>
          <w:tcPr>
            <w:tcW w:w="1440" w:type="dxa"/>
            <w:tcBorders>
              <w:top w:val="single" w:sz="4" w:space="0" w:color="000000"/>
              <w:left w:val="single" w:sz="4" w:space="0" w:color="000000"/>
              <w:bottom w:val="single" w:sz="4" w:space="0" w:color="000000"/>
              <w:right w:val="single" w:sz="4" w:space="0" w:color="000000"/>
            </w:tcBorders>
          </w:tcPr>
          <w:p w14:paraId="20909F19" w14:textId="77777777" w:rsidR="00803B2F" w:rsidRDefault="00A02157">
            <w:pPr>
              <w:spacing w:after="0" w:line="259" w:lineRule="auto"/>
              <w:ind w:left="0" w:firstLine="0"/>
              <w:jc w:val="left"/>
            </w:pPr>
            <w:r>
              <w:t xml:space="preserve">I </w:t>
            </w:r>
          </w:p>
        </w:tc>
        <w:tc>
          <w:tcPr>
            <w:tcW w:w="1256" w:type="dxa"/>
            <w:tcBorders>
              <w:top w:val="single" w:sz="4" w:space="0" w:color="000000"/>
              <w:left w:val="single" w:sz="4" w:space="0" w:color="000000"/>
              <w:bottom w:val="single" w:sz="4" w:space="0" w:color="000000"/>
              <w:right w:val="single" w:sz="4" w:space="0" w:color="000000"/>
            </w:tcBorders>
          </w:tcPr>
          <w:p w14:paraId="67343FD2" w14:textId="77777777" w:rsidR="00803B2F" w:rsidRDefault="00A02157">
            <w:pPr>
              <w:spacing w:after="0" w:line="259" w:lineRule="auto"/>
              <w:ind w:left="0" w:firstLine="0"/>
              <w:jc w:val="left"/>
            </w:pPr>
            <w:r>
              <w:t xml:space="preserve">I </w:t>
            </w:r>
          </w:p>
        </w:tc>
        <w:tc>
          <w:tcPr>
            <w:tcW w:w="1160" w:type="dxa"/>
            <w:tcBorders>
              <w:top w:val="single" w:sz="4" w:space="0" w:color="000000"/>
              <w:left w:val="single" w:sz="4" w:space="0" w:color="000000"/>
              <w:bottom w:val="single" w:sz="4" w:space="0" w:color="000000"/>
              <w:right w:val="single" w:sz="4" w:space="0" w:color="000000"/>
            </w:tcBorders>
          </w:tcPr>
          <w:p w14:paraId="5A814EE7" w14:textId="77777777" w:rsidR="00803B2F" w:rsidRDefault="00A02157">
            <w:pPr>
              <w:spacing w:after="0" w:line="259" w:lineRule="auto"/>
              <w:ind w:left="0" w:firstLine="0"/>
              <w:jc w:val="left"/>
            </w:pPr>
            <w:r>
              <w:t xml:space="preserve">I </w:t>
            </w:r>
          </w:p>
        </w:tc>
        <w:tc>
          <w:tcPr>
            <w:tcW w:w="1251" w:type="dxa"/>
            <w:tcBorders>
              <w:top w:val="single" w:sz="4" w:space="0" w:color="000000"/>
              <w:left w:val="single" w:sz="4" w:space="0" w:color="000000"/>
              <w:bottom w:val="single" w:sz="4" w:space="0" w:color="000000"/>
              <w:right w:val="single" w:sz="4" w:space="0" w:color="000000"/>
            </w:tcBorders>
          </w:tcPr>
          <w:p w14:paraId="2DBCD82C" w14:textId="77777777" w:rsidR="00803B2F" w:rsidRDefault="00A02157">
            <w:pPr>
              <w:spacing w:after="0" w:line="259" w:lineRule="auto"/>
              <w:ind w:left="0" w:firstLine="0"/>
              <w:jc w:val="left"/>
            </w:pPr>
            <w:r>
              <w:t xml:space="preserve">C </w:t>
            </w:r>
          </w:p>
        </w:tc>
      </w:tr>
      <w:tr w:rsidR="00803B2F" w14:paraId="70A8027B" w14:textId="77777777">
        <w:trPr>
          <w:trHeight w:val="1731"/>
        </w:trPr>
        <w:tc>
          <w:tcPr>
            <w:tcW w:w="1726" w:type="dxa"/>
            <w:tcBorders>
              <w:top w:val="single" w:sz="4" w:space="0" w:color="000000"/>
              <w:left w:val="single" w:sz="4" w:space="0" w:color="000000"/>
              <w:bottom w:val="single" w:sz="4" w:space="0" w:color="000000"/>
              <w:right w:val="single" w:sz="4" w:space="0" w:color="000000"/>
            </w:tcBorders>
            <w:vAlign w:val="center"/>
          </w:tcPr>
          <w:p w14:paraId="50F3D2FF" w14:textId="77777777" w:rsidR="00803B2F" w:rsidRDefault="00A02157">
            <w:pPr>
              <w:spacing w:after="0" w:line="259" w:lineRule="auto"/>
              <w:ind w:left="5" w:firstLine="0"/>
              <w:jc w:val="left"/>
            </w:pPr>
            <w:r>
              <w:t xml:space="preserve">Evaluate </w:t>
            </w:r>
            <w:r>
              <w:tab/>
              <w:t xml:space="preserve">post launch performance </w:t>
            </w:r>
          </w:p>
        </w:tc>
        <w:tc>
          <w:tcPr>
            <w:tcW w:w="1150" w:type="dxa"/>
            <w:tcBorders>
              <w:top w:val="single" w:sz="4" w:space="0" w:color="000000"/>
              <w:left w:val="single" w:sz="4" w:space="0" w:color="000000"/>
              <w:bottom w:val="single" w:sz="4" w:space="0" w:color="000000"/>
              <w:right w:val="single" w:sz="4" w:space="0" w:color="000000"/>
            </w:tcBorders>
          </w:tcPr>
          <w:p w14:paraId="34F25C93" w14:textId="77777777" w:rsidR="00803B2F" w:rsidRDefault="00A02157">
            <w:pPr>
              <w:spacing w:after="0" w:line="259" w:lineRule="auto"/>
              <w:ind w:left="0" w:firstLine="0"/>
              <w:jc w:val="left"/>
            </w:pPr>
            <w:r>
              <w:t xml:space="preserve">R </w:t>
            </w:r>
          </w:p>
        </w:tc>
        <w:tc>
          <w:tcPr>
            <w:tcW w:w="1021" w:type="dxa"/>
            <w:tcBorders>
              <w:top w:val="single" w:sz="4" w:space="0" w:color="000000"/>
              <w:left w:val="single" w:sz="4" w:space="0" w:color="000000"/>
              <w:bottom w:val="single" w:sz="4" w:space="0" w:color="000000"/>
              <w:right w:val="single" w:sz="4" w:space="0" w:color="000000"/>
            </w:tcBorders>
          </w:tcPr>
          <w:p w14:paraId="50D6485F" w14:textId="77777777" w:rsidR="00803B2F" w:rsidRDefault="00A02157">
            <w:pPr>
              <w:spacing w:after="0" w:line="259" w:lineRule="auto"/>
              <w:ind w:left="0" w:firstLine="0"/>
              <w:jc w:val="left"/>
            </w:pPr>
            <w:r>
              <w:t xml:space="preserve">C </w:t>
            </w:r>
          </w:p>
        </w:tc>
        <w:tc>
          <w:tcPr>
            <w:tcW w:w="1440" w:type="dxa"/>
            <w:tcBorders>
              <w:top w:val="single" w:sz="4" w:space="0" w:color="000000"/>
              <w:left w:val="single" w:sz="4" w:space="0" w:color="000000"/>
              <w:bottom w:val="single" w:sz="4" w:space="0" w:color="000000"/>
              <w:right w:val="single" w:sz="4" w:space="0" w:color="000000"/>
            </w:tcBorders>
          </w:tcPr>
          <w:p w14:paraId="47A33D9A" w14:textId="77777777" w:rsidR="00803B2F" w:rsidRDefault="00A02157">
            <w:pPr>
              <w:spacing w:after="0" w:line="259" w:lineRule="auto"/>
              <w:ind w:left="0" w:firstLine="0"/>
              <w:jc w:val="left"/>
            </w:pPr>
            <w:r>
              <w:t xml:space="preserve">C </w:t>
            </w:r>
          </w:p>
        </w:tc>
        <w:tc>
          <w:tcPr>
            <w:tcW w:w="1256" w:type="dxa"/>
            <w:tcBorders>
              <w:top w:val="single" w:sz="4" w:space="0" w:color="000000"/>
              <w:left w:val="single" w:sz="4" w:space="0" w:color="000000"/>
              <w:bottom w:val="single" w:sz="4" w:space="0" w:color="000000"/>
              <w:right w:val="single" w:sz="4" w:space="0" w:color="000000"/>
            </w:tcBorders>
          </w:tcPr>
          <w:p w14:paraId="5C7F15A9" w14:textId="77777777" w:rsidR="00803B2F" w:rsidRDefault="00A02157">
            <w:pPr>
              <w:spacing w:after="0" w:line="259" w:lineRule="auto"/>
              <w:ind w:left="0" w:firstLine="0"/>
              <w:jc w:val="left"/>
            </w:pPr>
            <w:r>
              <w:t xml:space="preserve">C </w:t>
            </w:r>
          </w:p>
        </w:tc>
        <w:tc>
          <w:tcPr>
            <w:tcW w:w="1160" w:type="dxa"/>
            <w:tcBorders>
              <w:top w:val="single" w:sz="4" w:space="0" w:color="000000"/>
              <w:left w:val="single" w:sz="4" w:space="0" w:color="000000"/>
              <w:bottom w:val="single" w:sz="4" w:space="0" w:color="000000"/>
              <w:right w:val="single" w:sz="4" w:space="0" w:color="000000"/>
            </w:tcBorders>
          </w:tcPr>
          <w:p w14:paraId="126ED0A2" w14:textId="77777777" w:rsidR="00803B2F" w:rsidRDefault="00A02157">
            <w:pPr>
              <w:spacing w:after="0" w:line="259" w:lineRule="auto"/>
              <w:ind w:left="0" w:firstLine="0"/>
              <w:jc w:val="left"/>
            </w:pPr>
            <w:r>
              <w:t xml:space="preserve">I </w:t>
            </w:r>
          </w:p>
        </w:tc>
        <w:tc>
          <w:tcPr>
            <w:tcW w:w="1251" w:type="dxa"/>
            <w:tcBorders>
              <w:top w:val="single" w:sz="4" w:space="0" w:color="000000"/>
              <w:left w:val="single" w:sz="4" w:space="0" w:color="000000"/>
              <w:bottom w:val="single" w:sz="4" w:space="0" w:color="000000"/>
              <w:right w:val="single" w:sz="4" w:space="0" w:color="000000"/>
            </w:tcBorders>
          </w:tcPr>
          <w:p w14:paraId="4046A155" w14:textId="77777777" w:rsidR="00803B2F" w:rsidRDefault="00A02157">
            <w:pPr>
              <w:spacing w:after="0" w:line="259" w:lineRule="auto"/>
              <w:ind w:left="0" w:firstLine="0"/>
              <w:jc w:val="left"/>
            </w:pPr>
            <w:r>
              <w:t xml:space="preserve">A </w:t>
            </w:r>
          </w:p>
        </w:tc>
      </w:tr>
    </w:tbl>
    <w:p w14:paraId="78742942" w14:textId="77777777" w:rsidR="00803B2F" w:rsidRDefault="00A02157">
      <w:pPr>
        <w:spacing w:after="364"/>
        <w:ind w:left="-5" w:right="4"/>
      </w:pPr>
      <w:r>
        <w:t xml:space="preserve">The matrix clearly shows how overall responsibility for coordination lies with the project manager; responsibility for critical decision-making falls to the executive sponsor; and specialist activity delivery is dispersed across information technology, marketing, franchise and human resources which reflects current best practice in multi stakeholder projects (Apm.org.uk, 2026). </w:t>
      </w:r>
    </w:p>
    <w:p w14:paraId="1B5FBD7E" w14:textId="77777777" w:rsidR="00803B2F" w:rsidRDefault="00A02157">
      <w:pPr>
        <w:pStyle w:val="Heading1"/>
        <w:spacing w:after="309"/>
        <w:ind w:left="-5"/>
      </w:pPr>
      <w:r>
        <w:t>5. Frameworks, Models and Theories for Stakeholder Engagement</w:t>
      </w:r>
      <w:r>
        <w:rPr>
          <w:b w:val="0"/>
        </w:rPr>
        <w:t xml:space="preserve"> </w:t>
      </w:r>
    </w:p>
    <w:p w14:paraId="42F54FA2" w14:textId="77777777" w:rsidR="00803B2F" w:rsidRDefault="00A02157">
      <w:pPr>
        <w:spacing w:after="30"/>
        <w:ind w:left="-5" w:right="4"/>
      </w:pPr>
      <w:r>
        <w:t xml:space="preserve">There is a set of established frameworks to guide the stakeholder engagement process within the complex range of cultural and market environments in which StaySmart Plus will be launched. </w:t>
      </w:r>
    </w:p>
    <w:p w14:paraId="57FCD0EB" w14:textId="77777777" w:rsidR="00803B2F" w:rsidRDefault="00A02157">
      <w:pPr>
        <w:spacing w:after="0" w:line="259" w:lineRule="auto"/>
        <w:ind w:left="0" w:firstLine="0"/>
        <w:jc w:val="left"/>
      </w:pPr>
      <w:r>
        <w:t xml:space="preserve"> </w:t>
      </w:r>
      <w:r>
        <w:tab/>
        <w:t xml:space="preserve"> </w:t>
      </w:r>
    </w:p>
    <w:p w14:paraId="18E7A3C3" w14:textId="77777777" w:rsidR="00803B2F" w:rsidRDefault="00A02157">
      <w:pPr>
        <w:pStyle w:val="Heading2"/>
        <w:ind w:left="-5"/>
      </w:pPr>
      <w:r>
        <w:t>5.1 Mendelow's Power Interest Matrix</w:t>
      </w:r>
      <w:r>
        <w:rPr>
          <w:b w:val="0"/>
        </w:rPr>
        <w:t xml:space="preserve"> </w:t>
      </w:r>
    </w:p>
    <w:p w14:paraId="098221E5" w14:textId="77777777" w:rsidR="00803B2F" w:rsidRDefault="00A02157">
      <w:pPr>
        <w:spacing w:after="43" w:line="259" w:lineRule="auto"/>
        <w:ind w:left="-5" w:right="4"/>
      </w:pPr>
      <w:r>
        <w:t xml:space="preserve">The Mendelow power interest matrix classifies stakeholders based on their power in the project and interest in the project and produce four engagement areas/quadrants which allow tailoring the stakeholder engagement activities (Mendelow, 2026). </w:t>
      </w:r>
    </w:p>
    <w:tbl>
      <w:tblPr>
        <w:tblStyle w:val="TableGrid"/>
        <w:tblW w:w="9004" w:type="dxa"/>
        <w:tblInd w:w="15" w:type="dxa"/>
        <w:tblCellMar>
          <w:top w:w="303" w:type="dxa"/>
          <w:left w:w="105" w:type="dxa"/>
          <w:right w:w="51" w:type="dxa"/>
        </w:tblCellMar>
        <w:tblLook w:val="04A0" w:firstRow="1" w:lastRow="0" w:firstColumn="1" w:lastColumn="0" w:noHBand="0" w:noVBand="1"/>
      </w:tblPr>
      <w:tblGrid>
        <w:gridCol w:w="2601"/>
        <w:gridCol w:w="3001"/>
        <w:gridCol w:w="3402"/>
      </w:tblGrid>
      <w:tr w:rsidR="00803B2F" w14:paraId="6F3D2BC5" w14:textId="77777777">
        <w:trPr>
          <w:trHeight w:val="1321"/>
        </w:trPr>
        <w:tc>
          <w:tcPr>
            <w:tcW w:w="2601" w:type="dxa"/>
            <w:tcBorders>
              <w:top w:val="single" w:sz="4" w:space="0" w:color="000000"/>
              <w:left w:val="single" w:sz="4" w:space="0" w:color="000000"/>
              <w:bottom w:val="single" w:sz="4" w:space="0" w:color="000000"/>
              <w:right w:val="single" w:sz="4" w:space="0" w:color="000000"/>
            </w:tcBorders>
          </w:tcPr>
          <w:p w14:paraId="605B0E8E" w14:textId="77777777" w:rsidR="00803B2F" w:rsidRDefault="00A02157">
            <w:pPr>
              <w:spacing w:after="0" w:line="259" w:lineRule="auto"/>
              <w:ind w:left="0" w:firstLine="0"/>
              <w:jc w:val="left"/>
            </w:pPr>
            <w:r>
              <w:rPr>
                <w:b/>
              </w:rPr>
              <w:t>Quadrant</w:t>
            </w:r>
            <w:r>
              <w:t xml:space="preserve"> </w:t>
            </w:r>
          </w:p>
        </w:tc>
        <w:tc>
          <w:tcPr>
            <w:tcW w:w="3001" w:type="dxa"/>
            <w:tcBorders>
              <w:top w:val="single" w:sz="4" w:space="0" w:color="000000"/>
              <w:left w:val="single" w:sz="4" w:space="0" w:color="000000"/>
              <w:bottom w:val="single" w:sz="4" w:space="0" w:color="000000"/>
              <w:right w:val="single" w:sz="4" w:space="0" w:color="000000"/>
            </w:tcBorders>
          </w:tcPr>
          <w:p w14:paraId="204A388D" w14:textId="77777777" w:rsidR="00803B2F" w:rsidRDefault="00A02157">
            <w:pPr>
              <w:spacing w:after="0" w:line="259" w:lineRule="auto"/>
              <w:ind w:left="0" w:firstLine="0"/>
              <w:jc w:val="left"/>
            </w:pPr>
            <w:r>
              <w:rPr>
                <w:b/>
              </w:rPr>
              <w:t>Stakeholders</w:t>
            </w:r>
            <w:r>
              <w:t xml:space="preserve"> </w:t>
            </w:r>
          </w:p>
        </w:tc>
        <w:tc>
          <w:tcPr>
            <w:tcW w:w="3402" w:type="dxa"/>
            <w:tcBorders>
              <w:top w:val="single" w:sz="4" w:space="0" w:color="000000"/>
              <w:left w:val="single" w:sz="4" w:space="0" w:color="000000"/>
              <w:bottom w:val="single" w:sz="4" w:space="0" w:color="000000"/>
              <w:right w:val="single" w:sz="4" w:space="0" w:color="000000"/>
            </w:tcBorders>
            <w:vAlign w:val="center"/>
          </w:tcPr>
          <w:p w14:paraId="5A684054" w14:textId="77777777" w:rsidR="00803B2F" w:rsidRDefault="00A02157">
            <w:pPr>
              <w:tabs>
                <w:tab w:val="right" w:pos="3246"/>
              </w:tabs>
              <w:spacing w:after="125" w:line="259" w:lineRule="auto"/>
              <w:ind w:left="0" w:firstLine="0"/>
              <w:jc w:val="left"/>
            </w:pPr>
            <w:r>
              <w:rPr>
                <w:b/>
              </w:rPr>
              <w:t xml:space="preserve">Recommended </w:t>
            </w:r>
            <w:r>
              <w:rPr>
                <w:b/>
              </w:rPr>
              <w:tab/>
              <w:t xml:space="preserve">Engagement </w:t>
            </w:r>
          </w:p>
          <w:p w14:paraId="6C78BED0" w14:textId="77777777" w:rsidR="00803B2F" w:rsidRDefault="00A02157">
            <w:pPr>
              <w:spacing w:after="0" w:line="259" w:lineRule="auto"/>
              <w:ind w:left="0" w:firstLine="0"/>
              <w:jc w:val="left"/>
            </w:pPr>
            <w:r>
              <w:rPr>
                <w:b/>
              </w:rPr>
              <w:t>Approach</w:t>
            </w:r>
            <w:r>
              <w:t xml:space="preserve"> </w:t>
            </w:r>
          </w:p>
        </w:tc>
      </w:tr>
      <w:tr w:rsidR="00803B2F" w14:paraId="4ABF3697" w14:textId="77777777">
        <w:trPr>
          <w:trHeight w:val="1730"/>
        </w:trPr>
        <w:tc>
          <w:tcPr>
            <w:tcW w:w="2601" w:type="dxa"/>
            <w:tcBorders>
              <w:top w:val="single" w:sz="4" w:space="0" w:color="000000"/>
              <w:left w:val="single" w:sz="4" w:space="0" w:color="000000"/>
              <w:bottom w:val="single" w:sz="4" w:space="0" w:color="000000"/>
              <w:right w:val="single" w:sz="4" w:space="0" w:color="000000"/>
            </w:tcBorders>
          </w:tcPr>
          <w:p w14:paraId="18C5084C" w14:textId="77777777" w:rsidR="00803B2F" w:rsidRDefault="00A02157">
            <w:pPr>
              <w:spacing w:after="0" w:line="259" w:lineRule="auto"/>
              <w:ind w:left="0" w:firstLine="0"/>
            </w:pPr>
            <w:r>
              <w:t xml:space="preserve">Manage closely (high power, high interest) </w:t>
            </w:r>
          </w:p>
        </w:tc>
        <w:tc>
          <w:tcPr>
            <w:tcW w:w="3001" w:type="dxa"/>
            <w:tcBorders>
              <w:top w:val="single" w:sz="4" w:space="0" w:color="000000"/>
              <w:left w:val="single" w:sz="4" w:space="0" w:color="000000"/>
              <w:bottom w:val="single" w:sz="4" w:space="0" w:color="000000"/>
              <w:right w:val="single" w:sz="4" w:space="0" w:color="000000"/>
            </w:tcBorders>
            <w:vAlign w:val="center"/>
          </w:tcPr>
          <w:p w14:paraId="59DC1C75" w14:textId="77777777" w:rsidR="00803B2F" w:rsidRDefault="00A02157">
            <w:pPr>
              <w:spacing w:after="0" w:line="358" w:lineRule="auto"/>
              <w:ind w:left="0" w:firstLine="0"/>
            </w:pPr>
            <w:r>
              <w:t xml:space="preserve">Executive sponsor, franchise partners, information </w:t>
            </w:r>
          </w:p>
          <w:p w14:paraId="6C3C8DF7" w14:textId="77777777" w:rsidR="00803B2F" w:rsidRDefault="00A02157">
            <w:pPr>
              <w:spacing w:after="0" w:line="259" w:lineRule="auto"/>
              <w:ind w:left="0" w:firstLine="0"/>
              <w:jc w:val="left"/>
            </w:pPr>
            <w:r>
              <w:t xml:space="preserve">technology team, regulators </w:t>
            </w:r>
          </w:p>
        </w:tc>
        <w:tc>
          <w:tcPr>
            <w:tcW w:w="3402" w:type="dxa"/>
            <w:tcBorders>
              <w:top w:val="single" w:sz="4" w:space="0" w:color="000000"/>
              <w:left w:val="single" w:sz="4" w:space="0" w:color="000000"/>
              <w:bottom w:val="single" w:sz="4" w:space="0" w:color="000000"/>
              <w:right w:val="single" w:sz="4" w:space="0" w:color="000000"/>
            </w:tcBorders>
            <w:vAlign w:val="center"/>
          </w:tcPr>
          <w:p w14:paraId="6A1F3849" w14:textId="77777777" w:rsidR="00803B2F" w:rsidRDefault="00A02157">
            <w:pPr>
              <w:spacing w:after="0" w:line="259" w:lineRule="auto"/>
              <w:ind w:left="0" w:right="66" w:firstLine="0"/>
            </w:pPr>
            <w:r>
              <w:t xml:space="preserve">Active partnership, frequent direct dialogue and involvement in key decisions. </w:t>
            </w:r>
          </w:p>
        </w:tc>
      </w:tr>
      <w:tr w:rsidR="00803B2F" w14:paraId="7FECE4E9" w14:textId="77777777">
        <w:trPr>
          <w:trHeight w:val="1735"/>
        </w:trPr>
        <w:tc>
          <w:tcPr>
            <w:tcW w:w="2601" w:type="dxa"/>
            <w:tcBorders>
              <w:top w:val="single" w:sz="4" w:space="0" w:color="000000"/>
              <w:left w:val="single" w:sz="4" w:space="0" w:color="000000"/>
              <w:bottom w:val="single" w:sz="4" w:space="0" w:color="000000"/>
              <w:right w:val="single" w:sz="4" w:space="0" w:color="000000"/>
            </w:tcBorders>
          </w:tcPr>
          <w:p w14:paraId="249E122D" w14:textId="77777777" w:rsidR="00803B2F" w:rsidRDefault="00A02157">
            <w:pPr>
              <w:spacing w:after="0" w:line="259" w:lineRule="auto"/>
              <w:ind w:left="0" w:firstLine="0"/>
            </w:pPr>
            <w:r>
              <w:t xml:space="preserve">Keep satisfied (high power, low interest) </w:t>
            </w:r>
          </w:p>
        </w:tc>
        <w:tc>
          <w:tcPr>
            <w:tcW w:w="3001" w:type="dxa"/>
            <w:tcBorders>
              <w:top w:val="single" w:sz="4" w:space="0" w:color="000000"/>
              <w:left w:val="single" w:sz="4" w:space="0" w:color="000000"/>
              <w:bottom w:val="single" w:sz="4" w:space="0" w:color="000000"/>
              <w:right w:val="single" w:sz="4" w:space="0" w:color="000000"/>
            </w:tcBorders>
            <w:vAlign w:val="center"/>
          </w:tcPr>
          <w:p w14:paraId="5F2C2196" w14:textId="77777777" w:rsidR="00803B2F" w:rsidRDefault="00A02157">
            <w:pPr>
              <w:spacing w:after="0" w:line="358" w:lineRule="auto"/>
              <w:ind w:left="0" w:firstLine="0"/>
            </w:pPr>
            <w:r>
              <w:t xml:space="preserve">Shareholders and investors, senior competitor </w:t>
            </w:r>
          </w:p>
          <w:p w14:paraId="3B115E25" w14:textId="77777777" w:rsidR="00803B2F" w:rsidRDefault="00A02157">
            <w:pPr>
              <w:spacing w:after="0" w:line="259" w:lineRule="auto"/>
              <w:ind w:left="0" w:firstLine="0"/>
              <w:jc w:val="left"/>
            </w:pPr>
            <w:r>
              <w:t xml:space="preserve">benchmarking bodies </w:t>
            </w:r>
          </w:p>
        </w:tc>
        <w:tc>
          <w:tcPr>
            <w:tcW w:w="3402" w:type="dxa"/>
            <w:tcBorders>
              <w:top w:val="single" w:sz="4" w:space="0" w:color="000000"/>
              <w:left w:val="single" w:sz="4" w:space="0" w:color="000000"/>
              <w:bottom w:val="single" w:sz="4" w:space="0" w:color="000000"/>
              <w:right w:val="single" w:sz="4" w:space="0" w:color="000000"/>
            </w:tcBorders>
            <w:vAlign w:val="center"/>
          </w:tcPr>
          <w:p w14:paraId="24558570" w14:textId="77777777" w:rsidR="00803B2F" w:rsidRDefault="00A02157">
            <w:pPr>
              <w:spacing w:after="0" w:line="259" w:lineRule="auto"/>
              <w:ind w:left="0" w:right="65" w:firstLine="0"/>
            </w:pPr>
            <w:r>
              <w:t xml:space="preserve">Regular high-level reporting without overwhelming detail; maintain confidence. </w:t>
            </w:r>
          </w:p>
        </w:tc>
      </w:tr>
      <w:tr w:rsidR="00803B2F" w14:paraId="78B9E681" w14:textId="77777777">
        <w:trPr>
          <w:trHeight w:val="1731"/>
        </w:trPr>
        <w:tc>
          <w:tcPr>
            <w:tcW w:w="2601" w:type="dxa"/>
            <w:tcBorders>
              <w:top w:val="single" w:sz="4" w:space="0" w:color="000000"/>
              <w:left w:val="single" w:sz="4" w:space="0" w:color="000000"/>
              <w:bottom w:val="single" w:sz="4" w:space="0" w:color="000000"/>
              <w:right w:val="single" w:sz="4" w:space="0" w:color="000000"/>
            </w:tcBorders>
          </w:tcPr>
          <w:p w14:paraId="3E16CCEF" w14:textId="77777777" w:rsidR="00803B2F" w:rsidRDefault="00A02157">
            <w:pPr>
              <w:tabs>
                <w:tab w:val="center" w:pos="1222"/>
                <w:tab w:val="right" w:pos="2445"/>
              </w:tabs>
              <w:spacing w:after="116" w:line="259" w:lineRule="auto"/>
              <w:ind w:left="0" w:firstLine="0"/>
              <w:jc w:val="left"/>
            </w:pPr>
            <w:r>
              <w:t xml:space="preserve">Keep </w:t>
            </w:r>
            <w:r>
              <w:tab/>
              <w:t xml:space="preserve">informed </w:t>
            </w:r>
            <w:r>
              <w:tab/>
              <w:t xml:space="preserve">(low </w:t>
            </w:r>
          </w:p>
          <w:p w14:paraId="0BC0C445" w14:textId="77777777" w:rsidR="00803B2F" w:rsidRDefault="00A02157">
            <w:pPr>
              <w:spacing w:after="0" w:line="259" w:lineRule="auto"/>
              <w:ind w:left="0" w:firstLine="0"/>
              <w:jc w:val="left"/>
            </w:pPr>
            <w:r>
              <w:t xml:space="preserve">power, high interest) </w:t>
            </w:r>
          </w:p>
        </w:tc>
        <w:tc>
          <w:tcPr>
            <w:tcW w:w="3001" w:type="dxa"/>
            <w:tcBorders>
              <w:top w:val="single" w:sz="4" w:space="0" w:color="000000"/>
              <w:left w:val="single" w:sz="4" w:space="0" w:color="000000"/>
              <w:bottom w:val="single" w:sz="4" w:space="0" w:color="000000"/>
              <w:right w:val="single" w:sz="4" w:space="0" w:color="000000"/>
            </w:tcBorders>
            <w:vAlign w:val="center"/>
          </w:tcPr>
          <w:p w14:paraId="7D363D91" w14:textId="77777777" w:rsidR="00803B2F" w:rsidRDefault="00A02157">
            <w:pPr>
              <w:spacing w:after="0" w:line="259" w:lineRule="auto"/>
              <w:ind w:left="0" w:right="65" w:firstLine="0"/>
            </w:pPr>
            <w:r>
              <w:t xml:space="preserve">Guests and loyalty members, front line staff, local communities </w:t>
            </w:r>
          </w:p>
        </w:tc>
        <w:tc>
          <w:tcPr>
            <w:tcW w:w="3402" w:type="dxa"/>
            <w:tcBorders>
              <w:top w:val="single" w:sz="4" w:space="0" w:color="000000"/>
              <w:left w:val="single" w:sz="4" w:space="0" w:color="000000"/>
              <w:bottom w:val="single" w:sz="4" w:space="0" w:color="000000"/>
              <w:right w:val="single" w:sz="4" w:space="0" w:color="000000"/>
            </w:tcBorders>
            <w:vAlign w:val="center"/>
          </w:tcPr>
          <w:p w14:paraId="24E4CDDA" w14:textId="77777777" w:rsidR="00803B2F" w:rsidRDefault="00A02157">
            <w:pPr>
              <w:spacing w:after="0" w:line="259" w:lineRule="auto"/>
              <w:ind w:left="0" w:firstLine="0"/>
              <w:jc w:val="left"/>
            </w:pPr>
            <w:r>
              <w:t xml:space="preserve">Transparent, </w:t>
            </w:r>
            <w:r>
              <w:tab/>
              <w:t xml:space="preserve">accessible communication and channels for feedback. </w:t>
            </w:r>
          </w:p>
        </w:tc>
      </w:tr>
      <w:tr w:rsidR="00803B2F" w14:paraId="01BA292F" w14:textId="77777777">
        <w:trPr>
          <w:trHeight w:val="1730"/>
        </w:trPr>
        <w:tc>
          <w:tcPr>
            <w:tcW w:w="2601" w:type="dxa"/>
            <w:tcBorders>
              <w:top w:val="single" w:sz="4" w:space="0" w:color="000000"/>
              <w:left w:val="single" w:sz="4" w:space="0" w:color="000000"/>
              <w:bottom w:val="single" w:sz="4" w:space="0" w:color="000000"/>
              <w:right w:val="single" w:sz="4" w:space="0" w:color="000000"/>
            </w:tcBorders>
          </w:tcPr>
          <w:p w14:paraId="0ECCD98E" w14:textId="77777777" w:rsidR="00803B2F" w:rsidRDefault="00A02157">
            <w:pPr>
              <w:spacing w:after="0" w:line="259" w:lineRule="auto"/>
              <w:ind w:left="0" w:firstLine="0"/>
              <w:jc w:val="left"/>
            </w:pPr>
            <w:r>
              <w:t xml:space="preserve">Monitor (low power, low interest) </w:t>
            </w:r>
          </w:p>
        </w:tc>
        <w:tc>
          <w:tcPr>
            <w:tcW w:w="3001" w:type="dxa"/>
            <w:tcBorders>
              <w:top w:val="single" w:sz="4" w:space="0" w:color="000000"/>
              <w:left w:val="single" w:sz="4" w:space="0" w:color="000000"/>
              <w:bottom w:val="single" w:sz="4" w:space="0" w:color="000000"/>
              <w:right w:val="single" w:sz="4" w:space="0" w:color="000000"/>
            </w:tcBorders>
          </w:tcPr>
          <w:p w14:paraId="63C2C545" w14:textId="77777777" w:rsidR="00803B2F" w:rsidRDefault="00A02157">
            <w:pPr>
              <w:spacing w:after="0" w:line="259" w:lineRule="auto"/>
              <w:ind w:left="0" w:firstLine="0"/>
              <w:jc w:val="left"/>
            </w:pPr>
            <w:r>
              <w:t xml:space="preserve">General </w:t>
            </w:r>
            <w:r>
              <w:tab/>
              <w:t xml:space="preserve">media, </w:t>
            </w:r>
            <w:r>
              <w:tab/>
              <w:t xml:space="preserve">indirect industry associations </w:t>
            </w:r>
          </w:p>
        </w:tc>
        <w:tc>
          <w:tcPr>
            <w:tcW w:w="3402" w:type="dxa"/>
            <w:tcBorders>
              <w:top w:val="single" w:sz="4" w:space="0" w:color="000000"/>
              <w:left w:val="single" w:sz="4" w:space="0" w:color="000000"/>
              <w:bottom w:val="single" w:sz="4" w:space="0" w:color="000000"/>
              <w:right w:val="single" w:sz="4" w:space="0" w:color="000000"/>
            </w:tcBorders>
            <w:vAlign w:val="center"/>
          </w:tcPr>
          <w:p w14:paraId="4216DA1C" w14:textId="77777777" w:rsidR="00803B2F" w:rsidRDefault="00A02157">
            <w:pPr>
              <w:spacing w:after="0" w:line="259" w:lineRule="auto"/>
              <w:ind w:left="0" w:right="65" w:firstLine="0"/>
            </w:pPr>
            <w:r>
              <w:t xml:space="preserve">Minimal, efficient communication; monitor for change in interest or power. </w:t>
            </w:r>
          </w:p>
        </w:tc>
      </w:tr>
    </w:tbl>
    <w:p w14:paraId="5DCAAEB6" w14:textId="77777777" w:rsidR="00803B2F" w:rsidRDefault="00A02157">
      <w:pPr>
        <w:spacing w:after="308" w:line="259" w:lineRule="auto"/>
        <w:ind w:left="0" w:firstLine="0"/>
        <w:jc w:val="left"/>
      </w:pPr>
      <w:r>
        <w:rPr>
          <w:b/>
        </w:rPr>
        <w:t xml:space="preserve"> </w:t>
      </w:r>
    </w:p>
    <w:p w14:paraId="439D76A1" w14:textId="77777777" w:rsidR="00803B2F" w:rsidRDefault="00A02157">
      <w:pPr>
        <w:spacing w:after="0" w:line="259" w:lineRule="auto"/>
        <w:ind w:left="0" w:firstLine="0"/>
        <w:jc w:val="left"/>
      </w:pPr>
      <w:r>
        <w:rPr>
          <w:b/>
        </w:rPr>
        <w:t xml:space="preserve"> </w:t>
      </w:r>
      <w:r>
        <w:rPr>
          <w:b/>
        </w:rPr>
        <w:tab/>
        <w:t xml:space="preserve"> </w:t>
      </w:r>
    </w:p>
    <w:p w14:paraId="0ADCC84C" w14:textId="77777777" w:rsidR="00803B2F" w:rsidRDefault="00A02157">
      <w:pPr>
        <w:pStyle w:val="Heading2"/>
        <w:spacing w:after="0"/>
        <w:ind w:left="-5"/>
      </w:pPr>
      <w:r>
        <w:t>5.2 Stakeholder Engagement Plan</w:t>
      </w:r>
      <w:r>
        <w:rPr>
          <w:b w:val="0"/>
        </w:rPr>
        <w:t xml:space="preserve"> </w:t>
      </w:r>
    </w:p>
    <w:tbl>
      <w:tblPr>
        <w:tblStyle w:val="TableGrid"/>
        <w:tblW w:w="8604" w:type="dxa"/>
        <w:tblInd w:w="5" w:type="dxa"/>
        <w:tblCellMar>
          <w:top w:w="304" w:type="dxa"/>
          <w:left w:w="110" w:type="dxa"/>
          <w:right w:w="47" w:type="dxa"/>
        </w:tblCellMar>
        <w:tblLook w:val="04A0" w:firstRow="1" w:lastRow="0" w:firstColumn="1" w:lastColumn="0" w:noHBand="0" w:noVBand="1"/>
      </w:tblPr>
      <w:tblGrid>
        <w:gridCol w:w="2201"/>
        <w:gridCol w:w="2401"/>
        <w:gridCol w:w="2601"/>
        <w:gridCol w:w="1401"/>
      </w:tblGrid>
      <w:tr w:rsidR="00803B2F" w14:paraId="1B73C766" w14:textId="77777777">
        <w:trPr>
          <w:trHeight w:val="1315"/>
        </w:trPr>
        <w:tc>
          <w:tcPr>
            <w:tcW w:w="2201" w:type="dxa"/>
            <w:tcBorders>
              <w:top w:val="single" w:sz="4" w:space="0" w:color="000000"/>
              <w:left w:val="single" w:sz="4" w:space="0" w:color="000000"/>
              <w:bottom w:val="single" w:sz="4" w:space="0" w:color="000000"/>
              <w:right w:val="single" w:sz="4" w:space="0" w:color="000000"/>
            </w:tcBorders>
          </w:tcPr>
          <w:p w14:paraId="52FCBBDD" w14:textId="77777777" w:rsidR="00803B2F" w:rsidRDefault="00A02157">
            <w:pPr>
              <w:spacing w:after="0" w:line="259" w:lineRule="auto"/>
              <w:ind w:left="0" w:firstLine="0"/>
              <w:jc w:val="left"/>
            </w:pPr>
            <w:r>
              <w:rPr>
                <w:b/>
              </w:rPr>
              <w:t xml:space="preserve">Stakeholder </w:t>
            </w:r>
          </w:p>
        </w:tc>
        <w:tc>
          <w:tcPr>
            <w:tcW w:w="2401" w:type="dxa"/>
            <w:tcBorders>
              <w:top w:val="single" w:sz="4" w:space="0" w:color="000000"/>
              <w:left w:val="single" w:sz="4" w:space="0" w:color="000000"/>
              <w:bottom w:val="single" w:sz="4" w:space="0" w:color="000000"/>
              <w:right w:val="single" w:sz="4" w:space="0" w:color="000000"/>
            </w:tcBorders>
            <w:vAlign w:val="center"/>
          </w:tcPr>
          <w:p w14:paraId="44BFE63A" w14:textId="77777777" w:rsidR="00803B2F" w:rsidRDefault="00A02157">
            <w:pPr>
              <w:spacing w:after="119" w:line="259" w:lineRule="auto"/>
              <w:ind w:left="0" w:firstLine="0"/>
              <w:jc w:val="left"/>
            </w:pPr>
            <w:r>
              <w:rPr>
                <w:b/>
              </w:rPr>
              <w:t xml:space="preserve">Engagement </w:t>
            </w:r>
          </w:p>
          <w:p w14:paraId="10F009DA" w14:textId="77777777" w:rsidR="00803B2F" w:rsidRDefault="00A02157">
            <w:pPr>
              <w:spacing w:after="0" w:line="259" w:lineRule="auto"/>
              <w:ind w:left="0" w:firstLine="0"/>
              <w:jc w:val="left"/>
            </w:pPr>
            <w:r>
              <w:rPr>
                <w:b/>
              </w:rPr>
              <w:t>Objective</w:t>
            </w:r>
            <w:r>
              <w:t xml:space="preserve"> </w:t>
            </w:r>
          </w:p>
        </w:tc>
        <w:tc>
          <w:tcPr>
            <w:tcW w:w="2601" w:type="dxa"/>
            <w:tcBorders>
              <w:top w:val="single" w:sz="4" w:space="0" w:color="000000"/>
              <w:left w:val="single" w:sz="4" w:space="0" w:color="000000"/>
              <w:bottom w:val="single" w:sz="4" w:space="0" w:color="000000"/>
              <w:right w:val="single" w:sz="4" w:space="0" w:color="000000"/>
            </w:tcBorders>
          </w:tcPr>
          <w:p w14:paraId="63B6AE4F" w14:textId="77777777" w:rsidR="00803B2F" w:rsidRDefault="00A02157">
            <w:pPr>
              <w:spacing w:after="0" w:line="259" w:lineRule="auto"/>
              <w:ind w:left="0" w:firstLine="0"/>
              <w:jc w:val="left"/>
            </w:pPr>
            <w:r>
              <w:rPr>
                <w:b/>
              </w:rPr>
              <w:t>Method</w:t>
            </w:r>
            <w:r>
              <w:t xml:space="preserve"> </w:t>
            </w:r>
          </w:p>
        </w:tc>
        <w:tc>
          <w:tcPr>
            <w:tcW w:w="1401" w:type="dxa"/>
            <w:tcBorders>
              <w:top w:val="single" w:sz="4" w:space="0" w:color="000000"/>
              <w:left w:val="single" w:sz="4" w:space="0" w:color="000000"/>
              <w:bottom w:val="single" w:sz="4" w:space="0" w:color="000000"/>
              <w:right w:val="single" w:sz="4" w:space="0" w:color="000000"/>
            </w:tcBorders>
          </w:tcPr>
          <w:p w14:paraId="7249FCCA" w14:textId="77777777" w:rsidR="00803B2F" w:rsidRDefault="00A02157">
            <w:pPr>
              <w:spacing w:after="0" w:line="259" w:lineRule="auto"/>
              <w:ind w:left="0" w:firstLine="0"/>
              <w:jc w:val="left"/>
            </w:pPr>
            <w:r>
              <w:rPr>
                <w:b/>
              </w:rPr>
              <w:t>Frequency</w:t>
            </w:r>
            <w:r>
              <w:t xml:space="preserve"> </w:t>
            </w:r>
          </w:p>
        </w:tc>
      </w:tr>
      <w:tr w:rsidR="00803B2F" w14:paraId="44BA8DCB" w14:textId="77777777">
        <w:trPr>
          <w:trHeight w:val="1736"/>
        </w:trPr>
        <w:tc>
          <w:tcPr>
            <w:tcW w:w="2201" w:type="dxa"/>
            <w:tcBorders>
              <w:top w:val="single" w:sz="4" w:space="0" w:color="000000"/>
              <w:left w:val="single" w:sz="4" w:space="0" w:color="000000"/>
              <w:bottom w:val="single" w:sz="4" w:space="0" w:color="000000"/>
              <w:right w:val="single" w:sz="4" w:space="0" w:color="000000"/>
            </w:tcBorders>
          </w:tcPr>
          <w:p w14:paraId="43B54AD4" w14:textId="77777777" w:rsidR="00803B2F" w:rsidRDefault="00A02157">
            <w:pPr>
              <w:spacing w:after="0" w:line="259" w:lineRule="auto"/>
              <w:ind w:left="0" w:firstLine="0"/>
              <w:jc w:val="left"/>
            </w:pPr>
            <w:r>
              <w:rPr>
                <w:b/>
              </w:rPr>
              <w:t xml:space="preserve">Franchise partners </w:t>
            </w:r>
          </w:p>
        </w:tc>
        <w:tc>
          <w:tcPr>
            <w:tcW w:w="2401" w:type="dxa"/>
            <w:tcBorders>
              <w:top w:val="single" w:sz="4" w:space="0" w:color="000000"/>
              <w:left w:val="single" w:sz="4" w:space="0" w:color="000000"/>
              <w:bottom w:val="single" w:sz="4" w:space="0" w:color="000000"/>
              <w:right w:val="single" w:sz="4" w:space="0" w:color="000000"/>
            </w:tcBorders>
            <w:vAlign w:val="center"/>
          </w:tcPr>
          <w:p w14:paraId="1D047864" w14:textId="77777777" w:rsidR="00803B2F" w:rsidRDefault="00A02157">
            <w:pPr>
              <w:spacing w:after="0" w:line="259" w:lineRule="auto"/>
              <w:ind w:left="0" w:right="60" w:firstLine="0"/>
            </w:pPr>
            <w:r>
              <w:t xml:space="preserve">Secure buy in and local investment commitment </w:t>
            </w:r>
          </w:p>
        </w:tc>
        <w:tc>
          <w:tcPr>
            <w:tcW w:w="2601" w:type="dxa"/>
            <w:tcBorders>
              <w:top w:val="single" w:sz="4" w:space="0" w:color="000000"/>
              <w:left w:val="single" w:sz="4" w:space="0" w:color="000000"/>
              <w:bottom w:val="single" w:sz="4" w:space="0" w:color="000000"/>
              <w:right w:val="single" w:sz="4" w:space="0" w:color="000000"/>
            </w:tcBorders>
            <w:vAlign w:val="center"/>
          </w:tcPr>
          <w:p w14:paraId="4F8B51D8" w14:textId="77777777" w:rsidR="00803B2F" w:rsidRDefault="00A02157">
            <w:pPr>
              <w:spacing w:after="1" w:line="358" w:lineRule="auto"/>
              <w:ind w:left="0" w:firstLine="0"/>
            </w:pPr>
            <w:r>
              <w:t xml:space="preserve">Regional briefings, business case </w:t>
            </w:r>
          </w:p>
          <w:p w14:paraId="2ECFAA2E" w14:textId="77777777" w:rsidR="00803B2F" w:rsidRDefault="00A02157">
            <w:pPr>
              <w:spacing w:after="0" w:line="259" w:lineRule="auto"/>
              <w:ind w:left="0" w:firstLine="0"/>
              <w:jc w:val="left"/>
            </w:pPr>
            <w:r>
              <w:t xml:space="preserve">presentations, site visits </w:t>
            </w:r>
          </w:p>
        </w:tc>
        <w:tc>
          <w:tcPr>
            <w:tcW w:w="1401" w:type="dxa"/>
            <w:tcBorders>
              <w:top w:val="single" w:sz="4" w:space="0" w:color="000000"/>
              <w:left w:val="single" w:sz="4" w:space="0" w:color="000000"/>
              <w:bottom w:val="single" w:sz="4" w:space="0" w:color="000000"/>
              <w:right w:val="single" w:sz="4" w:space="0" w:color="000000"/>
            </w:tcBorders>
          </w:tcPr>
          <w:p w14:paraId="6FC070F6" w14:textId="77777777" w:rsidR="00803B2F" w:rsidRDefault="00A02157">
            <w:pPr>
              <w:spacing w:after="0" w:line="259" w:lineRule="auto"/>
              <w:ind w:left="0" w:firstLine="0"/>
              <w:jc w:val="left"/>
            </w:pPr>
            <w:r>
              <w:t xml:space="preserve">Monthly </w:t>
            </w:r>
          </w:p>
        </w:tc>
      </w:tr>
      <w:tr w:rsidR="00803B2F" w14:paraId="1B1CDF27" w14:textId="77777777">
        <w:trPr>
          <w:trHeight w:val="1730"/>
        </w:trPr>
        <w:tc>
          <w:tcPr>
            <w:tcW w:w="2201" w:type="dxa"/>
            <w:tcBorders>
              <w:top w:val="single" w:sz="4" w:space="0" w:color="000000"/>
              <w:left w:val="single" w:sz="4" w:space="0" w:color="000000"/>
              <w:bottom w:val="single" w:sz="4" w:space="0" w:color="000000"/>
              <w:right w:val="single" w:sz="4" w:space="0" w:color="000000"/>
            </w:tcBorders>
          </w:tcPr>
          <w:p w14:paraId="43DE8B53" w14:textId="77777777" w:rsidR="00803B2F" w:rsidRDefault="00A02157">
            <w:pPr>
              <w:spacing w:after="115" w:line="259" w:lineRule="auto"/>
              <w:ind w:left="0" w:firstLine="0"/>
              <w:jc w:val="left"/>
            </w:pPr>
            <w:r>
              <w:rPr>
                <w:b/>
              </w:rPr>
              <w:t xml:space="preserve">Guests and loyalty </w:t>
            </w:r>
          </w:p>
          <w:p w14:paraId="4B93BC2E" w14:textId="77777777" w:rsidR="00803B2F" w:rsidRDefault="00A02157">
            <w:pPr>
              <w:spacing w:after="0" w:line="259" w:lineRule="auto"/>
              <w:ind w:left="0" w:firstLine="0"/>
              <w:jc w:val="left"/>
            </w:pPr>
            <w:r>
              <w:rPr>
                <w:b/>
              </w:rPr>
              <w:t xml:space="preserve">members </w:t>
            </w:r>
          </w:p>
        </w:tc>
        <w:tc>
          <w:tcPr>
            <w:tcW w:w="2401" w:type="dxa"/>
            <w:tcBorders>
              <w:top w:val="single" w:sz="4" w:space="0" w:color="000000"/>
              <w:left w:val="single" w:sz="4" w:space="0" w:color="000000"/>
              <w:bottom w:val="single" w:sz="4" w:space="0" w:color="000000"/>
              <w:right w:val="single" w:sz="4" w:space="0" w:color="000000"/>
            </w:tcBorders>
          </w:tcPr>
          <w:p w14:paraId="7DA7000E" w14:textId="77777777" w:rsidR="00803B2F" w:rsidRDefault="00A02157">
            <w:pPr>
              <w:tabs>
                <w:tab w:val="center" w:pos="1183"/>
                <w:tab w:val="right" w:pos="2245"/>
              </w:tabs>
              <w:spacing w:after="121" w:line="259" w:lineRule="auto"/>
              <w:ind w:left="0" w:firstLine="0"/>
              <w:jc w:val="left"/>
            </w:pPr>
            <w:r>
              <w:t xml:space="preserve">Build </w:t>
            </w:r>
            <w:r>
              <w:tab/>
              <w:t xml:space="preserve">trust </w:t>
            </w:r>
            <w:r>
              <w:tab/>
              <w:t xml:space="preserve">and </w:t>
            </w:r>
          </w:p>
          <w:p w14:paraId="0ABA2701" w14:textId="77777777" w:rsidR="00803B2F" w:rsidRDefault="00A02157">
            <w:pPr>
              <w:spacing w:after="0" w:line="259" w:lineRule="auto"/>
              <w:ind w:left="0" w:firstLine="0"/>
              <w:jc w:val="left"/>
            </w:pPr>
            <w:r>
              <w:t xml:space="preserve">encourage adoption </w:t>
            </w:r>
          </w:p>
        </w:tc>
        <w:tc>
          <w:tcPr>
            <w:tcW w:w="2601" w:type="dxa"/>
            <w:tcBorders>
              <w:top w:val="single" w:sz="4" w:space="0" w:color="000000"/>
              <w:left w:val="single" w:sz="4" w:space="0" w:color="000000"/>
              <w:bottom w:val="single" w:sz="4" w:space="0" w:color="000000"/>
              <w:right w:val="single" w:sz="4" w:space="0" w:color="000000"/>
            </w:tcBorders>
            <w:vAlign w:val="center"/>
          </w:tcPr>
          <w:p w14:paraId="227705E4" w14:textId="77777777" w:rsidR="00803B2F" w:rsidRDefault="00A02157">
            <w:pPr>
              <w:spacing w:after="0" w:line="259" w:lineRule="auto"/>
              <w:ind w:left="0" w:firstLine="0"/>
              <w:jc w:val="left"/>
            </w:pPr>
            <w:r>
              <w:t xml:space="preserve">In app communication, surveys, pilot feedback sessions </w:t>
            </w:r>
          </w:p>
        </w:tc>
        <w:tc>
          <w:tcPr>
            <w:tcW w:w="1401" w:type="dxa"/>
            <w:tcBorders>
              <w:top w:val="single" w:sz="4" w:space="0" w:color="000000"/>
              <w:left w:val="single" w:sz="4" w:space="0" w:color="000000"/>
              <w:bottom w:val="single" w:sz="4" w:space="0" w:color="000000"/>
              <w:right w:val="single" w:sz="4" w:space="0" w:color="000000"/>
            </w:tcBorders>
            <w:vAlign w:val="center"/>
          </w:tcPr>
          <w:p w14:paraId="4B29BBF7" w14:textId="77777777" w:rsidR="00803B2F" w:rsidRDefault="00A02157">
            <w:pPr>
              <w:spacing w:after="0" w:line="259" w:lineRule="auto"/>
              <w:ind w:left="0" w:right="3" w:firstLine="0"/>
              <w:jc w:val="left"/>
            </w:pPr>
            <w:r>
              <w:t xml:space="preserve">Ongoing through pilot </w:t>
            </w:r>
          </w:p>
        </w:tc>
      </w:tr>
      <w:tr w:rsidR="00803B2F" w14:paraId="5D8D60F7" w14:textId="77777777">
        <w:trPr>
          <w:trHeight w:val="1735"/>
        </w:trPr>
        <w:tc>
          <w:tcPr>
            <w:tcW w:w="2201" w:type="dxa"/>
            <w:tcBorders>
              <w:top w:val="single" w:sz="4" w:space="0" w:color="000000"/>
              <w:left w:val="single" w:sz="4" w:space="0" w:color="000000"/>
              <w:bottom w:val="single" w:sz="4" w:space="0" w:color="000000"/>
              <w:right w:val="single" w:sz="4" w:space="0" w:color="000000"/>
            </w:tcBorders>
          </w:tcPr>
          <w:p w14:paraId="3DA9AEA3" w14:textId="77777777" w:rsidR="00803B2F" w:rsidRDefault="00A02157">
            <w:pPr>
              <w:spacing w:after="0" w:line="259" w:lineRule="auto"/>
              <w:ind w:left="0" w:firstLine="0"/>
              <w:jc w:val="left"/>
            </w:pPr>
            <w:r>
              <w:rPr>
                <w:b/>
              </w:rPr>
              <w:t xml:space="preserve">Employees </w:t>
            </w:r>
          </w:p>
        </w:tc>
        <w:tc>
          <w:tcPr>
            <w:tcW w:w="2401" w:type="dxa"/>
            <w:tcBorders>
              <w:top w:val="single" w:sz="4" w:space="0" w:color="000000"/>
              <w:left w:val="single" w:sz="4" w:space="0" w:color="000000"/>
              <w:bottom w:val="single" w:sz="4" w:space="0" w:color="000000"/>
              <w:right w:val="single" w:sz="4" w:space="0" w:color="000000"/>
            </w:tcBorders>
            <w:vAlign w:val="center"/>
          </w:tcPr>
          <w:p w14:paraId="319D8A64" w14:textId="77777777" w:rsidR="00803B2F" w:rsidRDefault="00A02157">
            <w:pPr>
              <w:spacing w:after="0" w:line="259" w:lineRule="auto"/>
              <w:ind w:left="0" w:right="66" w:firstLine="0"/>
            </w:pPr>
            <w:r>
              <w:t xml:space="preserve">Build capability and reduce resistance to change </w:t>
            </w:r>
          </w:p>
        </w:tc>
        <w:tc>
          <w:tcPr>
            <w:tcW w:w="2601" w:type="dxa"/>
            <w:tcBorders>
              <w:top w:val="single" w:sz="4" w:space="0" w:color="000000"/>
              <w:left w:val="single" w:sz="4" w:space="0" w:color="000000"/>
              <w:bottom w:val="single" w:sz="4" w:space="0" w:color="000000"/>
              <w:right w:val="single" w:sz="4" w:space="0" w:color="000000"/>
            </w:tcBorders>
          </w:tcPr>
          <w:p w14:paraId="03D2FCBE" w14:textId="77777777" w:rsidR="00803B2F" w:rsidRDefault="00A02157">
            <w:pPr>
              <w:spacing w:after="0" w:line="259" w:lineRule="auto"/>
              <w:ind w:left="0" w:firstLine="0"/>
            </w:pPr>
            <w:r>
              <w:t xml:space="preserve">Workshops, e learning, manager led briefings </w:t>
            </w:r>
          </w:p>
        </w:tc>
        <w:tc>
          <w:tcPr>
            <w:tcW w:w="1401" w:type="dxa"/>
            <w:tcBorders>
              <w:top w:val="single" w:sz="4" w:space="0" w:color="000000"/>
              <w:left w:val="single" w:sz="4" w:space="0" w:color="000000"/>
              <w:bottom w:val="single" w:sz="4" w:space="0" w:color="000000"/>
              <w:right w:val="single" w:sz="4" w:space="0" w:color="000000"/>
            </w:tcBorders>
            <w:vAlign w:val="center"/>
          </w:tcPr>
          <w:p w14:paraId="5036B367" w14:textId="77777777" w:rsidR="00803B2F" w:rsidRDefault="00A02157">
            <w:pPr>
              <w:spacing w:after="0" w:line="259" w:lineRule="auto"/>
              <w:ind w:left="0" w:firstLine="0"/>
              <w:jc w:val="left"/>
            </w:pPr>
            <w:r>
              <w:t xml:space="preserve">Weekly during rollout </w:t>
            </w:r>
          </w:p>
        </w:tc>
      </w:tr>
      <w:tr w:rsidR="00803B2F" w14:paraId="2132E136" w14:textId="77777777">
        <w:trPr>
          <w:trHeight w:val="1731"/>
        </w:trPr>
        <w:tc>
          <w:tcPr>
            <w:tcW w:w="2201" w:type="dxa"/>
            <w:tcBorders>
              <w:top w:val="single" w:sz="4" w:space="0" w:color="000000"/>
              <w:left w:val="single" w:sz="4" w:space="0" w:color="000000"/>
              <w:bottom w:val="single" w:sz="4" w:space="0" w:color="000000"/>
              <w:right w:val="single" w:sz="4" w:space="0" w:color="000000"/>
            </w:tcBorders>
          </w:tcPr>
          <w:p w14:paraId="13CDC8D0" w14:textId="77777777" w:rsidR="00803B2F" w:rsidRDefault="00A02157">
            <w:pPr>
              <w:spacing w:after="0" w:line="259" w:lineRule="auto"/>
              <w:ind w:left="0" w:firstLine="0"/>
              <w:jc w:val="left"/>
            </w:pPr>
            <w:r>
              <w:rPr>
                <w:b/>
              </w:rPr>
              <w:t xml:space="preserve">Technology suppliers </w:t>
            </w:r>
          </w:p>
        </w:tc>
        <w:tc>
          <w:tcPr>
            <w:tcW w:w="2401" w:type="dxa"/>
            <w:tcBorders>
              <w:top w:val="single" w:sz="4" w:space="0" w:color="000000"/>
              <w:left w:val="single" w:sz="4" w:space="0" w:color="000000"/>
              <w:bottom w:val="single" w:sz="4" w:space="0" w:color="000000"/>
              <w:right w:val="single" w:sz="4" w:space="0" w:color="000000"/>
            </w:tcBorders>
          </w:tcPr>
          <w:p w14:paraId="589D8850" w14:textId="77777777" w:rsidR="00803B2F" w:rsidRDefault="00A02157">
            <w:pPr>
              <w:spacing w:after="0" w:line="259" w:lineRule="auto"/>
              <w:ind w:left="0" w:firstLine="0"/>
              <w:jc w:val="left"/>
            </w:pPr>
            <w:r>
              <w:t xml:space="preserve">Ensure reliable, secure delivery </w:t>
            </w:r>
          </w:p>
        </w:tc>
        <w:tc>
          <w:tcPr>
            <w:tcW w:w="2601" w:type="dxa"/>
            <w:tcBorders>
              <w:top w:val="single" w:sz="4" w:space="0" w:color="000000"/>
              <w:left w:val="single" w:sz="4" w:space="0" w:color="000000"/>
              <w:bottom w:val="single" w:sz="4" w:space="0" w:color="000000"/>
              <w:right w:val="single" w:sz="4" w:space="0" w:color="000000"/>
            </w:tcBorders>
            <w:vAlign w:val="center"/>
          </w:tcPr>
          <w:p w14:paraId="2E833A1C" w14:textId="77777777" w:rsidR="00803B2F" w:rsidRDefault="00A02157">
            <w:pPr>
              <w:spacing w:after="4" w:line="354" w:lineRule="auto"/>
              <w:ind w:left="0" w:firstLine="0"/>
            </w:pPr>
            <w:r>
              <w:t xml:space="preserve">Joint project boards, technical review </w:t>
            </w:r>
          </w:p>
          <w:p w14:paraId="7B58FDDD" w14:textId="77777777" w:rsidR="00803B2F" w:rsidRDefault="00A02157">
            <w:pPr>
              <w:spacing w:after="0" w:line="259" w:lineRule="auto"/>
              <w:ind w:left="0" w:firstLine="0"/>
              <w:jc w:val="left"/>
            </w:pPr>
            <w:r>
              <w:t xml:space="preserve">meetings </w:t>
            </w:r>
          </w:p>
        </w:tc>
        <w:tc>
          <w:tcPr>
            <w:tcW w:w="1401" w:type="dxa"/>
            <w:tcBorders>
              <w:top w:val="single" w:sz="4" w:space="0" w:color="000000"/>
              <w:left w:val="single" w:sz="4" w:space="0" w:color="000000"/>
              <w:bottom w:val="single" w:sz="4" w:space="0" w:color="000000"/>
              <w:right w:val="single" w:sz="4" w:space="0" w:color="000000"/>
            </w:tcBorders>
          </w:tcPr>
          <w:p w14:paraId="2010023F" w14:textId="77777777" w:rsidR="00803B2F" w:rsidRDefault="00A02157">
            <w:pPr>
              <w:spacing w:after="0" w:line="259" w:lineRule="auto"/>
              <w:ind w:left="0" w:firstLine="0"/>
              <w:jc w:val="left"/>
            </w:pPr>
            <w:r>
              <w:t xml:space="preserve">Fortnightly </w:t>
            </w:r>
          </w:p>
        </w:tc>
      </w:tr>
      <w:tr w:rsidR="00803B2F" w14:paraId="7D8EC92F" w14:textId="77777777">
        <w:trPr>
          <w:trHeight w:val="1730"/>
        </w:trPr>
        <w:tc>
          <w:tcPr>
            <w:tcW w:w="2201" w:type="dxa"/>
            <w:tcBorders>
              <w:top w:val="single" w:sz="4" w:space="0" w:color="000000"/>
              <w:left w:val="single" w:sz="4" w:space="0" w:color="000000"/>
              <w:bottom w:val="single" w:sz="4" w:space="0" w:color="000000"/>
              <w:right w:val="single" w:sz="4" w:space="0" w:color="000000"/>
            </w:tcBorders>
          </w:tcPr>
          <w:p w14:paraId="37F6A28B" w14:textId="77777777" w:rsidR="00803B2F" w:rsidRDefault="00A02157">
            <w:pPr>
              <w:spacing w:after="0" w:line="259" w:lineRule="auto"/>
              <w:ind w:left="0" w:firstLine="0"/>
              <w:jc w:val="left"/>
            </w:pPr>
            <w:r>
              <w:rPr>
                <w:b/>
              </w:rPr>
              <w:t xml:space="preserve">Regulators </w:t>
            </w:r>
          </w:p>
        </w:tc>
        <w:tc>
          <w:tcPr>
            <w:tcW w:w="2401" w:type="dxa"/>
            <w:tcBorders>
              <w:top w:val="single" w:sz="4" w:space="0" w:color="000000"/>
              <w:left w:val="single" w:sz="4" w:space="0" w:color="000000"/>
              <w:bottom w:val="single" w:sz="4" w:space="0" w:color="000000"/>
              <w:right w:val="single" w:sz="4" w:space="0" w:color="000000"/>
            </w:tcBorders>
            <w:vAlign w:val="center"/>
          </w:tcPr>
          <w:p w14:paraId="0BC684BE" w14:textId="77777777" w:rsidR="00803B2F" w:rsidRDefault="00A02157">
            <w:pPr>
              <w:spacing w:after="0"/>
              <w:ind w:left="0" w:firstLine="0"/>
            </w:pPr>
            <w:r>
              <w:t xml:space="preserve">Confirm compliance and reduce approval </w:t>
            </w:r>
          </w:p>
          <w:p w14:paraId="59DF231F" w14:textId="77777777" w:rsidR="00803B2F" w:rsidRDefault="00A02157">
            <w:pPr>
              <w:spacing w:after="0" w:line="259" w:lineRule="auto"/>
              <w:ind w:left="0" w:firstLine="0"/>
              <w:jc w:val="left"/>
            </w:pPr>
            <w:r>
              <w:t xml:space="preserve">risk </w:t>
            </w:r>
          </w:p>
        </w:tc>
        <w:tc>
          <w:tcPr>
            <w:tcW w:w="2601" w:type="dxa"/>
            <w:tcBorders>
              <w:top w:val="single" w:sz="4" w:space="0" w:color="000000"/>
              <w:left w:val="single" w:sz="4" w:space="0" w:color="000000"/>
              <w:bottom w:val="single" w:sz="4" w:space="0" w:color="000000"/>
              <w:right w:val="single" w:sz="4" w:space="0" w:color="000000"/>
            </w:tcBorders>
          </w:tcPr>
          <w:p w14:paraId="60533BA5" w14:textId="77777777" w:rsidR="00803B2F" w:rsidRDefault="00A02157">
            <w:pPr>
              <w:spacing w:after="0" w:line="259" w:lineRule="auto"/>
              <w:ind w:left="0" w:firstLine="0"/>
            </w:pPr>
            <w:r>
              <w:t xml:space="preserve">Formal consultation, documentation review </w:t>
            </w:r>
          </w:p>
        </w:tc>
        <w:tc>
          <w:tcPr>
            <w:tcW w:w="1401" w:type="dxa"/>
            <w:tcBorders>
              <w:top w:val="single" w:sz="4" w:space="0" w:color="000000"/>
              <w:left w:val="single" w:sz="4" w:space="0" w:color="000000"/>
              <w:bottom w:val="single" w:sz="4" w:space="0" w:color="000000"/>
              <w:right w:val="single" w:sz="4" w:space="0" w:color="000000"/>
            </w:tcBorders>
          </w:tcPr>
          <w:p w14:paraId="74240B8B" w14:textId="77777777" w:rsidR="00803B2F" w:rsidRDefault="00A02157">
            <w:pPr>
              <w:tabs>
                <w:tab w:val="right" w:pos="1245"/>
              </w:tabs>
              <w:spacing w:after="121" w:line="259" w:lineRule="auto"/>
              <w:ind w:left="0" w:firstLine="0"/>
              <w:jc w:val="left"/>
            </w:pPr>
            <w:r>
              <w:t xml:space="preserve">At </w:t>
            </w:r>
            <w:r>
              <w:tab/>
              <w:t xml:space="preserve">key </w:t>
            </w:r>
          </w:p>
          <w:p w14:paraId="25DBD533" w14:textId="77777777" w:rsidR="00803B2F" w:rsidRDefault="00A02157">
            <w:pPr>
              <w:spacing w:after="0" w:line="259" w:lineRule="auto"/>
              <w:ind w:left="0" w:firstLine="0"/>
              <w:jc w:val="left"/>
            </w:pPr>
            <w:r>
              <w:t xml:space="preserve">milestones </w:t>
            </w:r>
          </w:p>
        </w:tc>
      </w:tr>
    </w:tbl>
    <w:p w14:paraId="69C91119" w14:textId="77777777" w:rsidR="00803B2F" w:rsidRDefault="00A02157">
      <w:pPr>
        <w:spacing w:after="309" w:line="259" w:lineRule="auto"/>
        <w:ind w:left="0" w:firstLine="0"/>
        <w:jc w:val="left"/>
      </w:pPr>
      <w:r>
        <w:rPr>
          <w:b/>
        </w:rPr>
        <w:t xml:space="preserve"> </w:t>
      </w:r>
    </w:p>
    <w:p w14:paraId="61A1E40A" w14:textId="77777777" w:rsidR="00803B2F" w:rsidRDefault="00A02157">
      <w:pPr>
        <w:spacing w:after="0" w:line="259" w:lineRule="auto"/>
        <w:ind w:left="0" w:firstLine="0"/>
        <w:jc w:val="left"/>
      </w:pPr>
      <w:r>
        <w:rPr>
          <w:b/>
        </w:rPr>
        <w:t xml:space="preserve"> </w:t>
      </w:r>
      <w:r>
        <w:rPr>
          <w:b/>
        </w:rPr>
        <w:tab/>
        <w:t xml:space="preserve"> </w:t>
      </w:r>
    </w:p>
    <w:p w14:paraId="1AB64C6B" w14:textId="77777777" w:rsidR="00803B2F" w:rsidRDefault="00A02157">
      <w:pPr>
        <w:pStyle w:val="Heading2"/>
        <w:spacing w:after="0"/>
        <w:ind w:left="-5"/>
      </w:pPr>
      <w:r>
        <w:t>5.3 Communication Plan</w:t>
      </w:r>
      <w:r>
        <w:rPr>
          <w:b w:val="0"/>
        </w:rPr>
        <w:t xml:space="preserve"> </w:t>
      </w:r>
    </w:p>
    <w:tbl>
      <w:tblPr>
        <w:tblStyle w:val="TableGrid"/>
        <w:tblW w:w="8604" w:type="dxa"/>
        <w:tblInd w:w="5" w:type="dxa"/>
        <w:tblCellMar>
          <w:top w:w="304" w:type="dxa"/>
          <w:left w:w="110" w:type="dxa"/>
          <w:right w:w="47" w:type="dxa"/>
        </w:tblCellMar>
        <w:tblLook w:val="04A0" w:firstRow="1" w:lastRow="0" w:firstColumn="1" w:lastColumn="0" w:noHBand="0" w:noVBand="1"/>
      </w:tblPr>
      <w:tblGrid>
        <w:gridCol w:w="1801"/>
        <w:gridCol w:w="3001"/>
        <w:gridCol w:w="2401"/>
        <w:gridCol w:w="1401"/>
      </w:tblGrid>
      <w:tr w:rsidR="00803B2F" w14:paraId="4FA0E8C5" w14:textId="77777777">
        <w:trPr>
          <w:trHeight w:val="905"/>
        </w:trPr>
        <w:tc>
          <w:tcPr>
            <w:tcW w:w="1801" w:type="dxa"/>
            <w:tcBorders>
              <w:top w:val="single" w:sz="4" w:space="0" w:color="000000"/>
              <w:left w:val="single" w:sz="4" w:space="0" w:color="000000"/>
              <w:bottom w:val="single" w:sz="4" w:space="0" w:color="000000"/>
              <w:right w:val="single" w:sz="4" w:space="0" w:color="000000"/>
            </w:tcBorders>
            <w:vAlign w:val="center"/>
          </w:tcPr>
          <w:p w14:paraId="5E9E7737" w14:textId="77777777" w:rsidR="00803B2F" w:rsidRDefault="00A02157">
            <w:pPr>
              <w:spacing w:after="0" w:line="259" w:lineRule="auto"/>
              <w:ind w:left="0" w:firstLine="0"/>
              <w:jc w:val="left"/>
            </w:pPr>
            <w:r>
              <w:rPr>
                <w:b/>
              </w:rPr>
              <w:t>Audience</w:t>
            </w:r>
            <w:r>
              <w:t xml:space="preserve"> </w:t>
            </w:r>
          </w:p>
        </w:tc>
        <w:tc>
          <w:tcPr>
            <w:tcW w:w="3001" w:type="dxa"/>
            <w:tcBorders>
              <w:top w:val="single" w:sz="4" w:space="0" w:color="000000"/>
              <w:left w:val="single" w:sz="4" w:space="0" w:color="000000"/>
              <w:bottom w:val="single" w:sz="4" w:space="0" w:color="000000"/>
              <w:right w:val="single" w:sz="4" w:space="0" w:color="000000"/>
            </w:tcBorders>
            <w:vAlign w:val="center"/>
          </w:tcPr>
          <w:p w14:paraId="00506ABA" w14:textId="77777777" w:rsidR="00803B2F" w:rsidRDefault="00A02157">
            <w:pPr>
              <w:spacing w:after="0" w:line="259" w:lineRule="auto"/>
              <w:ind w:left="0" w:firstLine="0"/>
              <w:jc w:val="left"/>
            </w:pPr>
            <w:r>
              <w:rPr>
                <w:b/>
              </w:rPr>
              <w:t>Key Message</w:t>
            </w:r>
            <w:r>
              <w:t xml:space="preserve"> </w:t>
            </w:r>
          </w:p>
        </w:tc>
        <w:tc>
          <w:tcPr>
            <w:tcW w:w="2401" w:type="dxa"/>
            <w:tcBorders>
              <w:top w:val="single" w:sz="4" w:space="0" w:color="000000"/>
              <w:left w:val="single" w:sz="4" w:space="0" w:color="000000"/>
              <w:bottom w:val="single" w:sz="4" w:space="0" w:color="000000"/>
              <w:right w:val="single" w:sz="4" w:space="0" w:color="000000"/>
            </w:tcBorders>
            <w:vAlign w:val="center"/>
          </w:tcPr>
          <w:p w14:paraId="281B0AB5" w14:textId="77777777" w:rsidR="00803B2F" w:rsidRDefault="00A02157">
            <w:pPr>
              <w:spacing w:after="0" w:line="259" w:lineRule="auto"/>
              <w:ind w:left="0" w:firstLine="0"/>
              <w:jc w:val="left"/>
            </w:pPr>
            <w:r>
              <w:rPr>
                <w:b/>
              </w:rPr>
              <w:t>Channel</w:t>
            </w:r>
            <w:r>
              <w:t xml:space="preserve"> </w:t>
            </w:r>
          </w:p>
        </w:tc>
        <w:tc>
          <w:tcPr>
            <w:tcW w:w="1401" w:type="dxa"/>
            <w:tcBorders>
              <w:top w:val="single" w:sz="4" w:space="0" w:color="000000"/>
              <w:left w:val="single" w:sz="4" w:space="0" w:color="000000"/>
              <w:bottom w:val="single" w:sz="4" w:space="0" w:color="000000"/>
              <w:right w:val="single" w:sz="4" w:space="0" w:color="000000"/>
            </w:tcBorders>
            <w:vAlign w:val="center"/>
          </w:tcPr>
          <w:p w14:paraId="307690E2" w14:textId="77777777" w:rsidR="00803B2F" w:rsidRDefault="00A02157">
            <w:pPr>
              <w:spacing w:after="0" w:line="259" w:lineRule="auto"/>
              <w:ind w:left="0" w:firstLine="0"/>
              <w:jc w:val="left"/>
            </w:pPr>
            <w:r>
              <w:rPr>
                <w:b/>
              </w:rPr>
              <w:t>Owner</w:t>
            </w:r>
            <w:r>
              <w:t xml:space="preserve"> </w:t>
            </w:r>
          </w:p>
        </w:tc>
      </w:tr>
      <w:tr w:rsidR="00803B2F" w14:paraId="32410A89" w14:textId="77777777">
        <w:trPr>
          <w:trHeight w:val="1731"/>
        </w:trPr>
        <w:tc>
          <w:tcPr>
            <w:tcW w:w="1801" w:type="dxa"/>
            <w:tcBorders>
              <w:top w:val="single" w:sz="4" w:space="0" w:color="000000"/>
              <w:left w:val="single" w:sz="4" w:space="0" w:color="000000"/>
              <w:bottom w:val="single" w:sz="4" w:space="0" w:color="000000"/>
              <w:right w:val="single" w:sz="4" w:space="0" w:color="000000"/>
            </w:tcBorders>
          </w:tcPr>
          <w:p w14:paraId="6B0EB005" w14:textId="77777777" w:rsidR="00803B2F" w:rsidRDefault="00A02157">
            <w:pPr>
              <w:spacing w:after="0" w:line="259" w:lineRule="auto"/>
              <w:ind w:left="0" w:firstLine="0"/>
              <w:jc w:val="left"/>
            </w:pPr>
            <w:r>
              <w:rPr>
                <w:b/>
              </w:rPr>
              <w:t xml:space="preserve">Franchise partners </w:t>
            </w:r>
          </w:p>
        </w:tc>
        <w:tc>
          <w:tcPr>
            <w:tcW w:w="3001" w:type="dxa"/>
            <w:tcBorders>
              <w:top w:val="single" w:sz="4" w:space="0" w:color="000000"/>
              <w:left w:val="single" w:sz="4" w:space="0" w:color="000000"/>
              <w:bottom w:val="single" w:sz="4" w:space="0" w:color="000000"/>
              <w:right w:val="single" w:sz="4" w:space="0" w:color="000000"/>
            </w:tcBorders>
            <w:vAlign w:val="center"/>
          </w:tcPr>
          <w:p w14:paraId="2D83A395" w14:textId="77777777" w:rsidR="00803B2F" w:rsidRDefault="00A02157">
            <w:pPr>
              <w:spacing w:after="0" w:line="259" w:lineRule="auto"/>
              <w:ind w:left="0" w:right="65" w:firstLine="0"/>
            </w:pPr>
            <w:r>
              <w:t xml:space="preserve">Business case, timeline and support available for local implementation </w:t>
            </w:r>
          </w:p>
        </w:tc>
        <w:tc>
          <w:tcPr>
            <w:tcW w:w="2401" w:type="dxa"/>
            <w:tcBorders>
              <w:top w:val="single" w:sz="4" w:space="0" w:color="000000"/>
              <w:left w:val="single" w:sz="4" w:space="0" w:color="000000"/>
              <w:bottom w:val="single" w:sz="4" w:space="0" w:color="000000"/>
              <w:right w:val="single" w:sz="4" w:space="0" w:color="000000"/>
            </w:tcBorders>
            <w:vAlign w:val="center"/>
          </w:tcPr>
          <w:p w14:paraId="2E275708" w14:textId="77777777" w:rsidR="00803B2F" w:rsidRDefault="00A02157">
            <w:pPr>
              <w:spacing w:after="5" w:line="354" w:lineRule="auto"/>
              <w:ind w:left="0" w:firstLine="0"/>
            </w:pPr>
            <w:r>
              <w:t xml:space="preserve">Regional partner meetings, written </w:t>
            </w:r>
          </w:p>
          <w:p w14:paraId="3642A7D2" w14:textId="77777777" w:rsidR="00803B2F" w:rsidRDefault="00A02157">
            <w:pPr>
              <w:spacing w:after="0" w:line="259" w:lineRule="auto"/>
              <w:ind w:left="0" w:firstLine="0"/>
              <w:jc w:val="left"/>
            </w:pPr>
            <w:r>
              <w:t xml:space="preserve">briefing packs </w:t>
            </w:r>
          </w:p>
        </w:tc>
        <w:tc>
          <w:tcPr>
            <w:tcW w:w="1401" w:type="dxa"/>
            <w:tcBorders>
              <w:top w:val="single" w:sz="4" w:space="0" w:color="000000"/>
              <w:left w:val="single" w:sz="4" w:space="0" w:color="000000"/>
              <w:bottom w:val="single" w:sz="4" w:space="0" w:color="000000"/>
              <w:right w:val="single" w:sz="4" w:space="0" w:color="000000"/>
            </w:tcBorders>
          </w:tcPr>
          <w:p w14:paraId="362CFBEE" w14:textId="77777777" w:rsidR="00803B2F" w:rsidRDefault="00A02157">
            <w:pPr>
              <w:spacing w:after="110" w:line="259" w:lineRule="auto"/>
              <w:ind w:left="0" w:firstLine="0"/>
              <w:jc w:val="left"/>
            </w:pPr>
            <w:r>
              <w:t xml:space="preserve">Project </w:t>
            </w:r>
          </w:p>
          <w:p w14:paraId="76C9AEBA" w14:textId="77777777" w:rsidR="00803B2F" w:rsidRDefault="00A02157">
            <w:pPr>
              <w:spacing w:after="0" w:line="259" w:lineRule="auto"/>
              <w:ind w:left="0" w:firstLine="0"/>
              <w:jc w:val="left"/>
            </w:pPr>
            <w:r>
              <w:t xml:space="preserve">Manager </w:t>
            </w:r>
          </w:p>
        </w:tc>
      </w:tr>
      <w:tr w:rsidR="00803B2F" w14:paraId="37FAB452" w14:textId="77777777">
        <w:trPr>
          <w:trHeight w:val="2145"/>
        </w:trPr>
        <w:tc>
          <w:tcPr>
            <w:tcW w:w="1801" w:type="dxa"/>
            <w:tcBorders>
              <w:top w:val="single" w:sz="4" w:space="0" w:color="000000"/>
              <w:left w:val="single" w:sz="4" w:space="0" w:color="000000"/>
              <w:bottom w:val="single" w:sz="4" w:space="0" w:color="000000"/>
              <w:right w:val="single" w:sz="4" w:space="0" w:color="000000"/>
            </w:tcBorders>
          </w:tcPr>
          <w:p w14:paraId="043DF214" w14:textId="77777777" w:rsidR="00803B2F" w:rsidRDefault="00A02157">
            <w:pPr>
              <w:spacing w:after="0" w:line="259" w:lineRule="auto"/>
              <w:ind w:left="0" w:firstLine="0"/>
              <w:jc w:val="left"/>
            </w:pPr>
            <w:r>
              <w:rPr>
                <w:b/>
              </w:rPr>
              <w:t xml:space="preserve">Guests </w:t>
            </w:r>
          </w:p>
        </w:tc>
        <w:tc>
          <w:tcPr>
            <w:tcW w:w="3001" w:type="dxa"/>
            <w:tcBorders>
              <w:top w:val="single" w:sz="4" w:space="0" w:color="000000"/>
              <w:left w:val="single" w:sz="4" w:space="0" w:color="000000"/>
              <w:bottom w:val="single" w:sz="4" w:space="0" w:color="000000"/>
              <w:right w:val="single" w:sz="4" w:space="0" w:color="000000"/>
            </w:tcBorders>
            <w:vAlign w:val="center"/>
          </w:tcPr>
          <w:p w14:paraId="577CA79B" w14:textId="77777777" w:rsidR="00803B2F" w:rsidRDefault="00A02157">
            <w:pPr>
              <w:spacing w:after="0" w:line="358" w:lineRule="auto"/>
              <w:ind w:left="0" w:right="65" w:firstLine="0"/>
            </w:pPr>
            <w:r>
              <w:t xml:space="preserve">How StaySmart Plus improves comfort, personalisation and </w:t>
            </w:r>
          </w:p>
          <w:p w14:paraId="6436C3F1" w14:textId="77777777" w:rsidR="00803B2F" w:rsidRDefault="00A02157">
            <w:pPr>
              <w:spacing w:after="0" w:line="259" w:lineRule="auto"/>
              <w:ind w:left="0" w:firstLine="0"/>
              <w:jc w:val="left"/>
            </w:pPr>
            <w:r>
              <w:t xml:space="preserve">sustainability </w:t>
            </w:r>
          </w:p>
        </w:tc>
        <w:tc>
          <w:tcPr>
            <w:tcW w:w="2401" w:type="dxa"/>
            <w:tcBorders>
              <w:top w:val="single" w:sz="4" w:space="0" w:color="000000"/>
              <w:left w:val="single" w:sz="4" w:space="0" w:color="000000"/>
              <w:bottom w:val="single" w:sz="4" w:space="0" w:color="000000"/>
              <w:right w:val="single" w:sz="4" w:space="0" w:color="000000"/>
            </w:tcBorders>
          </w:tcPr>
          <w:p w14:paraId="2407DE34" w14:textId="77777777" w:rsidR="00803B2F" w:rsidRDefault="00A02157">
            <w:pPr>
              <w:spacing w:after="0" w:line="259" w:lineRule="auto"/>
              <w:ind w:left="0" w:right="63" w:firstLine="0"/>
            </w:pPr>
            <w:r>
              <w:t xml:space="preserve">IHG One Rewards app, email, in hotel signage </w:t>
            </w:r>
          </w:p>
        </w:tc>
        <w:tc>
          <w:tcPr>
            <w:tcW w:w="1401" w:type="dxa"/>
            <w:tcBorders>
              <w:top w:val="single" w:sz="4" w:space="0" w:color="000000"/>
              <w:left w:val="single" w:sz="4" w:space="0" w:color="000000"/>
              <w:bottom w:val="single" w:sz="4" w:space="0" w:color="000000"/>
              <w:right w:val="single" w:sz="4" w:space="0" w:color="000000"/>
            </w:tcBorders>
          </w:tcPr>
          <w:p w14:paraId="5CE428B6" w14:textId="77777777" w:rsidR="00803B2F" w:rsidRDefault="00A02157">
            <w:pPr>
              <w:spacing w:after="0" w:line="259" w:lineRule="auto"/>
              <w:ind w:left="0" w:firstLine="0"/>
              <w:jc w:val="left"/>
            </w:pPr>
            <w:r>
              <w:t xml:space="preserve">Marketing department </w:t>
            </w:r>
          </w:p>
        </w:tc>
      </w:tr>
      <w:tr w:rsidR="00803B2F" w14:paraId="63723A25" w14:textId="77777777">
        <w:trPr>
          <w:trHeight w:val="1735"/>
        </w:trPr>
        <w:tc>
          <w:tcPr>
            <w:tcW w:w="1801" w:type="dxa"/>
            <w:tcBorders>
              <w:top w:val="single" w:sz="4" w:space="0" w:color="000000"/>
              <w:left w:val="single" w:sz="4" w:space="0" w:color="000000"/>
              <w:bottom w:val="single" w:sz="4" w:space="0" w:color="000000"/>
              <w:right w:val="single" w:sz="4" w:space="0" w:color="000000"/>
            </w:tcBorders>
          </w:tcPr>
          <w:p w14:paraId="27E47E57" w14:textId="77777777" w:rsidR="00803B2F" w:rsidRDefault="00A02157">
            <w:pPr>
              <w:spacing w:after="0" w:line="259" w:lineRule="auto"/>
              <w:ind w:left="0" w:firstLine="0"/>
              <w:jc w:val="left"/>
            </w:pPr>
            <w:r>
              <w:rPr>
                <w:b/>
              </w:rPr>
              <w:t xml:space="preserve">Employees </w:t>
            </w:r>
          </w:p>
        </w:tc>
        <w:tc>
          <w:tcPr>
            <w:tcW w:w="3001" w:type="dxa"/>
            <w:tcBorders>
              <w:top w:val="single" w:sz="4" w:space="0" w:color="000000"/>
              <w:left w:val="single" w:sz="4" w:space="0" w:color="000000"/>
              <w:bottom w:val="single" w:sz="4" w:space="0" w:color="000000"/>
              <w:right w:val="single" w:sz="4" w:space="0" w:color="000000"/>
            </w:tcBorders>
            <w:vAlign w:val="center"/>
          </w:tcPr>
          <w:p w14:paraId="03CF8D33" w14:textId="77777777" w:rsidR="00803B2F" w:rsidRDefault="00A02157">
            <w:pPr>
              <w:spacing w:after="0"/>
              <w:ind w:left="0" w:firstLine="0"/>
            </w:pPr>
            <w:r>
              <w:t xml:space="preserve">Role changes, training schedule and support </w:t>
            </w:r>
          </w:p>
          <w:p w14:paraId="4C689CD7" w14:textId="77777777" w:rsidR="00803B2F" w:rsidRDefault="00A02157">
            <w:pPr>
              <w:spacing w:after="0" w:line="259" w:lineRule="auto"/>
              <w:ind w:left="0" w:firstLine="0"/>
              <w:jc w:val="left"/>
            </w:pPr>
            <w:r>
              <w:t xml:space="preserve">resources </w:t>
            </w:r>
          </w:p>
        </w:tc>
        <w:tc>
          <w:tcPr>
            <w:tcW w:w="2401" w:type="dxa"/>
            <w:tcBorders>
              <w:top w:val="single" w:sz="4" w:space="0" w:color="000000"/>
              <w:left w:val="single" w:sz="4" w:space="0" w:color="000000"/>
              <w:bottom w:val="single" w:sz="4" w:space="0" w:color="000000"/>
              <w:right w:val="single" w:sz="4" w:space="0" w:color="000000"/>
            </w:tcBorders>
            <w:vAlign w:val="center"/>
          </w:tcPr>
          <w:p w14:paraId="6455D09A" w14:textId="77777777" w:rsidR="00803B2F" w:rsidRDefault="00A02157">
            <w:pPr>
              <w:spacing w:after="0"/>
              <w:ind w:left="0" w:firstLine="0"/>
            </w:pPr>
            <w:r>
              <w:t xml:space="preserve">Intranet, team briefings, line </w:t>
            </w:r>
          </w:p>
          <w:p w14:paraId="4B307E62" w14:textId="77777777" w:rsidR="00803B2F" w:rsidRDefault="00A02157">
            <w:pPr>
              <w:spacing w:after="0" w:line="259" w:lineRule="auto"/>
              <w:ind w:left="0" w:firstLine="0"/>
              <w:jc w:val="left"/>
            </w:pPr>
            <w:r>
              <w:t xml:space="preserve">manager cascade </w:t>
            </w:r>
          </w:p>
        </w:tc>
        <w:tc>
          <w:tcPr>
            <w:tcW w:w="1401" w:type="dxa"/>
            <w:tcBorders>
              <w:top w:val="single" w:sz="4" w:space="0" w:color="000000"/>
              <w:left w:val="single" w:sz="4" w:space="0" w:color="000000"/>
              <w:bottom w:val="single" w:sz="4" w:space="0" w:color="000000"/>
              <w:right w:val="single" w:sz="4" w:space="0" w:color="000000"/>
            </w:tcBorders>
          </w:tcPr>
          <w:p w14:paraId="1E6D58A9" w14:textId="77777777" w:rsidR="00803B2F" w:rsidRDefault="00A02157">
            <w:pPr>
              <w:spacing w:after="115" w:line="259" w:lineRule="auto"/>
              <w:ind w:left="0" w:firstLine="0"/>
              <w:jc w:val="left"/>
            </w:pPr>
            <w:r>
              <w:t xml:space="preserve">Human </w:t>
            </w:r>
          </w:p>
          <w:p w14:paraId="63EF03D0" w14:textId="77777777" w:rsidR="00803B2F" w:rsidRDefault="00A02157">
            <w:pPr>
              <w:spacing w:after="0" w:line="259" w:lineRule="auto"/>
              <w:ind w:left="0" w:firstLine="0"/>
              <w:jc w:val="left"/>
            </w:pPr>
            <w:r>
              <w:t xml:space="preserve">Resources </w:t>
            </w:r>
          </w:p>
        </w:tc>
      </w:tr>
      <w:tr w:rsidR="00803B2F" w14:paraId="0E3C73B6" w14:textId="77777777">
        <w:trPr>
          <w:trHeight w:val="1731"/>
        </w:trPr>
        <w:tc>
          <w:tcPr>
            <w:tcW w:w="1801" w:type="dxa"/>
            <w:tcBorders>
              <w:top w:val="single" w:sz="4" w:space="0" w:color="000000"/>
              <w:left w:val="single" w:sz="4" w:space="0" w:color="000000"/>
              <w:bottom w:val="single" w:sz="4" w:space="0" w:color="000000"/>
              <w:right w:val="single" w:sz="4" w:space="0" w:color="000000"/>
            </w:tcBorders>
            <w:vAlign w:val="center"/>
          </w:tcPr>
          <w:p w14:paraId="302D99C0" w14:textId="77777777" w:rsidR="00803B2F" w:rsidRDefault="00A02157">
            <w:pPr>
              <w:spacing w:after="144" w:line="259" w:lineRule="auto"/>
              <w:ind w:left="0" w:firstLine="0"/>
              <w:jc w:val="left"/>
            </w:pPr>
            <w:r>
              <w:rPr>
                <w:b/>
              </w:rPr>
              <w:t xml:space="preserve">Executive </w:t>
            </w:r>
          </w:p>
          <w:p w14:paraId="60701B56" w14:textId="77777777" w:rsidR="00803B2F" w:rsidRDefault="00A02157">
            <w:pPr>
              <w:tabs>
                <w:tab w:val="right" w:pos="1645"/>
              </w:tabs>
              <w:spacing w:after="121" w:line="259" w:lineRule="auto"/>
              <w:ind w:left="0" w:firstLine="0"/>
              <w:jc w:val="left"/>
            </w:pPr>
            <w:r>
              <w:rPr>
                <w:b/>
              </w:rPr>
              <w:t xml:space="preserve">sponsor </w:t>
            </w:r>
            <w:r>
              <w:rPr>
                <w:b/>
              </w:rPr>
              <w:tab/>
              <w:t xml:space="preserve">and </w:t>
            </w:r>
          </w:p>
          <w:p w14:paraId="47D5A21C" w14:textId="77777777" w:rsidR="00803B2F" w:rsidRDefault="00A02157">
            <w:pPr>
              <w:spacing w:after="0" w:line="259" w:lineRule="auto"/>
              <w:ind w:left="0" w:firstLine="0"/>
              <w:jc w:val="left"/>
            </w:pPr>
            <w:r>
              <w:rPr>
                <w:b/>
              </w:rPr>
              <w:t xml:space="preserve">board </w:t>
            </w:r>
          </w:p>
        </w:tc>
        <w:tc>
          <w:tcPr>
            <w:tcW w:w="3001" w:type="dxa"/>
            <w:tcBorders>
              <w:top w:val="single" w:sz="4" w:space="0" w:color="000000"/>
              <w:left w:val="single" w:sz="4" w:space="0" w:color="000000"/>
              <w:bottom w:val="single" w:sz="4" w:space="0" w:color="000000"/>
              <w:right w:val="single" w:sz="4" w:space="0" w:color="000000"/>
            </w:tcBorders>
          </w:tcPr>
          <w:p w14:paraId="69B8ED47" w14:textId="77777777" w:rsidR="00803B2F" w:rsidRDefault="00A02157">
            <w:pPr>
              <w:spacing w:after="0" w:line="259" w:lineRule="auto"/>
              <w:ind w:left="0" w:firstLine="0"/>
            </w:pPr>
            <w:r>
              <w:t xml:space="preserve">Progress against milestones, risks and budget </w:t>
            </w:r>
          </w:p>
        </w:tc>
        <w:tc>
          <w:tcPr>
            <w:tcW w:w="2401" w:type="dxa"/>
            <w:tcBorders>
              <w:top w:val="single" w:sz="4" w:space="0" w:color="000000"/>
              <w:left w:val="single" w:sz="4" w:space="0" w:color="000000"/>
              <w:bottom w:val="single" w:sz="4" w:space="0" w:color="000000"/>
              <w:right w:val="single" w:sz="4" w:space="0" w:color="000000"/>
            </w:tcBorders>
          </w:tcPr>
          <w:p w14:paraId="7673A637" w14:textId="77777777" w:rsidR="00803B2F" w:rsidRDefault="00A02157">
            <w:pPr>
              <w:tabs>
                <w:tab w:val="right" w:pos="2245"/>
              </w:tabs>
              <w:spacing w:after="117" w:line="259" w:lineRule="auto"/>
              <w:ind w:left="0" w:firstLine="0"/>
              <w:jc w:val="left"/>
            </w:pPr>
            <w:r>
              <w:t xml:space="preserve">Monthly </w:t>
            </w:r>
            <w:r>
              <w:tab/>
              <w:t xml:space="preserve">steering </w:t>
            </w:r>
          </w:p>
          <w:p w14:paraId="4DBC7BA0" w14:textId="77777777" w:rsidR="00803B2F" w:rsidRDefault="00A02157">
            <w:pPr>
              <w:spacing w:after="0" w:line="259" w:lineRule="auto"/>
              <w:ind w:left="0" w:firstLine="0"/>
              <w:jc w:val="left"/>
            </w:pPr>
            <w:r>
              <w:t xml:space="preserve">committee report </w:t>
            </w:r>
          </w:p>
        </w:tc>
        <w:tc>
          <w:tcPr>
            <w:tcW w:w="1401" w:type="dxa"/>
            <w:tcBorders>
              <w:top w:val="single" w:sz="4" w:space="0" w:color="000000"/>
              <w:left w:val="single" w:sz="4" w:space="0" w:color="000000"/>
              <w:bottom w:val="single" w:sz="4" w:space="0" w:color="000000"/>
              <w:right w:val="single" w:sz="4" w:space="0" w:color="000000"/>
            </w:tcBorders>
          </w:tcPr>
          <w:p w14:paraId="52DF7554" w14:textId="77777777" w:rsidR="00803B2F" w:rsidRDefault="00A02157">
            <w:pPr>
              <w:spacing w:after="110" w:line="259" w:lineRule="auto"/>
              <w:ind w:left="0" w:firstLine="0"/>
              <w:jc w:val="left"/>
            </w:pPr>
            <w:r>
              <w:t xml:space="preserve">Project </w:t>
            </w:r>
          </w:p>
          <w:p w14:paraId="61A4E6F0" w14:textId="77777777" w:rsidR="00803B2F" w:rsidRDefault="00A02157">
            <w:pPr>
              <w:spacing w:after="0" w:line="259" w:lineRule="auto"/>
              <w:ind w:left="0" w:firstLine="0"/>
              <w:jc w:val="left"/>
            </w:pPr>
            <w:r>
              <w:t xml:space="preserve">Manager </w:t>
            </w:r>
          </w:p>
        </w:tc>
      </w:tr>
      <w:tr w:rsidR="00803B2F" w14:paraId="4562A2DB" w14:textId="77777777">
        <w:trPr>
          <w:trHeight w:val="1730"/>
        </w:trPr>
        <w:tc>
          <w:tcPr>
            <w:tcW w:w="1801" w:type="dxa"/>
            <w:tcBorders>
              <w:top w:val="single" w:sz="4" w:space="0" w:color="000000"/>
              <w:left w:val="single" w:sz="4" w:space="0" w:color="000000"/>
              <w:bottom w:val="single" w:sz="4" w:space="0" w:color="000000"/>
              <w:right w:val="single" w:sz="4" w:space="0" w:color="000000"/>
            </w:tcBorders>
          </w:tcPr>
          <w:p w14:paraId="402FBD85" w14:textId="77777777" w:rsidR="00803B2F" w:rsidRDefault="00A02157">
            <w:pPr>
              <w:spacing w:after="0" w:line="259" w:lineRule="auto"/>
              <w:ind w:left="0" w:firstLine="0"/>
              <w:jc w:val="left"/>
            </w:pPr>
            <w:r>
              <w:rPr>
                <w:b/>
              </w:rPr>
              <w:t xml:space="preserve">Regulators </w:t>
            </w:r>
          </w:p>
        </w:tc>
        <w:tc>
          <w:tcPr>
            <w:tcW w:w="3001" w:type="dxa"/>
            <w:tcBorders>
              <w:top w:val="single" w:sz="4" w:space="0" w:color="000000"/>
              <w:left w:val="single" w:sz="4" w:space="0" w:color="000000"/>
              <w:bottom w:val="single" w:sz="4" w:space="0" w:color="000000"/>
              <w:right w:val="single" w:sz="4" w:space="0" w:color="000000"/>
            </w:tcBorders>
          </w:tcPr>
          <w:p w14:paraId="02867E32" w14:textId="77777777" w:rsidR="00803B2F" w:rsidRDefault="00A02157">
            <w:pPr>
              <w:spacing w:after="0" w:line="259" w:lineRule="auto"/>
              <w:ind w:left="0" w:firstLine="0"/>
            </w:pPr>
            <w:r>
              <w:t xml:space="preserve">Data handling practices and compliance evidence </w:t>
            </w:r>
          </w:p>
        </w:tc>
        <w:tc>
          <w:tcPr>
            <w:tcW w:w="2401" w:type="dxa"/>
            <w:tcBorders>
              <w:top w:val="single" w:sz="4" w:space="0" w:color="000000"/>
              <w:left w:val="single" w:sz="4" w:space="0" w:color="000000"/>
              <w:bottom w:val="single" w:sz="4" w:space="0" w:color="000000"/>
              <w:right w:val="single" w:sz="4" w:space="0" w:color="000000"/>
            </w:tcBorders>
            <w:vAlign w:val="center"/>
          </w:tcPr>
          <w:p w14:paraId="7CA406B2" w14:textId="77777777" w:rsidR="00803B2F" w:rsidRDefault="00A02157">
            <w:pPr>
              <w:spacing w:after="0"/>
              <w:ind w:left="0" w:firstLine="0"/>
            </w:pPr>
            <w:r>
              <w:t xml:space="preserve">Formal written submissions and </w:t>
            </w:r>
          </w:p>
          <w:p w14:paraId="3BA1E642" w14:textId="77777777" w:rsidR="00803B2F" w:rsidRDefault="00A02157">
            <w:pPr>
              <w:spacing w:after="0" w:line="259" w:lineRule="auto"/>
              <w:ind w:left="0" w:firstLine="0"/>
              <w:jc w:val="left"/>
            </w:pPr>
            <w:r>
              <w:t xml:space="preserve">meetings </w:t>
            </w:r>
          </w:p>
        </w:tc>
        <w:tc>
          <w:tcPr>
            <w:tcW w:w="1401" w:type="dxa"/>
            <w:tcBorders>
              <w:top w:val="single" w:sz="4" w:space="0" w:color="000000"/>
              <w:left w:val="single" w:sz="4" w:space="0" w:color="000000"/>
              <w:bottom w:val="single" w:sz="4" w:space="0" w:color="000000"/>
              <w:right w:val="single" w:sz="4" w:space="0" w:color="000000"/>
            </w:tcBorders>
            <w:vAlign w:val="center"/>
          </w:tcPr>
          <w:p w14:paraId="4D0B4BAA" w14:textId="77777777" w:rsidR="00803B2F" w:rsidRDefault="00A02157">
            <w:pPr>
              <w:spacing w:after="0" w:line="259" w:lineRule="auto"/>
              <w:ind w:left="0" w:firstLine="0"/>
              <w:jc w:val="left"/>
            </w:pPr>
            <w:r>
              <w:t xml:space="preserve">Legal </w:t>
            </w:r>
            <w:r>
              <w:tab/>
              <w:t xml:space="preserve">and compliance team </w:t>
            </w:r>
          </w:p>
        </w:tc>
      </w:tr>
    </w:tbl>
    <w:p w14:paraId="740E8D30" w14:textId="77777777" w:rsidR="00803B2F" w:rsidRDefault="00A02157">
      <w:pPr>
        <w:spacing w:after="24"/>
        <w:ind w:left="-5" w:right="4"/>
      </w:pPr>
      <w:r>
        <w:t xml:space="preserve">These approaches put into practice the principle that stakeholder involvement is in relation to stakeholder influence and interest, is authentic and participative and not purely an informative one, which is something being brought to the forefront more within modern project management theory (Kujala et al., 2022; Aaltonen et al., 2024). </w:t>
      </w:r>
    </w:p>
    <w:p w14:paraId="6D4B5E46" w14:textId="77777777" w:rsidR="00803B2F" w:rsidRDefault="00A02157">
      <w:pPr>
        <w:spacing w:after="0" w:line="259" w:lineRule="auto"/>
        <w:ind w:left="0" w:firstLine="0"/>
        <w:jc w:val="left"/>
      </w:pPr>
      <w:r>
        <w:t xml:space="preserve"> </w:t>
      </w:r>
      <w:r>
        <w:tab/>
        <w:t xml:space="preserve"> </w:t>
      </w:r>
    </w:p>
    <w:p w14:paraId="7F6C9C96" w14:textId="77777777" w:rsidR="00803B2F" w:rsidRDefault="00A02157">
      <w:pPr>
        <w:pStyle w:val="Heading1"/>
        <w:spacing w:after="309"/>
        <w:ind w:left="-5"/>
      </w:pPr>
      <w:r>
        <w:t>6. The Stakeholder Engagement Process and Management of Conflict</w:t>
      </w:r>
      <w:r>
        <w:rPr>
          <w:b w:val="0"/>
        </w:rPr>
        <w:t xml:space="preserve"> </w:t>
      </w:r>
    </w:p>
    <w:p w14:paraId="04C01BC2" w14:textId="77777777" w:rsidR="00803B2F" w:rsidRDefault="00A02157">
      <w:pPr>
        <w:spacing w:after="263"/>
        <w:ind w:left="-5" w:right="4"/>
      </w:pPr>
      <w:r>
        <w:t xml:space="preserve">Successful implementation of the StaySmart Plus, as Project Manager, needs a process to engage stakeholders, initially identified and analysed, then actively engaged and monitored throughout the project lifecycle (Gil, 2023). It is not a serial process because stakeholder positions may change during project development phases, such as design, pilot and rollout, especially in the multi-cultural global environment IHG operates within (Lehtinen and Kirsi Aaltonen, 2020). It falls on the Project Manager to hold up to date and accurate ‘big picture’ of stakeholder views and to react where there appears to be a difference. The following discussion adopts the 4C's approach to Stakeholder engagement Communication, Collaboration, Consultation and Commitment as a structured approach to describing the engagement process and its inevitable points of conflict. </w:t>
      </w:r>
    </w:p>
    <w:p w14:paraId="58F59F4B" w14:textId="77777777" w:rsidR="00803B2F" w:rsidRDefault="00A02157">
      <w:pPr>
        <w:pStyle w:val="Heading2"/>
        <w:ind w:left="-5"/>
      </w:pPr>
      <w:r>
        <w:t>6.1 Communication</w:t>
      </w:r>
      <w:r>
        <w:rPr>
          <w:b w:val="0"/>
        </w:rPr>
        <w:t xml:space="preserve"> </w:t>
      </w:r>
    </w:p>
    <w:p w14:paraId="61ECD477" w14:textId="77777777" w:rsidR="00803B2F" w:rsidRDefault="00A02157">
      <w:pPr>
        <w:spacing w:after="240"/>
        <w:ind w:left="-5" w:right="4"/>
      </w:pPr>
      <w:r>
        <w:t xml:space="preserve">Communication is integral to effective stakeholder engagement, with it revolving around delivering information to the appropriate stakeholders via the appropriate medium at the correct time. Within the context of StaySmart Plus this involves tailoring messaging for example sending technical details to the information technology department, and to franchisees a highlevel business case which highlights the return on investment. Global deployment will require cross-cultural understanding, as different markets in Europe, Asia and the Americas adopt different communication approaches and have different levels of openness towards feedback (Vrontis et al., 2022). </w:t>
      </w:r>
    </w:p>
    <w:p w14:paraId="559FB95D" w14:textId="77777777" w:rsidR="00803B2F" w:rsidRDefault="00A02157">
      <w:pPr>
        <w:spacing w:after="263"/>
        <w:ind w:left="-5" w:right="4"/>
      </w:pPr>
      <w:r>
        <w:t xml:space="preserve"> As the Project Manager, part of the remit is to upkeep the reporting schedule outlined in section 5.3 and communication plan, due to communication often being the highest ranked reason for stakeholder disengagement and project delays (Daniel and Jonathan, 2024). </w:t>
      </w:r>
    </w:p>
    <w:p w14:paraId="6B970058" w14:textId="77777777" w:rsidR="00803B2F" w:rsidRDefault="00A02157">
      <w:pPr>
        <w:pStyle w:val="Heading2"/>
        <w:ind w:left="-5"/>
      </w:pPr>
      <w:r>
        <w:t>6.2 Collaboration</w:t>
      </w:r>
      <w:r>
        <w:rPr>
          <w:b w:val="0"/>
        </w:rPr>
        <w:t xml:space="preserve"> </w:t>
      </w:r>
    </w:p>
    <w:p w14:paraId="1AF52ED3" w14:textId="77777777" w:rsidR="00803B2F" w:rsidRDefault="00A02157">
      <w:pPr>
        <w:spacing w:after="0"/>
        <w:ind w:left="-5" w:right="4"/>
      </w:pPr>
      <w:r>
        <w:t xml:space="preserve">From just sharing data, people and team member participation in decision-making. Engaging hotel general managers and front-line personnel in usability testing of the artificial intelligence interface prior to full launch provides real-world operational data to support design – driving user acceptance and avoiding expensive late-stage adjustments. Joint working sessions between the information technology department and the technology vendor serve a similar purpose of collaborative problem solving. Collaboration (especially in cross-border and virtual project teams) fosters knowledge sharing and better, more sustainable outcomes (Blak Bernat, Linhares Qualharini and Souto Castro, 2023).  </w:t>
      </w:r>
    </w:p>
    <w:p w14:paraId="4B121C0F" w14:textId="77777777" w:rsidR="00803B2F" w:rsidRDefault="00A02157">
      <w:pPr>
        <w:spacing w:after="263"/>
        <w:ind w:left="-5" w:right="4"/>
      </w:pPr>
      <w:r>
        <w:t xml:space="preserve">As project manager, the writer is responsible for facilitating purposeful collaboration activities including cross-functional teams and the use of pilot hotel forums to ensure stakeholder contributions directly influence decisions rather than just provide decoration. </w:t>
      </w:r>
    </w:p>
    <w:p w14:paraId="10CB4943" w14:textId="77777777" w:rsidR="00803B2F" w:rsidRDefault="00A02157">
      <w:pPr>
        <w:pStyle w:val="Heading2"/>
        <w:ind w:left="-5"/>
      </w:pPr>
      <w:r>
        <w:t>6.3 Consultation</w:t>
      </w:r>
      <w:r>
        <w:rPr>
          <w:b w:val="0"/>
        </w:rPr>
        <w:t xml:space="preserve"> </w:t>
      </w:r>
    </w:p>
    <w:p w14:paraId="61C652B3" w14:textId="77777777" w:rsidR="00803B2F" w:rsidRDefault="00A02157">
      <w:pPr>
        <w:spacing w:after="240"/>
        <w:ind w:left="-5" w:right="4"/>
      </w:pPr>
      <w:r>
        <w:t xml:space="preserve">Consultation is like an engagement of stakeholders in order to gather their perspectives prior to final decision-making and particularly relevant for high power-low daily involvement stakeholders such as regulators and senior executives. With StaySmart Plus consultation on handling of guest data by data protection regulators is a prerequisite to launch due to the sensitivity of behaviour data processed by thepersonalised travel planning component of the service. Franchise partner consultation on local cost of delivery and timing further minimises later resistance. Uddin et al. (2023) note that engagement levels differ across public/private/partnership forms of projects hence consultation needs careful planning.  </w:t>
      </w:r>
    </w:p>
    <w:p w14:paraId="105F822F" w14:textId="77777777" w:rsidR="00803B2F" w:rsidRDefault="00A02157">
      <w:pPr>
        <w:spacing w:after="259"/>
        <w:ind w:left="-5" w:right="4"/>
      </w:pPr>
      <w:r>
        <w:t xml:space="preserve">As Project Manager the writer must ensure that opportunities are available for stakeholders to consult and to know their input has impacted on outcomes to develop confidence and legitimacy. </w:t>
      </w:r>
    </w:p>
    <w:p w14:paraId="3B1200CB" w14:textId="77777777" w:rsidR="00803B2F" w:rsidRDefault="00A02157">
      <w:pPr>
        <w:pStyle w:val="Heading2"/>
        <w:ind w:left="-5"/>
      </w:pPr>
      <w:r>
        <w:t>6.4 Commitment</w:t>
      </w:r>
      <w:r>
        <w:rPr>
          <w:b w:val="0"/>
        </w:rPr>
        <w:t xml:space="preserve"> </w:t>
      </w:r>
    </w:p>
    <w:p w14:paraId="3CB53CAB" w14:textId="77777777" w:rsidR="00803B2F" w:rsidRDefault="00A02157">
      <w:pPr>
        <w:spacing w:after="29"/>
        <w:ind w:left="-5" w:right="4"/>
      </w:pPr>
      <w:r>
        <w:t xml:space="preserve">Commitment relates to the continued support of stakeholders in driving the success of the project following project approval and is the hardest element to maintain for a six-month international roll-out. Securing commitment requires active senior sponsor buy-in, the clear articulation of mutual value to stakeholders and an acknowledgement of the stakeholder's contribution. For Franchise Partners commitment can be secured via staggered investment and guest satisfaction based financial incentives; for employees via meaningful engagement in the design process and appropriate training and supported by findings that human centred engagement remains a crucial enabler of successful service innovation within hospitality (KU, 2026). Marino et al. (2024)show that even a handful of reluctant stakeholders can significantly inhibit uptake highlighting the importance of regularly rebuilding, rather than assuming continued commitment once captured. </w:t>
      </w:r>
    </w:p>
    <w:p w14:paraId="0FE54C8F" w14:textId="77777777" w:rsidR="00803B2F" w:rsidRDefault="00A02157">
      <w:pPr>
        <w:spacing w:after="0" w:line="259" w:lineRule="auto"/>
        <w:ind w:left="0" w:firstLine="0"/>
        <w:jc w:val="left"/>
      </w:pPr>
      <w:r>
        <w:t xml:space="preserve"> </w:t>
      </w:r>
      <w:r>
        <w:tab/>
        <w:t xml:space="preserve"> </w:t>
      </w:r>
    </w:p>
    <w:p w14:paraId="6AB6B4A8" w14:textId="77777777" w:rsidR="00803B2F" w:rsidRDefault="00A02157">
      <w:pPr>
        <w:pStyle w:val="Heading2"/>
        <w:ind w:left="-5"/>
      </w:pPr>
      <w:r>
        <w:t>6.5 Managing Conflict Through the 4C's</w:t>
      </w:r>
      <w:r>
        <w:rPr>
          <w:b w:val="0"/>
        </w:rPr>
        <w:t xml:space="preserve"> </w:t>
      </w:r>
    </w:p>
    <w:p w14:paraId="7E3D7F66" w14:textId="77777777" w:rsidR="00803B2F" w:rsidRDefault="00A02157">
      <w:pPr>
        <w:ind w:left="-5" w:right="4"/>
      </w:pPr>
      <w:r>
        <w:t xml:space="preserve">Potential conflicts The StaySmart+ project could face conflicts due to the varying interests and concerns among stakeholders: Franchise owners might resent the cost of implementing the solution; Project team focus on the long-term benefits; Marketing prefers to quickly implement a global release while the project management and Information Technology teams must include testing phases in order to secure the system quality and integrity; And Guests could voice concerns about the privacy of their data and ethical concerns about AI used in personalized recommendations and services (Waris et al., 2022). </w:t>
      </w:r>
    </w:p>
    <w:p w14:paraId="184D5B40" w14:textId="77777777" w:rsidR="00803B2F" w:rsidRDefault="00A02157">
      <w:pPr>
        <w:spacing w:after="364" w:line="358" w:lineRule="auto"/>
        <w:ind w:left="0" w:right="10" w:firstLine="0"/>
      </w:pPr>
      <w:r>
        <w:t xml:space="preserve">This Four Cs model helps in solving conflicts between stakeholder. First ‘C’ as Communication helps to identify concerns at an early stage. Secondly ‘C’ as Communication leads to the formation of stakeholder based mutually beneficial solution which aims to find the balance business needs and operational feasibility.  Third ‘C’ as Consultation includes in legal advisors, compliance managers, and data protection officers for the relevant advice on decision making.  The fourth ‘C’ is Commitment from all stakeholders in execution of all agreed decisions openly and ethically in order to make trust, accountability, and ensure efficient delivery of the project as StaySmart+. </w:t>
      </w:r>
    </w:p>
    <w:p w14:paraId="6AB26F01" w14:textId="77777777" w:rsidR="00803B2F" w:rsidRDefault="00A02157">
      <w:pPr>
        <w:pStyle w:val="Heading1"/>
        <w:spacing w:after="304"/>
        <w:ind w:left="-5"/>
      </w:pPr>
      <w:r>
        <w:t>7. Evaluation of the Impact of Stakeholder Engagement on Business Performance</w:t>
      </w:r>
      <w:r>
        <w:rPr>
          <w:b w:val="0"/>
        </w:rPr>
        <w:t xml:space="preserve"> </w:t>
      </w:r>
    </w:p>
    <w:p w14:paraId="5A596183" w14:textId="77777777" w:rsidR="00803B2F" w:rsidRDefault="00A02157">
      <w:pPr>
        <w:ind w:left="-5" w:right="4"/>
      </w:pPr>
      <w:r>
        <w:t xml:space="preserve">The results of successful stakeholder engagement are generally agreed to deliver improved project performance. Aaltonen et al. (2024) showed that results within technology focused organisations are considerably better with actively managed stakeholder relations and inclusive decision-making processes. Within the context of StaySmart Plus this could be interpreted to lead to faster franchise partner adoption, avoid costly rework after discovery of operational limitations at later project stages and facilitate guest confidence in AI. Vrontis et al. (2022) reached similar conclusions regarding organisations within the hospitality industry where those with clear communication about stakeholder engagement received higher levels of social legitimacy and reputational advantage, a key aspect in a project with sustainability-driven facilities and amenities. </w:t>
      </w:r>
    </w:p>
    <w:p w14:paraId="31FECADD" w14:textId="77777777" w:rsidR="00803B2F" w:rsidRDefault="00A02157">
      <w:pPr>
        <w:ind w:left="-5" w:right="4"/>
      </w:pPr>
      <w:r>
        <w:t xml:space="preserve">Conversely poor engagement of stakeholders does not come without tangible business risk. Rassiah et al. (2022) noted hotels which did not consult their stakeholders on environmental and technology initiatives had worse stewardship and trust performance. With StaySmart Plus, the engagement of the franchisees not conducted will not result in uniform rollout across the locations, threatening the consistency of guest experience, so core to the IHG’s brand promise. Failing to consult regulatory stakeholders will lead to risk of regulatory breach, with the attendant risks of reputation damage, and failure to engage employee stakeholders will lead to service execution risks leading to a direct negative return on the technology investment. Gil (2023) also identified many large initiatives had poor performance as a result not of technological failure, but unresolved tension from stakeholder issues. </w:t>
      </w:r>
    </w:p>
    <w:p w14:paraId="16B945D2" w14:textId="77777777" w:rsidR="00803B2F" w:rsidRDefault="00A02157">
      <w:pPr>
        <w:spacing w:after="264"/>
        <w:ind w:left="-5" w:right="4"/>
      </w:pPr>
      <w:r>
        <w:t xml:space="preserve">There are also ethical considerations that feature in this process. The collection and application of guest data in this process raises issues of consent, transparency and proportionality that go beyond mere legal obligation to consider how the guests should be treated as stakeholders in their own right. In a similar manner, the integration of AI in the provision of hotel services raises issues about the evolving nature of hotel staff, and the engagement in a manner that sees staff as partners rather than consumers in technological change is crucial. Ethical stakeholder engagement as it involves bringing to bear responsibility to make responsible decision making is essential for the validity and long run viability of the project (Kujala et al. 2022). </w:t>
      </w:r>
    </w:p>
    <w:p w14:paraId="5CB85258" w14:textId="77777777" w:rsidR="00803B2F" w:rsidRDefault="00A02157">
      <w:pPr>
        <w:pStyle w:val="Heading2"/>
        <w:ind w:left="-5"/>
      </w:pPr>
      <w:r>
        <w:t>7.1 Recommendations</w:t>
      </w:r>
      <w:r>
        <w:rPr>
          <w:b w:val="0"/>
        </w:rPr>
        <w:t xml:space="preserve"> </w:t>
      </w:r>
    </w:p>
    <w:p w14:paraId="263BD7A2" w14:textId="77777777" w:rsidR="00803B2F" w:rsidRDefault="00A02157">
      <w:pPr>
        <w:spacing w:after="363"/>
        <w:ind w:left="-5" w:right="4"/>
      </w:pPr>
      <w:r>
        <w:t xml:space="preserve">Assign one person as owner of the stakeholder map, engagement plan and communications plan throughout its entire lifecycle to prevent it from becoming a post-script for on-going engagement. Undertake structured, culturally sensitive consultation with franchise partners and guests in each of the local regions before they are launched effective engagement strategies in one region may not be transferable to another. Run a phased pilot on a small number of hotels, leveraging structured guest, employee and franchise partner feedback to develop service before a full international launch.  This reduces the risk of broad-based opposition and negative PR. Establish strengthened data protection and artificial intelligence governance by consulting with the legal, compliance and, when relevant, external stakeholders on data and ethical matters early on and throughout. Fund extensive staff training and change management programs, since the quality of guest experience hinges on well-engaged employees. Track the evolving power and interest levels of each stakeholder using the power interest matrix relationships will undoubtedly evolve as the project shifts to guest-facing operations from its design stage. </w:t>
      </w:r>
    </w:p>
    <w:p w14:paraId="60CC1746" w14:textId="77777777" w:rsidR="00803B2F" w:rsidRDefault="00A02157">
      <w:pPr>
        <w:pStyle w:val="Heading1"/>
        <w:spacing w:after="309"/>
        <w:ind w:left="-5"/>
      </w:pPr>
      <w:r>
        <w:t>8. Conclusion</w:t>
      </w:r>
      <w:r>
        <w:rPr>
          <w:b w:val="0"/>
        </w:rPr>
        <w:t xml:space="preserve"> </w:t>
      </w:r>
    </w:p>
    <w:p w14:paraId="10A5C5D4" w14:textId="77777777" w:rsidR="00803B2F" w:rsidRDefault="00A02157">
      <w:pPr>
        <w:spacing w:after="30"/>
        <w:ind w:left="-5" w:right="4"/>
      </w:pPr>
      <w:r>
        <w:t xml:space="preserve">The report has shown that stakeholder engagement should be central rather than a peripheral administrative process in determining the success of initiating and completing the complex global project of StaySmart Plus at IHG Hotels and Resorts. This report used a methodical review of IHG’s internal and external operating environment, identification and categorisation of key internal and external stakeholders and the use of recognised models such as Mendelow’s power interest matrix, a stakeholder engagement plan, communication plan and RACI matrix to explain how theory can be translated into a useful approach for managing project execution. The use of the 4C’s model further explained how effective Project Managers might build and maintain effective stakeholders, and proactively manage the inevitable conflict within a project involving franchise partners, technology providers, regulators, staff and customers across multiple geographies and cultural norms.  The impact analysis for business performance showed how proactive engagement, resulting in faster adoption, strengthened brand legitimacy and increased reduced risk outweighed the investment in resource associated with such effort; whereas weak engagement put the business at operational, financial and brand risk.  Sustained investment in stakeholder engagement is consequently seen as essential to the successful delivery of StaySmart Plus and similar IHG projects in the future. </w:t>
      </w:r>
    </w:p>
    <w:p w14:paraId="42A310FC" w14:textId="77777777" w:rsidR="00803B2F" w:rsidRDefault="00A02157">
      <w:pPr>
        <w:spacing w:after="0" w:line="259" w:lineRule="auto"/>
        <w:ind w:left="0" w:firstLine="0"/>
        <w:jc w:val="left"/>
      </w:pPr>
      <w:r>
        <w:t xml:space="preserve"> </w:t>
      </w:r>
      <w:r>
        <w:tab/>
        <w:t xml:space="preserve"> </w:t>
      </w:r>
      <w:r>
        <w:br w:type="page"/>
      </w:r>
    </w:p>
    <w:p w14:paraId="04CF6B84" w14:textId="77777777" w:rsidR="00803B2F" w:rsidRDefault="00A02157">
      <w:pPr>
        <w:pStyle w:val="Heading1"/>
        <w:spacing w:after="309"/>
        <w:ind w:left="-5"/>
      </w:pPr>
      <w:r>
        <w:t>References</w:t>
      </w:r>
      <w:r>
        <w:rPr>
          <w:b w:val="0"/>
        </w:rPr>
        <w:t xml:space="preserve"> </w:t>
      </w:r>
    </w:p>
    <w:p w14:paraId="245C63DF" w14:textId="77777777" w:rsidR="00803B2F" w:rsidRDefault="00A02157">
      <w:pPr>
        <w:spacing w:after="159" w:line="357" w:lineRule="auto"/>
        <w:ind w:left="396" w:hanging="411"/>
      </w:pPr>
      <w:r>
        <w:t xml:space="preserve">Aaltonen, K., Roya, D., Di Maddaloni, F. and Turner, R. (2024). </w:t>
      </w:r>
      <w:r>
        <w:rPr>
          <w:i/>
        </w:rPr>
        <w:t>Stakeholder engagement: Theoretical and methodological directions for project scholarship - UCL Discovery</w:t>
      </w:r>
      <w:r>
        <w:t xml:space="preserve">. [online] Ucl.ac.uk. Available at: </w:t>
      </w:r>
      <w:hyperlink r:id="rId5">
        <w:r>
          <w:rPr>
            <w:color w:val="0563C1"/>
            <w:u w:val="single" w:color="0563C1"/>
          </w:rPr>
          <w:t>https://discovery.ucl.ac.uk/id/eprint/10201052/</w:t>
        </w:r>
      </w:hyperlink>
      <w:hyperlink r:id="rId6">
        <w:r>
          <w:t xml:space="preserve"> </w:t>
        </w:r>
      </w:hyperlink>
      <w:r>
        <w:t xml:space="preserve"> </w:t>
      </w:r>
    </w:p>
    <w:p w14:paraId="07702F57" w14:textId="77777777" w:rsidR="00803B2F" w:rsidRDefault="00A02157">
      <w:pPr>
        <w:spacing w:after="163" w:line="356" w:lineRule="auto"/>
        <w:ind w:left="396" w:hanging="411"/>
        <w:jc w:val="left"/>
      </w:pPr>
      <w:r>
        <w:t xml:space="preserve">Apm.org.uk. (2026). </w:t>
      </w:r>
      <w:r>
        <w:rPr>
          <w:i/>
        </w:rPr>
        <w:t>APM Body of Knowledge 8th edition</w:t>
      </w:r>
      <w:r>
        <w:t xml:space="preserve">. [online] Available at: </w:t>
      </w:r>
      <w:hyperlink r:id="rId7">
        <w:r>
          <w:rPr>
            <w:color w:val="0563C1"/>
            <w:u w:val="single" w:color="0563C1"/>
          </w:rPr>
          <w:t>https://www.apm.org.uk/book</w:t>
        </w:r>
      </w:hyperlink>
      <w:hyperlink r:id="rId8">
        <w:r>
          <w:rPr>
            <w:color w:val="0563C1"/>
            <w:u w:val="single" w:color="0563C1"/>
          </w:rPr>
          <w:t>-</w:t>
        </w:r>
      </w:hyperlink>
      <w:hyperlink r:id="rId9">
        <w:r>
          <w:rPr>
            <w:color w:val="0563C1"/>
            <w:u w:val="single" w:color="0563C1"/>
          </w:rPr>
          <w:t>shop/apm</w:t>
        </w:r>
      </w:hyperlink>
      <w:hyperlink r:id="rId10">
        <w:r>
          <w:rPr>
            <w:color w:val="0563C1"/>
            <w:u w:val="single" w:color="0563C1"/>
          </w:rPr>
          <w:t>-</w:t>
        </w:r>
      </w:hyperlink>
      <w:hyperlink r:id="rId11">
        <w:r>
          <w:rPr>
            <w:color w:val="0563C1"/>
            <w:u w:val="single" w:color="0563C1"/>
          </w:rPr>
          <w:t>body</w:t>
        </w:r>
      </w:hyperlink>
      <w:hyperlink r:id="rId12">
        <w:r>
          <w:rPr>
            <w:color w:val="0563C1"/>
            <w:u w:val="single" w:color="0563C1"/>
          </w:rPr>
          <w:t>-</w:t>
        </w:r>
      </w:hyperlink>
      <w:hyperlink r:id="rId13">
        <w:r>
          <w:rPr>
            <w:color w:val="0563C1"/>
            <w:u w:val="single" w:color="0563C1"/>
          </w:rPr>
          <w:t>of</w:t>
        </w:r>
      </w:hyperlink>
      <w:hyperlink r:id="rId14">
        <w:r>
          <w:rPr>
            <w:color w:val="0563C1"/>
            <w:u w:val="single" w:color="0563C1"/>
          </w:rPr>
          <w:t>-</w:t>
        </w:r>
      </w:hyperlink>
      <w:hyperlink r:id="rId15">
        <w:r>
          <w:rPr>
            <w:color w:val="0563C1"/>
            <w:u w:val="single" w:color="0563C1"/>
          </w:rPr>
          <w:t>knowledge</w:t>
        </w:r>
      </w:hyperlink>
      <w:hyperlink r:id="rId16">
        <w:r>
          <w:rPr>
            <w:color w:val="0563C1"/>
            <w:u w:val="single" w:color="0563C1"/>
          </w:rPr>
          <w:t>-</w:t>
        </w:r>
      </w:hyperlink>
      <w:hyperlink r:id="rId17">
        <w:r>
          <w:rPr>
            <w:color w:val="0563C1"/>
            <w:u w:val="single" w:color="0563C1"/>
          </w:rPr>
          <w:t>8th</w:t>
        </w:r>
      </w:hyperlink>
      <w:hyperlink r:id="rId18">
        <w:r>
          <w:rPr>
            <w:color w:val="0563C1"/>
            <w:u w:val="single" w:color="0563C1"/>
          </w:rPr>
          <w:t>-</w:t>
        </w:r>
      </w:hyperlink>
      <w:hyperlink r:id="rId19">
        <w:r>
          <w:rPr>
            <w:color w:val="0563C1"/>
            <w:u w:val="single" w:color="0563C1"/>
          </w:rPr>
          <w:t>edition/</w:t>
        </w:r>
      </w:hyperlink>
      <w:hyperlink r:id="rId20">
        <w:r>
          <w:t xml:space="preserve"> </w:t>
        </w:r>
      </w:hyperlink>
      <w:r>
        <w:t xml:space="preserve"> </w:t>
      </w:r>
    </w:p>
    <w:p w14:paraId="75D4E176" w14:textId="77777777" w:rsidR="00803B2F" w:rsidRDefault="00A02157">
      <w:pPr>
        <w:spacing w:after="150" w:line="367" w:lineRule="auto"/>
        <w:ind w:left="401" w:hanging="401"/>
        <w:jc w:val="left"/>
      </w:pPr>
      <w:r>
        <w:t xml:space="preserve">Blak Bernat, G., Qualharini, E.L. and Castro, M.S. (2023). Enhancing Sustainability in Project Management: The Role of Stakeholder Engagement and Knowledge Management in Virtual </w:t>
      </w:r>
      <w:r>
        <w:tab/>
        <w:t xml:space="preserve">Team </w:t>
      </w:r>
      <w:r>
        <w:tab/>
        <w:t xml:space="preserve">Environments. </w:t>
      </w:r>
      <w:r>
        <w:rPr>
          <w:i/>
        </w:rPr>
        <w:t>Sustainability</w:t>
      </w:r>
      <w:r>
        <w:t xml:space="preserve">, </w:t>
      </w:r>
      <w:r>
        <w:tab/>
        <w:t xml:space="preserve">[online] </w:t>
      </w:r>
      <w:r>
        <w:tab/>
        <w:t xml:space="preserve">15(6), </w:t>
      </w:r>
      <w:r>
        <w:tab/>
        <w:t xml:space="preserve">p.4896. doi:10.3390/su15064896. </w:t>
      </w:r>
    </w:p>
    <w:p w14:paraId="02DA694D" w14:textId="77777777" w:rsidR="00803B2F" w:rsidRDefault="00A02157">
      <w:pPr>
        <w:spacing w:after="159" w:line="357" w:lineRule="auto"/>
        <w:ind w:left="396" w:hanging="411"/>
      </w:pPr>
      <w:r>
        <w:t xml:space="preserve">Scirp.org. (2026). </w:t>
      </w:r>
      <w:r>
        <w:rPr>
          <w:i/>
        </w:rPr>
        <w:t>Freeman, R.E. (1984) Strategic Management A Stakeholder Approach. Pitman, Boston. - References - Scientific Research Publishing</w:t>
      </w:r>
      <w:r>
        <w:t xml:space="preserve">. [online] Available at: </w:t>
      </w:r>
      <w:hyperlink r:id="rId21">
        <w:r>
          <w:rPr>
            <w:color w:val="0563C1"/>
            <w:u w:val="single" w:color="0563C1"/>
          </w:rPr>
          <w:t>https://www.scirp.org/reference/referencespapers?referenceid=1209107</w:t>
        </w:r>
      </w:hyperlink>
      <w:hyperlink r:id="rId22">
        <w:r>
          <w:t xml:space="preserve"> </w:t>
        </w:r>
      </w:hyperlink>
      <w:r>
        <w:t xml:space="preserve"> </w:t>
      </w:r>
    </w:p>
    <w:p w14:paraId="10066500" w14:textId="77777777" w:rsidR="00803B2F" w:rsidRDefault="00A02157">
      <w:pPr>
        <w:spacing w:after="144" w:line="259" w:lineRule="auto"/>
        <w:ind w:left="-5" w:right="4"/>
      </w:pPr>
      <w:r>
        <w:t xml:space="preserve">Gil, N.A. (2023). Cracking the megaproject puzzle: A stakeholder perspective? </w:t>
      </w:r>
      <w:r>
        <w:rPr>
          <w:i/>
        </w:rPr>
        <w:t xml:space="preserve">International </w:t>
      </w:r>
    </w:p>
    <w:p w14:paraId="605D630E" w14:textId="77777777" w:rsidR="00803B2F" w:rsidRDefault="00A02157">
      <w:pPr>
        <w:spacing w:after="159"/>
        <w:ind w:left="411" w:right="4"/>
      </w:pPr>
      <w:r>
        <w:rPr>
          <w:i/>
        </w:rPr>
        <w:t xml:space="preserve">Journal </w:t>
      </w:r>
      <w:r>
        <w:rPr>
          <w:i/>
        </w:rPr>
        <w:tab/>
        <w:t xml:space="preserve">of </w:t>
      </w:r>
      <w:r>
        <w:rPr>
          <w:i/>
        </w:rPr>
        <w:tab/>
        <w:t xml:space="preserve">Project </w:t>
      </w:r>
      <w:r>
        <w:rPr>
          <w:i/>
        </w:rPr>
        <w:tab/>
        <w:t>Management</w:t>
      </w:r>
      <w:r>
        <w:t xml:space="preserve">, </w:t>
      </w:r>
      <w:r>
        <w:tab/>
        <w:t xml:space="preserve">[online] </w:t>
      </w:r>
      <w:r>
        <w:tab/>
        <w:t xml:space="preserve">41(3), </w:t>
      </w:r>
      <w:r>
        <w:tab/>
        <w:t xml:space="preserve">p.102455. doi:10.1016/j.ijproman.2023.102455. </w:t>
      </w:r>
    </w:p>
    <w:p w14:paraId="79ADE773" w14:textId="77777777" w:rsidR="00803B2F" w:rsidRDefault="00A02157">
      <w:pPr>
        <w:spacing w:after="160"/>
        <w:ind w:left="386" w:right="4" w:hanging="401"/>
      </w:pPr>
      <w:r>
        <w:t xml:space="preserve">InterContinental Hotels Group PLC. (2024). </w:t>
      </w:r>
      <w:r>
        <w:rPr>
          <w:i/>
        </w:rPr>
        <w:t>2024 Annual report</w:t>
      </w:r>
      <w:r>
        <w:t xml:space="preserve">. [online] Available at: </w:t>
      </w:r>
      <w:hyperlink r:id="rId23">
        <w:r>
          <w:rPr>
            <w:color w:val="0563C1"/>
            <w:u w:val="single" w:color="0563C1"/>
          </w:rPr>
          <w:t>https://www.ihgplc.com/en/investors/2024</w:t>
        </w:r>
      </w:hyperlink>
      <w:hyperlink r:id="rId24">
        <w:r>
          <w:rPr>
            <w:color w:val="0563C1"/>
            <w:u w:val="single" w:color="0563C1"/>
          </w:rPr>
          <w:t>-</w:t>
        </w:r>
      </w:hyperlink>
      <w:hyperlink r:id="rId25">
        <w:r>
          <w:rPr>
            <w:color w:val="0563C1"/>
            <w:u w:val="single" w:color="0563C1"/>
          </w:rPr>
          <w:t>annual</w:t>
        </w:r>
      </w:hyperlink>
      <w:hyperlink r:id="rId26">
        <w:r>
          <w:rPr>
            <w:color w:val="0563C1"/>
            <w:u w:val="single" w:color="0563C1"/>
          </w:rPr>
          <w:t>-</w:t>
        </w:r>
      </w:hyperlink>
      <w:hyperlink r:id="rId27">
        <w:r>
          <w:rPr>
            <w:color w:val="0563C1"/>
            <w:u w:val="single" w:color="0563C1"/>
          </w:rPr>
          <w:t>report</w:t>
        </w:r>
      </w:hyperlink>
      <w:hyperlink r:id="rId28">
        <w:r>
          <w:t xml:space="preserve"> </w:t>
        </w:r>
      </w:hyperlink>
      <w:r>
        <w:t xml:space="preserve"> </w:t>
      </w:r>
    </w:p>
    <w:p w14:paraId="1F951F0A" w14:textId="77777777" w:rsidR="00803B2F" w:rsidRDefault="00A02157">
      <w:pPr>
        <w:spacing w:after="154"/>
        <w:ind w:left="386" w:right="4" w:hanging="401"/>
      </w:pPr>
      <w:r>
        <w:t xml:space="preserve">Klaus-Rosińska, A. and Iwko, J. (2021). Stakeholder Management—One of the Clues of Sustainable Project Management—As an Underestimated Factor of Project Success in Small Construction Companies. </w:t>
      </w:r>
      <w:r>
        <w:rPr>
          <w:i/>
        </w:rPr>
        <w:t>Sustainability</w:t>
      </w:r>
      <w:r>
        <w:t xml:space="preserve">, [online] 13(17), p.9877. doi:10.3390/su13179877. </w:t>
      </w:r>
    </w:p>
    <w:p w14:paraId="36D48AA4" w14:textId="77777777" w:rsidR="00803B2F" w:rsidRDefault="00A02157">
      <w:pPr>
        <w:spacing w:after="159"/>
        <w:ind w:left="386" w:right="4" w:hanging="401"/>
      </w:pPr>
      <w:r>
        <w:t xml:space="preserve">Kujala, J., Sachs, S., Leinonen, H., Heikkinen, A. and Laude, D. (2022). Stakeholder Engagement: Past, Present, and Future. </w:t>
      </w:r>
      <w:r>
        <w:rPr>
          <w:i/>
        </w:rPr>
        <w:t>Business &amp; Society</w:t>
      </w:r>
      <w:r>
        <w:t xml:space="preserve">, [online] 61(5), pp.1136–1196. doi: </w:t>
      </w:r>
      <w:hyperlink r:id="rId29">
        <w:r>
          <w:rPr>
            <w:color w:val="0563C1"/>
            <w:u w:val="single" w:color="0563C1"/>
          </w:rPr>
          <w:t>https://doi.org/10.1177/00076503211066595</w:t>
        </w:r>
      </w:hyperlink>
      <w:hyperlink r:id="rId30">
        <w:r>
          <w:t>.</w:t>
        </w:r>
      </w:hyperlink>
      <w:r>
        <w:t xml:space="preserve">    </w:t>
      </w:r>
    </w:p>
    <w:p w14:paraId="12D77E69" w14:textId="77777777" w:rsidR="00803B2F" w:rsidRDefault="00A02157">
      <w:pPr>
        <w:spacing w:after="280"/>
        <w:ind w:left="706" w:right="4" w:hanging="721"/>
      </w:pPr>
      <w:r>
        <w:t xml:space="preserve">Lehtinen, J. and Kirsi Aaltonen (2020). Organizing external stakeholder engagement in interorganizational projects: Opening the black box. </w:t>
      </w:r>
      <w:r>
        <w:rPr>
          <w:i/>
        </w:rPr>
        <w:t>International Journal of Project Management</w:t>
      </w:r>
      <w:r>
        <w:t xml:space="preserve">, [online] 38(2), pp.85–98. doi:10.1016/j.ijproman.2019.12.001. </w:t>
      </w:r>
    </w:p>
    <w:p w14:paraId="70194AE6" w14:textId="77777777" w:rsidR="00803B2F" w:rsidRDefault="00A02157">
      <w:pPr>
        <w:spacing w:after="0" w:line="259" w:lineRule="auto"/>
        <w:ind w:left="0" w:firstLine="0"/>
        <w:jc w:val="left"/>
      </w:pPr>
      <w:r>
        <w:t xml:space="preserve"> </w:t>
      </w:r>
    </w:p>
    <w:p w14:paraId="155B41B5" w14:textId="77777777" w:rsidR="00803B2F" w:rsidRDefault="00A02157">
      <w:pPr>
        <w:spacing w:after="115" w:line="259" w:lineRule="auto"/>
        <w:ind w:left="-15" w:firstLine="0"/>
      </w:pPr>
      <w:r>
        <w:t xml:space="preserve">Mendelow, A.L. (2026). </w:t>
      </w:r>
      <w:r>
        <w:rPr>
          <w:i/>
        </w:rPr>
        <w:t>Environmental Scanning--The Impact of the Stakeholder Concept</w:t>
      </w:r>
      <w:r>
        <w:t xml:space="preserve">. </w:t>
      </w:r>
    </w:p>
    <w:p w14:paraId="68F482A9" w14:textId="77777777" w:rsidR="00803B2F" w:rsidRDefault="00A02157">
      <w:pPr>
        <w:spacing w:after="155"/>
        <w:ind w:left="411" w:right="4"/>
      </w:pPr>
      <w:r>
        <w:t xml:space="preserve">[online] AIS Electronic Library (AISeL). Available at: </w:t>
      </w:r>
      <w:hyperlink r:id="rId31">
        <w:r>
          <w:rPr>
            <w:color w:val="0563C1"/>
            <w:u w:val="single" w:color="0563C1"/>
          </w:rPr>
          <w:t>https://aisel.aisnet.org/icis1981/20/?referrer=grok.com</w:t>
        </w:r>
      </w:hyperlink>
      <w:hyperlink r:id="rId32">
        <w:r>
          <w:t xml:space="preserve"> </w:t>
        </w:r>
      </w:hyperlink>
      <w:r>
        <w:t xml:space="preserve"> [Accessed 10 July 2026]. </w:t>
      </w:r>
    </w:p>
    <w:p w14:paraId="0745794C" w14:textId="77777777" w:rsidR="00803B2F" w:rsidRDefault="00A02157">
      <w:pPr>
        <w:spacing w:after="159" w:line="357" w:lineRule="auto"/>
        <w:ind w:left="396" w:hanging="411"/>
      </w:pPr>
      <w:r>
        <w:t xml:space="preserve">JSTOR. (2026). </w:t>
      </w:r>
      <w:r>
        <w:rPr>
          <w:i/>
        </w:rPr>
        <w:t>Toward a Theory of Stakeholder Identification and Salience: Defining the Principle of Who and What Really Counts | JSTOR</w:t>
      </w:r>
      <w:r>
        <w:t xml:space="preserve">. [online] Available at: </w:t>
      </w:r>
      <w:hyperlink r:id="rId33">
        <w:r>
          <w:rPr>
            <w:color w:val="0563C1"/>
            <w:u w:val="single" w:color="0563C1"/>
          </w:rPr>
          <w:t>https://www.jstor.org/stable/259247?origin=crossref&amp;seq=1</w:t>
        </w:r>
      </w:hyperlink>
      <w:hyperlink r:id="rId34">
        <w:r>
          <w:t xml:space="preserve"> </w:t>
        </w:r>
      </w:hyperlink>
      <w:r>
        <w:t xml:space="preserve"> [Accessed 10 July 2026]. </w:t>
      </w:r>
    </w:p>
    <w:p w14:paraId="0F4AFB4E" w14:textId="77777777" w:rsidR="00803B2F" w:rsidRDefault="00A02157">
      <w:pPr>
        <w:spacing w:after="160"/>
        <w:ind w:left="386" w:right="4" w:hanging="401"/>
      </w:pPr>
      <w:r>
        <w:t xml:space="preserve">Rassiah, P., Mohd Nasir, N., Khan, G. and Munir, S. (2022). Stakeholder salience and environmental stewardship among hotels in Malaysia. </w:t>
      </w:r>
      <w:r>
        <w:rPr>
          <w:i/>
        </w:rPr>
        <w:t>Sustainability Accounting, Management and Policy Journal</w:t>
      </w:r>
      <w:r>
        <w:t xml:space="preserve">, [online] 13(5), pp.1201–1228. doi:10.1108/sampj-062021-0221.  </w:t>
      </w:r>
    </w:p>
    <w:p w14:paraId="4A9796A2" w14:textId="77777777" w:rsidR="00803B2F" w:rsidRDefault="00A02157">
      <w:pPr>
        <w:spacing w:after="159" w:line="259" w:lineRule="auto"/>
        <w:ind w:left="-15" w:firstLine="0"/>
      </w:pPr>
      <w:r>
        <w:t xml:space="preserve">Ricaurte, E. and Jagarajan, R. (2021). </w:t>
      </w:r>
      <w:r>
        <w:rPr>
          <w:i/>
        </w:rPr>
        <w:t xml:space="preserve">Hotel Sustainability Benchmarking Index 2021: Carbon, </w:t>
      </w:r>
    </w:p>
    <w:p w14:paraId="347AA0A4" w14:textId="77777777" w:rsidR="00803B2F" w:rsidRDefault="00A02157">
      <w:pPr>
        <w:tabs>
          <w:tab w:val="center" w:pos="775"/>
          <w:tab w:val="center" w:pos="1955"/>
          <w:tab w:val="center" w:pos="3083"/>
          <w:tab w:val="center" w:pos="4412"/>
          <w:tab w:val="center" w:pos="6011"/>
          <w:tab w:val="center" w:pos="7694"/>
          <w:tab w:val="right" w:pos="9033"/>
        </w:tabs>
        <w:spacing w:after="121" w:line="259" w:lineRule="auto"/>
        <w:ind w:left="0" w:firstLine="0"/>
        <w:jc w:val="left"/>
      </w:pPr>
      <w:r>
        <w:rPr>
          <w:rFonts w:ascii="Calibri" w:eastAsia="Calibri" w:hAnsi="Calibri" w:cs="Calibri"/>
          <w:sz w:val="22"/>
        </w:rPr>
        <w:tab/>
      </w:r>
      <w:r>
        <w:rPr>
          <w:i/>
        </w:rPr>
        <w:t xml:space="preserve">Energy, </w:t>
      </w:r>
      <w:r>
        <w:rPr>
          <w:i/>
        </w:rPr>
        <w:tab/>
        <w:t xml:space="preserve">and </w:t>
      </w:r>
      <w:r>
        <w:rPr>
          <w:i/>
        </w:rPr>
        <w:tab/>
        <w:t>Water</w:t>
      </w:r>
      <w:r>
        <w:t xml:space="preserve">. </w:t>
      </w:r>
      <w:r>
        <w:tab/>
        <w:t xml:space="preserve">[online] </w:t>
      </w:r>
      <w:r>
        <w:tab/>
        <w:t xml:space="preserve">Cornell.edu. </w:t>
      </w:r>
      <w:r>
        <w:tab/>
        <w:t xml:space="preserve">Available </w:t>
      </w:r>
      <w:r>
        <w:tab/>
        <w:t xml:space="preserve">at: </w:t>
      </w:r>
    </w:p>
    <w:p w14:paraId="5F717A9C" w14:textId="77777777" w:rsidR="00803B2F" w:rsidRDefault="00A02157">
      <w:pPr>
        <w:spacing w:after="163" w:line="356" w:lineRule="auto"/>
        <w:ind w:left="401" w:firstLine="0"/>
        <w:jc w:val="left"/>
      </w:pPr>
      <w:hyperlink r:id="rId35">
        <w:r>
          <w:rPr>
            <w:color w:val="0563C1"/>
            <w:u w:val="single" w:color="0563C1"/>
          </w:rPr>
          <w:t>https://ecommons.cornell.edu/entities/publication/eeeb23fe</w:t>
        </w:r>
      </w:hyperlink>
      <w:hyperlink r:id="rId36">
        <w:r>
          <w:rPr>
            <w:color w:val="0563C1"/>
            <w:u w:val="single" w:color="0563C1"/>
          </w:rPr>
          <w:t>-</w:t>
        </w:r>
      </w:hyperlink>
      <w:hyperlink r:id="rId37">
        <w:r>
          <w:rPr>
            <w:color w:val="0563C1"/>
            <w:u w:val="single" w:color="0563C1"/>
          </w:rPr>
          <w:t>76d1</w:t>
        </w:r>
      </w:hyperlink>
      <w:hyperlink r:id="rId38">
        <w:r>
          <w:rPr>
            <w:color w:val="0563C1"/>
            <w:u w:val="single" w:color="0563C1"/>
          </w:rPr>
          <w:t>-</w:t>
        </w:r>
      </w:hyperlink>
      <w:hyperlink r:id="rId39">
        <w:r>
          <w:rPr>
            <w:color w:val="0563C1"/>
            <w:u w:val="single" w:color="0563C1"/>
          </w:rPr>
          <w:t>4db2</w:t>
        </w:r>
      </w:hyperlink>
      <w:hyperlink r:id="rId40">
        <w:r>
          <w:rPr>
            <w:color w:val="0563C1"/>
            <w:u w:val="single" w:color="0563C1"/>
          </w:rPr>
          <w:t>-</w:t>
        </w:r>
      </w:hyperlink>
      <w:hyperlink r:id="rId41">
        <w:r>
          <w:rPr>
            <w:color w:val="0563C1"/>
            <w:u w:val="single" w:color="0563C1"/>
          </w:rPr>
          <w:t>a0bb</w:t>
        </w:r>
      </w:hyperlink>
      <w:hyperlink r:id="rId42"/>
      <w:hyperlink r:id="rId43">
        <w:r>
          <w:rPr>
            <w:color w:val="0563C1"/>
            <w:u w:val="single" w:color="0563C1"/>
          </w:rPr>
          <w:t>61447b56810a</w:t>
        </w:r>
      </w:hyperlink>
      <w:hyperlink r:id="rId44">
        <w:r>
          <w:t xml:space="preserve"> </w:t>
        </w:r>
      </w:hyperlink>
      <w:r>
        <w:t xml:space="preserve"> [Accessed 10 July 2026]. </w:t>
      </w:r>
    </w:p>
    <w:p w14:paraId="1F799402" w14:textId="77777777" w:rsidR="00803B2F" w:rsidRDefault="00A02157">
      <w:pPr>
        <w:spacing w:after="159" w:line="357" w:lineRule="auto"/>
        <w:ind w:left="396" w:hanging="411"/>
      </w:pPr>
      <w:r>
        <w:t xml:space="preserve">Daniel, S. and Jonathan, H. (2024). </w:t>
      </w:r>
      <w:r>
        <w:rPr>
          <w:i/>
        </w:rPr>
        <w:t>EasyChair Preprint Importance of Stakeholder Involvement</w:t>
      </w:r>
      <w:r>
        <w:t xml:space="preserve">. </w:t>
      </w:r>
    </w:p>
    <w:p w14:paraId="162FC255" w14:textId="77777777" w:rsidR="00803B2F" w:rsidRDefault="00A02157">
      <w:pPr>
        <w:spacing w:after="0"/>
        <w:ind w:left="706" w:right="4" w:hanging="721"/>
      </w:pPr>
      <w:r>
        <w:t xml:space="preserve">Tampio, K.P., Haapasalo, H. and Ali, F. (2022) 'Stakeholder analysis and landscape in a hospital project, elements and implications for value creation', International Journal of Managing Projects in Business, 15(8), pp. 48 to 76. </w:t>
      </w:r>
    </w:p>
    <w:p w14:paraId="413EF3CC" w14:textId="77777777" w:rsidR="00803B2F" w:rsidRDefault="00A02157">
      <w:pPr>
        <w:spacing w:after="0"/>
        <w:ind w:left="706" w:right="4" w:hanging="721"/>
      </w:pPr>
      <w:r>
        <w:t xml:space="preserve">Uddin, S., Ong, S. and Matous, P. (2023) 'Stakeholder engagement variability across public, private and public private partnership projects: a data driven network based analysis', PLOS ONE, 18(1), e0279916. </w:t>
      </w:r>
    </w:p>
    <w:p w14:paraId="271BA670" w14:textId="77777777" w:rsidR="00803B2F" w:rsidRDefault="00A02157">
      <w:pPr>
        <w:spacing w:after="0"/>
        <w:ind w:left="706" w:right="4" w:hanging="721"/>
      </w:pPr>
      <w:r>
        <w:t xml:space="preserve">Vrontis, D., Iazzi, A., Maizza, A. and Cavallo, F. (2022) 'Stakeholder engagement in the hospitality industry: an analysis of communication in SMEs and large hotels', Journal of Hospitality and Tourism Research, [online]. Available at: https://journals.sagepub.com (Accessed: 10 July 2026). </w:t>
      </w:r>
    </w:p>
    <w:p w14:paraId="6ACCDB8B" w14:textId="77777777" w:rsidR="00803B2F" w:rsidRDefault="00A02157">
      <w:pPr>
        <w:spacing w:after="0"/>
        <w:ind w:left="706" w:right="4" w:hanging="721"/>
      </w:pPr>
      <w:r>
        <w:t xml:space="preserve">Waris, M., Khan, A., Abideen, A.Z., Sorooshian, S. and Ullah, M. (2022) 'Stakeholder management in public sector infrastructure projects', Journal of Engineering, Project, and Production Management, 12(3), pp. 188 to 201. </w:t>
      </w:r>
    </w:p>
    <w:p w14:paraId="500F60ED" w14:textId="77777777" w:rsidR="00803B2F" w:rsidRDefault="00A02157">
      <w:pPr>
        <w:spacing w:after="0"/>
        <w:ind w:left="386" w:right="4" w:hanging="401"/>
      </w:pPr>
      <w:r>
        <w:t xml:space="preserve">Wegrzyn, J. and Wojewnik Filipkowska, A. (2022) 'Stakeholder analysis and their attitude towards PPP success', Sustainability, 14(3), 1570. </w:t>
      </w:r>
    </w:p>
    <w:p w14:paraId="7906407B" w14:textId="77777777" w:rsidR="00803B2F" w:rsidRDefault="00A02157">
      <w:pPr>
        <w:spacing w:after="115" w:line="259" w:lineRule="auto"/>
        <w:ind w:left="-5" w:right="4"/>
      </w:pPr>
      <w:r>
        <w:t xml:space="preserve">Iyelolu, T.V., Agu, E.E., Idemudia, C. and Ijomah, T.I., 2024. Driving SME innovation with </w:t>
      </w:r>
    </w:p>
    <w:p w14:paraId="7FE4AD75" w14:textId="77777777" w:rsidR="00803B2F" w:rsidRDefault="00A02157">
      <w:pPr>
        <w:spacing w:after="0"/>
        <w:ind w:left="731" w:right="4"/>
      </w:pPr>
      <w:r>
        <w:t xml:space="preserve">AI solutions: overcoming adoption barriers and future growth opportunities. </w:t>
      </w:r>
      <w:r>
        <w:rPr>
          <w:i/>
        </w:rPr>
        <w:t>International Journal of Science and Technology Research Archive</w:t>
      </w:r>
      <w:r>
        <w:t xml:space="preserve">, </w:t>
      </w:r>
      <w:r>
        <w:rPr>
          <w:i/>
        </w:rPr>
        <w:t>7</w:t>
      </w:r>
      <w:r>
        <w:t xml:space="preserve">(1), pp.036-054.  </w:t>
      </w:r>
    </w:p>
    <w:p w14:paraId="02DF6E99" w14:textId="77777777" w:rsidR="00803B2F" w:rsidRDefault="00A02157">
      <w:pPr>
        <w:spacing w:after="0" w:line="259" w:lineRule="auto"/>
        <w:ind w:left="0" w:firstLine="0"/>
        <w:jc w:val="left"/>
      </w:pPr>
      <w:r>
        <w:t xml:space="preserve"> </w:t>
      </w:r>
    </w:p>
    <w:sectPr w:rsidR="00803B2F">
      <w:pgSz w:w="11905" w:h="16840"/>
      <w:pgMar w:top="1446" w:right="1431" w:bottom="151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22D52"/>
    <w:multiLevelType w:val="multilevel"/>
    <w:tmpl w:val="FFFFFFFF"/>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69759A9"/>
    <w:multiLevelType w:val="multilevel"/>
    <w:tmpl w:val="FFFFFFFF"/>
    <w:lvl w:ilvl="0">
      <w:start w:val="5"/>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48188980">
    <w:abstractNumId w:val="0"/>
  </w:num>
  <w:num w:numId="2" w16cid:durableId="860360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B2F"/>
    <w:rsid w:val="003E1BE1"/>
    <w:rsid w:val="0047296C"/>
    <w:rsid w:val="007E26FE"/>
    <w:rsid w:val="00803B2F"/>
    <w:rsid w:val="00A02157"/>
    <w:rsid w:val="00D87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94177"/>
  <w15:docId w15:val="{BD2ED823-1C3C-984E-B4A2-03870190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2" w:line="359" w:lineRule="auto"/>
      <w:ind w:left="10" w:hanging="10"/>
      <w:jc w:val="both"/>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pPr>
      <w:keepNext/>
      <w:keepLines/>
      <w:spacing w:after="266" w:line="265" w:lineRule="auto"/>
      <w:ind w:left="10"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266" w:line="265" w:lineRule="auto"/>
      <w:ind w:left="10"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pm.org.uk/book-shop/apm-body-of-knowledge-8th-edition/" TargetMode="External"/><Relationship Id="rId18" Type="http://schemas.openxmlformats.org/officeDocument/2006/relationships/hyperlink" Target="https://www.apm.org.uk/book-shop/apm-body-of-knowledge-8th-edition/" TargetMode="External"/><Relationship Id="rId26" Type="http://schemas.openxmlformats.org/officeDocument/2006/relationships/hyperlink" Target="https://www.ihgplc.com/en/investors/2024-annual-report" TargetMode="External"/><Relationship Id="rId39" Type="http://schemas.openxmlformats.org/officeDocument/2006/relationships/hyperlink" Target="https://ecommons.cornell.edu/entities/publication/eeeb23fe-76d1-4db2-a0bb-61447b56810a" TargetMode="External"/><Relationship Id="rId21" Type="http://schemas.openxmlformats.org/officeDocument/2006/relationships/hyperlink" Target="https://www.scirp.org/reference/referencespapers?referenceid=1209107" TargetMode="External"/><Relationship Id="rId34" Type="http://schemas.openxmlformats.org/officeDocument/2006/relationships/hyperlink" Target="https://www.jstor.org/stable/259247?origin=crossref&amp;seq=1" TargetMode="External"/><Relationship Id="rId42" Type="http://schemas.openxmlformats.org/officeDocument/2006/relationships/hyperlink" Target="https://ecommons.cornell.edu/entities/publication/eeeb23fe-76d1-4db2-a0bb-61447b56810a" TargetMode="External"/><Relationship Id="rId7" Type="http://schemas.openxmlformats.org/officeDocument/2006/relationships/hyperlink" Target="https://www.apm.org.uk/book-shop/apm-body-of-knowledge-8th-edition/" TargetMode="External"/><Relationship Id="rId2" Type="http://schemas.openxmlformats.org/officeDocument/2006/relationships/styles" Target="styles.xml"/><Relationship Id="rId16" Type="http://schemas.openxmlformats.org/officeDocument/2006/relationships/hyperlink" Target="https://www.apm.org.uk/book-shop/apm-body-of-knowledge-8th-edition/" TargetMode="External"/><Relationship Id="rId29" Type="http://schemas.openxmlformats.org/officeDocument/2006/relationships/hyperlink" Target="https://doi.org/10.1177/00076503211066595" TargetMode="External"/><Relationship Id="rId1" Type="http://schemas.openxmlformats.org/officeDocument/2006/relationships/numbering" Target="numbering.xml"/><Relationship Id="rId6" Type="http://schemas.openxmlformats.org/officeDocument/2006/relationships/hyperlink" Target="https://discovery.ucl.ac.uk/id/eprint/10201052/" TargetMode="External"/><Relationship Id="rId11" Type="http://schemas.openxmlformats.org/officeDocument/2006/relationships/hyperlink" Target="https://www.apm.org.uk/book-shop/apm-body-of-knowledge-8th-edition/" TargetMode="External"/><Relationship Id="rId24" Type="http://schemas.openxmlformats.org/officeDocument/2006/relationships/hyperlink" Target="https://www.ihgplc.com/en/investors/2024-annual-report" TargetMode="External"/><Relationship Id="rId32" Type="http://schemas.openxmlformats.org/officeDocument/2006/relationships/hyperlink" Target="https://aisel.aisnet.org/icis1981/20/?referrer=grok.com" TargetMode="External"/><Relationship Id="rId37" Type="http://schemas.openxmlformats.org/officeDocument/2006/relationships/hyperlink" Target="https://ecommons.cornell.edu/entities/publication/eeeb23fe-76d1-4db2-a0bb-61447b56810a" TargetMode="External"/><Relationship Id="rId40" Type="http://schemas.openxmlformats.org/officeDocument/2006/relationships/hyperlink" Target="https://ecommons.cornell.edu/entities/publication/eeeb23fe-76d1-4db2-a0bb-61447b56810a" TargetMode="External"/><Relationship Id="rId45" Type="http://schemas.openxmlformats.org/officeDocument/2006/relationships/fontTable" Target="fontTable.xml"/><Relationship Id="rId5" Type="http://schemas.openxmlformats.org/officeDocument/2006/relationships/hyperlink" Target="https://discovery.ucl.ac.uk/id/eprint/10201052/" TargetMode="External"/><Relationship Id="rId15" Type="http://schemas.openxmlformats.org/officeDocument/2006/relationships/hyperlink" Target="https://www.apm.org.uk/book-shop/apm-body-of-knowledge-8th-edition/" TargetMode="External"/><Relationship Id="rId23" Type="http://schemas.openxmlformats.org/officeDocument/2006/relationships/hyperlink" Target="https://www.ihgplc.com/en/investors/2024-annual-report" TargetMode="External"/><Relationship Id="rId28" Type="http://schemas.openxmlformats.org/officeDocument/2006/relationships/hyperlink" Target="https://www.ihgplc.com/en/investors/2024-annual-report" TargetMode="External"/><Relationship Id="rId36" Type="http://schemas.openxmlformats.org/officeDocument/2006/relationships/hyperlink" Target="https://ecommons.cornell.edu/entities/publication/eeeb23fe-76d1-4db2-a0bb-61447b56810a" TargetMode="External"/><Relationship Id="rId10" Type="http://schemas.openxmlformats.org/officeDocument/2006/relationships/hyperlink" Target="https://www.apm.org.uk/book-shop/apm-body-of-knowledge-8th-edition/" TargetMode="External"/><Relationship Id="rId19" Type="http://schemas.openxmlformats.org/officeDocument/2006/relationships/hyperlink" Target="https://www.apm.org.uk/book-shop/apm-body-of-knowledge-8th-edition/" TargetMode="External"/><Relationship Id="rId31" Type="http://schemas.openxmlformats.org/officeDocument/2006/relationships/hyperlink" Target="https://aisel.aisnet.org/icis1981/20/?referrer=grok.com" TargetMode="External"/><Relationship Id="rId44" Type="http://schemas.openxmlformats.org/officeDocument/2006/relationships/hyperlink" Target="https://ecommons.cornell.edu/entities/publication/eeeb23fe-76d1-4db2-a0bb-61447b56810a" TargetMode="External"/><Relationship Id="rId4" Type="http://schemas.openxmlformats.org/officeDocument/2006/relationships/webSettings" Target="webSettings.xml"/><Relationship Id="rId9" Type="http://schemas.openxmlformats.org/officeDocument/2006/relationships/hyperlink" Target="https://www.apm.org.uk/book-shop/apm-body-of-knowledge-8th-edition/" TargetMode="External"/><Relationship Id="rId14" Type="http://schemas.openxmlformats.org/officeDocument/2006/relationships/hyperlink" Target="https://www.apm.org.uk/book-shop/apm-body-of-knowledge-8th-edition/" TargetMode="External"/><Relationship Id="rId22" Type="http://schemas.openxmlformats.org/officeDocument/2006/relationships/hyperlink" Target="https://www.scirp.org/reference/referencespapers?referenceid=1209107" TargetMode="External"/><Relationship Id="rId27" Type="http://schemas.openxmlformats.org/officeDocument/2006/relationships/hyperlink" Target="https://www.ihgplc.com/en/investors/2024-annual-report" TargetMode="External"/><Relationship Id="rId30" Type="http://schemas.openxmlformats.org/officeDocument/2006/relationships/hyperlink" Target="https://doi.org/10.1177/00076503211066595" TargetMode="External"/><Relationship Id="rId35" Type="http://schemas.openxmlformats.org/officeDocument/2006/relationships/hyperlink" Target="https://ecommons.cornell.edu/entities/publication/eeeb23fe-76d1-4db2-a0bb-61447b56810a" TargetMode="External"/><Relationship Id="rId43" Type="http://schemas.openxmlformats.org/officeDocument/2006/relationships/hyperlink" Target="https://ecommons.cornell.edu/entities/publication/eeeb23fe-76d1-4db2-a0bb-61447b56810a" TargetMode="External"/><Relationship Id="rId8" Type="http://schemas.openxmlformats.org/officeDocument/2006/relationships/hyperlink" Target="https://www.apm.org.uk/book-shop/apm-body-of-knowledge-8th-edition/" TargetMode="External"/><Relationship Id="rId3" Type="http://schemas.openxmlformats.org/officeDocument/2006/relationships/settings" Target="settings.xml"/><Relationship Id="rId12" Type="http://schemas.openxmlformats.org/officeDocument/2006/relationships/hyperlink" Target="https://www.apm.org.uk/book-shop/apm-body-of-knowledge-8th-edition/" TargetMode="External"/><Relationship Id="rId17" Type="http://schemas.openxmlformats.org/officeDocument/2006/relationships/hyperlink" Target="https://www.apm.org.uk/book-shop/apm-body-of-knowledge-8th-edition/" TargetMode="External"/><Relationship Id="rId25" Type="http://schemas.openxmlformats.org/officeDocument/2006/relationships/hyperlink" Target="https://www.ihgplc.com/en/investors/2024-annual-report" TargetMode="External"/><Relationship Id="rId33" Type="http://schemas.openxmlformats.org/officeDocument/2006/relationships/hyperlink" Target="https://www.jstor.org/stable/259247?origin=crossref&amp;seq=1" TargetMode="External"/><Relationship Id="rId38" Type="http://schemas.openxmlformats.org/officeDocument/2006/relationships/hyperlink" Target="https://ecommons.cornell.edu/entities/publication/eeeb23fe-76d1-4db2-a0bb-61447b56810a" TargetMode="External"/><Relationship Id="rId46" Type="http://schemas.openxmlformats.org/officeDocument/2006/relationships/theme" Target="theme/theme1.xml"/><Relationship Id="rId20" Type="http://schemas.openxmlformats.org/officeDocument/2006/relationships/hyperlink" Target="https://www.apm.org.uk/book-shop/apm-body-of-knowledge-8th-edition/" TargetMode="External"/><Relationship Id="rId41" Type="http://schemas.openxmlformats.org/officeDocument/2006/relationships/hyperlink" Target="https://ecommons.cornell.edu/entities/publication/eeeb23fe-76d1-4db2-a0bb-61447b56810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6205</Words>
  <Characters>35371</Characters>
  <Application>Microsoft Office Word</Application>
  <DocSecurity>0</DocSecurity>
  <Lines>294</Lines>
  <Paragraphs>82</Paragraphs>
  <ScaleCrop>false</ScaleCrop>
  <Company/>
  <LinksUpToDate>false</LinksUpToDate>
  <CharactersWithSpaces>41494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 TRADERS</dc:creator>
  <cp:keywords/>
  <cp:lastModifiedBy>Joaquim Marcos De Sousa Freire (2415568)</cp:lastModifiedBy>
  <cp:revision>3</cp:revision>
  <dcterms:created xsi:type="dcterms:W3CDTF">2026-08-05T12:22:00Z</dcterms:created>
  <dcterms:modified xsi:type="dcterms:W3CDTF">2026-08-05T12:29:00Z</dcterms:modified>
</cp:coreProperties>
</file>