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3A39A60"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8D15BA">
        <w:rPr>
          <w:rFonts w:asciiTheme="minorBidi" w:hAnsiTheme="minorBidi"/>
          <w:b/>
          <w:bCs/>
          <w:sz w:val="48"/>
          <w:szCs w:val="48"/>
        </w:rPr>
        <w:t xml:space="preserve"> Rachel james</w:t>
      </w:r>
    </w:p>
    <w:p w14:paraId="2A5A039B" w14:textId="77777777" w:rsidR="00583D6E" w:rsidRPr="00583D6E" w:rsidRDefault="00583D6E" w:rsidP="00583D6E">
      <w:pPr>
        <w:rPr>
          <w:rFonts w:asciiTheme="minorBidi" w:hAnsiTheme="minorBidi"/>
          <w:b/>
          <w:bCs/>
          <w:sz w:val="48"/>
          <w:szCs w:val="48"/>
        </w:rPr>
      </w:pPr>
    </w:p>
    <w:p w14:paraId="3F49392F" w14:textId="4EBB21D0"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8D15BA">
        <w:rPr>
          <w:rFonts w:asciiTheme="minorBidi" w:hAnsiTheme="minorBidi"/>
          <w:b/>
          <w:bCs/>
          <w:sz w:val="48"/>
          <w:szCs w:val="48"/>
        </w:rPr>
        <w:t>2421308</w:t>
      </w:r>
    </w:p>
    <w:p w14:paraId="482FED95" w14:textId="77777777" w:rsidR="00583D6E" w:rsidRPr="00583D6E" w:rsidRDefault="00583D6E" w:rsidP="00583D6E">
      <w:pPr>
        <w:rPr>
          <w:rFonts w:asciiTheme="minorBidi" w:hAnsiTheme="minorBidi"/>
          <w:b/>
          <w:bCs/>
          <w:sz w:val="48"/>
          <w:szCs w:val="48"/>
        </w:rPr>
      </w:pPr>
    </w:p>
    <w:p w14:paraId="1460B153" w14:textId="3DA033D2"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r w:rsidR="008D15BA">
        <w:rPr>
          <w:rFonts w:asciiTheme="minorBidi" w:hAnsiTheme="minorBidi"/>
          <w:b/>
          <w:bCs/>
          <w:sz w:val="48"/>
          <w:szCs w:val="48"/>
        </w:rPr>
        <w:t xml:space="preserve"> Jhon Wyatt</w:t>
      </w:r>
    </w:p>
    <w:p w14:paraId="327EB992" w14:textId="77777777" w:rsidR="00583D6E" w:rsidRPr="00583D6E" w:rsidRDefault="00583D6E" w:rsidP="00583D6E">
      <w:pPr>
        <w:rPr>
          <w:rFonts w:asciiTheme="minorBidi" w:hAnsiTheme="minorBidi"/>
          <w:b/>
          <w:bCs/>
          <w:sz w:val="48"/>
          <w:szCs w:val="48"/>
        </w:rPr>
      </w:pPr>
    </w:p>
    <w:p w14:paraId="579C5202" w14:textId="2AF84879"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008D15BA">
        <w:rPr>
          <w:rFonts w:asciiTheme="minorBidi" w:hAnsiTheme="minorBidi"/>
          <w:sz w:val="48"/>
          <w:szCs w:val="48"/>
        </w:rPr>
        <w:t>Resit 1/09/2026</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59C537E0" w14:textId="77777777" w:rsidR="00583D6E" w:rsidRPr="009F24C9" w:rsidRDefault="00583D6E" w:rsidP="00583D6E">
      <w:pPr>
        <w:rPr>
          <w:rFonts w:ascii="Arial" w:hAnsi="Arial" w:cs="Arial"/>
        </w:rPr>
      </w:pPr>
      <w:r w:rsidRPr="009F24C9">
        <w:rPr>
          <w:rFonts w:ascii="Arial" w:hAnsi="Arial" w:cs="Arial"/>
          <w:i/>
          <w:iCs/>
        </w:rPr>
        <w:t>(This section is compulsory for all students.)</w:t>
      </w:r>
    </w:p>
    <w:p w14:paraId="7DFD7499" w14:textId="77777777" w:rsidR="00583D6E" w:rsidRPr="009F24C9" w:rsidRDefault="00583D6E" w:rsidP="00583D6E">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7F6F04D1" w14:textId="77777777" w:rsidR="00583D6E" w:rsidRPr="009F24C9" w:rsidRDefault="00583D6E" w:rsidP="00583D6E">
      <w:pPr>
        <w:rPr>
          <w:rFonts w:ascii="Arial" w:hAnsi="Arial" w:cs="Arial"/>
          <w:b/>
          <w:bCs/>
        </w:rPr>
      </w:pPr>
      <w:r w:rsidRPr="009F24C9">
        <w:rPr>
          <w:rFonts w:ascii="Arial" w:hAnsi="Arial" w:cs="Arial"/>
          <w:b/>
          <w:bCs/>
        </w:rPr>
        <w:t>Prompt(s) used (if applicable):</w:t>
      </w:r>
    </w:p>
    <w:p w14:paraId="6118D437" w14:textId="77777777" w:rsidR="00583D6E" w:rsidRPr="009F24C9" w:rsidRDefault="00583D6E" w:rsidP="00583D6E">
      <w:pPr>
        <w:numPr>
          <w:ilvl w:val="0"/>
          <w:numId w:val="1"/>
        </w:numPr>
        <w:rPr>
          <w:rFonts w:ascii="Arial" w:hAnsi="Arial" w:cs="Arial"/>
        </w:rPr>
      </w:pPr>
    </w:p>
    <w:p w14:paraId="4944978B" w14:textId="77777777" w:rsidR="00583D6E" w:rsidRDefault="00583D6E" w:rsidP="00583D6E">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00C48A21"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Reflective Essay: Developing My Academic and Digital Skills During My First Term at University</w:t>
      </w:r>
    </w:p>
    <w:p w14:paraId="0EF3CE3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A3AA64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Introduction</w:t>
      </w:r>
    </w:p>
    <w:p w14:paraId="770949F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A67875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Returning to education after almost twenty years away from formal study has been one of the biggest challenges I have undertaken. I left school in 2005 and spent the following years focusing on employment, family responsibilities and raising my children. During this time, I developed valuable personal and professional skills, including communication, responsibility, patience and resilience. However, I had limited experience of contemporary higher education and the digital technologies now embedded within university learning. My first term therefore required me to learn not only the content of my course, but also how to become a university student again.</w:t>
      </w:r>
    </w:p>
    <w:p w14:paraId="30C0AD5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AC79390"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This reflection focuses on completing and electronically submitting my first university assignment. I selected this experience because it brought together academic writing, research, referencing, digital skills, time management and confidence. What initially appeared straightforward became a significant learning experience because I realised that my difficulties were not necessarily a lack of ability. Instead, they were connected to unfamiliar academic and digital expectations.</w:t>
      </w:r>
    </w:p>
    <w:p w14:paraId="0574DFC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FBA388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Research into university transition in Wales found considerable variation in students’ academic, social and digital competencies before entering university (Rawlings Smith, Hodgkin and Young, 2022). This supports the idea that transition is a process rather than simply the point at which university begins. Digital competence is also important because students require more than basic computer skills to participate effectively in contemporary higher education (Zhao et al., 2021).</w:t>
      </w:r>
    </w:p>
    <w:p w14:paraId="56184FD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DBBC40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Gibbs’ Reflective Cycle (1988) will structure this reflection through description, feelings, evaluation, analysis, conclusion and action planning. Reflection should, however, go beyond describing an event by examining its meaning and identifying how learning can influence future action.</w:t>
      </w:r>
    </w:p>
    <w:p w14:paraId="275CCB2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DE9E258"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lastRenderedPageBreak/>
        <w:t>1. Description – What happened?</w:t>
      </w:r>
    </w:p>
    <w:p w14:paraId="009D21A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72031A0"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One of my most significant first-term experiences occurred when I had to complete and electronically submit my first university assignment. Although I could use basic technology, I had little experience using computers for academic purposes. I had not regularly used digital platforms to access academic resources, locate academic sources, create university assignments or submit assessed work online.</w:t>
      </w:r>
    </w:p>
    <w:p w14:paraId="191C7E9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5309C4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assignment required me to understand the question, research relevant information, organise my ideas, produce an academic document, reference sources and submit the final version electronically. Referencing was particularly unfamiliar, and I repeatedly checked university guidance because I was concerned about making mistakes.</w:t>
      </w:r>
    </w:p>
    <w:p w14:paraId="64E7AA2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677099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digital element also took considerably longer than expected. I had to become familiar with university systems and online resources. At times, I focused so heavily on the technology that it distracted me from developing the academic content. This made me realise that digital competence involves using technology effectively within a learning context, rather than simply knowing how to operate a computer (Zhao et al., 2021).</w:t>
      </w:r>
    </w:p>
    <w:p w14:paraId="3FB87A0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32EBFB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was completing the assignment alongside work and family responsibilities, meaning I often studied during the evening. Eventually, I completed and submitted the assignment. Although this may appear to be a small achievement, I experienced it as a significant personal milestone because it demonstrated that I could adapt to an unfamiliar educational environment.</w:t>
      </w:r>
    </w:p>
    <w:p w14:paraId="537D2FB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49C325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2. Feelings – What was I thinking and feeling?</w:t>
      </w:r>
    </w:p>
    <w:p w14:paraId="7744B3B5"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1AF211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When I began the assignment, I experienced excitement, anxiety, pride and self-doubt. I was proud of returning to education but questioned whether I had made the right decision. Nearly twenty years had passed since I had been in formal education, and university learning had changed considerably.</w:t>
      </w:r>
    </w:p>
    <w:p w14:paraId="569620D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876A0A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 xml:space="preserve">My biggest challenge was confidence. I sometimes looked at other students and assumed they knew what they were doing because they appeared comfortable with technology and academic tasks. Looking back, I recognise that I was comparing my internal uncertainty with what I could see externally. I had no evidence that other students were </w:t>
      </w:r>
      <w:proofErr w:type="gramStart"/>
      <w:r w:rsidRPr="008D15BA">
        <w:rPr>
          <w:rFonts w:ascii="Segoe UI" w:eastAsia="Times New Roman" w:hAnsi="Segoe UI" w:cs="Segoe UI"/>
          <w:color w:val="242424"/>
          <w:kern w:val="0"/>
          <w:sz w:val="23"/>
          <w:szCs w:val="23"/>
          <w:lang w:eastAsia="en-GB"/>
          <w14:ligatures w14:val="none"/>
        </w:rPr>
        <w:t>actually more</w:t>
      </w:r>
      <w:proofErr w:type="gramEnd"/>
      <w:r w:rsidRPr="008D15BA">
        <w:rPr>
          <w:rFonts w:ascii="Segoe UI" w:eastAsia="Times New Roman" w:hAnsi="Segoe UI" w:cs="Segoe UI"/>
          <w:color w:val="242424"/>
          <w:kern w:val="0"/>
          <w:sz w:val="23"/>
          <w:szCs w:val="23"/>
          <w:lang w:eastAsia="en-GB"/>
          <w14:ligatures w14:val="none"/>
        </w:rPr>
        <w:t xml:space="preserve"> confident.</w:t>
      </w:r>
    </w:p>
    <w:p w14:paraId="59FD6075"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86A612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digital aspect increased my anxiety. I sometimes felt embarrassed asking for help with tasks I believed should be basic, so I spent too long trying to solve problems independently. This affected my learning because emotional concerns were taking attention away from the assignment itself.</w:t>
      </w:r>
    </w:p>
    <w:p w14:paraId="541D667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6F19D0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 xml:space="preserve">O’Neill et al. (2022) found that students with lower confidence can perceive improvements following academic literacy support. This challenges my original belief </w:t>
      </w:r>
      <w:r w:rsidRPr="008D15BA">
        <w:rPr>
          <w:rFonts w:ascii="Segoe UI" w:eastAsia="Times New Roman" w:hAnsi="Segoe UI" w:cs="Segoe UI"/>
          <w:color w:val="242424"/>
          <w:kern w:val="0"/>
          <w:sz w:val="23"/>
          <w:szCs w:val="23"/>
          <w:lang w:eastAsia="en-GB"/>
          <w14:ligatures w14:val="none"/>
        </w:rPr>
        <w:lastRenderedPageBreak/>
        <w:t>that confidence must come before competence. My experience suggests that confidence can develop through successfully overcoming unfamiliar tasks.</w:t>
      </w:r>
    </w:p>
    <w:p w14:paraId="7E220AA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AFFA53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 xml:space="preserve">Referencing created further anxiety because I initially viewed it mainly as a set of rules that I might get wrong. I did not immediately understand its wider purpose in demonstrating evidence and acknowledging other authors. As the term progressed, however, each successful task provided evidence that I </w:t>
      </w:r>
      <w:proofErr w:type="gramStart"/>
      <w:r w:rsidRPr="008D15BA">
        <w:rPr>
          <w:rFonts w:ascii="Segoe UI" w:eastAsia="Times New Roman" w:hAnsi="Segoe UI" w:cs="Segoe UI"/>
          <w:color w:val="242424"/>
          <w:kern w:val="0"/>
          <w:sz w:val="23"/>
          <w:szCs w:val="23"/>
          <w:lang w:eastAsia="en-GB"/>
          <w14:ligatures w14:val="none"/>
        </w:rPr>
        <w:t>was capable of learning</w:t>
      </w:r>
      <w:proofErr w:type="gramEnd"/>
      <w:r w:rsidRPr="008D15BA">
        <w:rPr>
          <w:rFonts w:ascii="Segoe UI" w:eastAsia="Times New Roman" w:hAnsi="Segoe UI" w:cs="Segoe UI"/>
          <w:color w:val="242424"/>
          <w:kern w:val="0"/>
          <w:sz w:val="23"/>
          <w:szCs w:val="23"/>
          <w:lang w:eastAsia="en-GB"/>
          <w14:ligatures w14:val="none"/>
        </w:rPr>
        <w:t>.</w:t>
      </w:r>
    </w:p>
    <w:p w14:paraId="3C716B2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629422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3. Evaluation – What was good and bad?</w:t>
      </w:r>
    </w:p>
    <w:p w14:paraId="57DB19A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B74B6F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most positive aspect was that the experience challenged my perception of my own ability. Successfully submitting my first assignment provided evidence that I could adapt to university expectations.</w:t>
      </w:r>
    </w:p>
    <w:p w14:paraId="179C3FF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04F4BA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My digital skills also improved through necessity. I became more comfortable accessing online learning materials, creating documents, locating information and submitting work electronically. Lucas et al. (2022) argue that digital competence is important for both learning and employability and should be viewed as a broader capability rather than simply being digitally competent or incompetent.</w:t>
      </w:r>
    </w:p>
    <w:p w14:paraId="5D1582AE"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D433E9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Another positive outcome was my developing understanding of academic referencing. Neilson and King (2023) found that students value support with academic writing, research, referencing, academic honesty and feedback. This supports my realisation that these skills are not necessarily obvious to every new university student and often need to be developed.</w:t>
      </w:r>
    </w:p>
    <w:p w14:paraId="37C486C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73B0C1"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There were also negative aspects. I spent too much time worrying about making mistakes, which sometimes reduced the time available for developing my argument. I also initially viewed feedback as an indication of whether I had done well rather than as information that could help me improve. Han and Xu (2021) demonstrate that feedback literacy involves students’ ability to understand and engage with feedback. I therefore recognise that receiving feedback and learning from it are different processes.</w:t>
      </w:r>
    </w:p>
    <w:p w14:paraId="3650868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A45952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4. Analysis – Why did it happen this way?</w:t>
      </w:r>
    </w:p>
    <w:p w14:paraId="6A78B8A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451190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most important insight is that my difficulty was not simply a lack of computer skills. Several factors interacted, including digital unfamiliarity, academic conventions, anxiety, time pressures and the transition into higher education.</w:t>
      </w:r>
    </w:p>
    <w:p w14:paraId="26397E5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6B0281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Rawlings Smith, Hodgkin and Young (2022) demonstrate that students enter university with different levels of academic and digital preparedness. My assumption that other students were more capable therefore failed to recognise that people have different educational histories.</w:t>
      </w:r>
    </w:p>
    <w:p w14:paraId="2EFFEB4E"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AF2D21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lastRenderedPageBreak/>
        <w:t>My experience can also be understood as entering a new academic literacy environment. Academic literacy involves understanding how knowledge is researched, communicated, referenced and evaluated. Neilson and King (2023) found that academic literacy programmes can support students in developing research, writing, critical reading and referencing skills. My initial difficulties therefore did not necessarily indicate that I was incapable of university study; I was learning unfamiliar academic conventions.</w:t>
      </w:r>
    </w:p>
    <w:p w14:paraId="4072DCD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18F73E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Digital literacy and academic literacy were also closely connected. I initially thought I was simply “learning computers”, but technology was the means through which I researched, wrote and submitted my assignment. Lucas et al. (2022) and Zhao et al. (2021) demonstrate the wider importance of digital competence in higher education.</w:t>
      </w:r>
    </w:p>
    <w:p w14:paraId="475D730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712A9C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My confidence was another significant factor. I interpreted uncertainty as evidence that I was not capable, but my progress challenged this assumption. O’Neill et al. (2022) show the value of academic literacy support for students who initially lack confidence. This suggests confidence can develop alongside competence rather than always preceding it.</w:t>
      </w:r>
    </w:p>
    <w:p w14:paraId="5208607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66A2E1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also initially viewed the twenty-year gap from education as a disadvantage. However, my employment and family experiences had developed resilience, communication, responsibility and time-management skills. At the same time, resilience alone was not enough. I had associated independence with solving every problem alone, whereas I now understand that an independent learner also recognises when support is needed and takes responsibility for seeking it.</w:t>
      </w:r>
    </w:p>
    <w:p w14:paraId="527624C8"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96DE7F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This has implications for employability. Heymann et al. (2022) argue that reflective practice can contribute to employability competences by helping students identify learning from experiences and use it to plan future development. My experience therefore developed more than academic and digital skills; it also strengthened my ability to identify weaknesses and respond constructively.</w:t>
      </w:r>
    </w:p>
    <w:p w14:paraId="2869E53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18B8F68"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5. Conclusion – What could I have done differently?</w:t>
      </w:r>
    </w:p>
    <w:p w14:paraId="6209382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6BB68C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 xml:space="preserve">Looking back, I could have approached the assignment more effectively. My biggest mistake was believing that asking for help demonstrated weakness. I now understand that university is a developmental </w:t>
      </w:r>
      <w:proofErr w:type="gramStart"/>
      <w:r w:rsidRPr="008D15BA">
        <w:rPr>
          <w:rFonts w:ascii="Segoe UI" w:eastAsia="Times New Roman" w:hAnsi="Segoe UI" w:cs="Segoe UI"/>
          <w:color w:val="242424"/>
          <w:kern w:val="0"/>
          <w:sz w:val="23"/>
          <w:szCs w:val="23"/>
          <w:lang w:eastAsia="en-GB"/>
          <w14:ligatures w14:val="none"/>
        </w:rPr>
        <w:t>environment</w:t>
      </w:r>
      <w:proofErr w:type="gramEnd"/>
      <w:r w:rsidRPr="008D15BA">
        <w:rPr>
          <w:rFonts w:ascii="Segoe UI" w:eastAsia="Times New Roman" w:hAnsi="Segoe UI" w:cs="Segoe UI"/>
          <w:color w:val="242424"/>
          <w:kern w:val="0"/>
          <w:sz w:val="23"/>
          <w:szCs w:val="23"/>
          <w:lang w:eastAsia="en-GB"/>
          <w14:ligatures w14:val="none"/>
        </w:rPr>
        <w:t xml:space="preserve"> and students are not expected to arrive with every skill already developed.</w:t>
      </w:r>
    </w:p>
    <w:p w14:paraId="2EAEE22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62789F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should also have started earlier. I underestimated the time needed to research, write, reference and navigate digital systems. Because I was balancing other responsibilities, this increased my anxiety.</w:t>
      </w:r>
    </w:p>
    <w:p w14:paraId="35E4128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A8C54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Breaking the assignment into stages would have helped: understanding the question, researching, planning, drafting, referencing, proofreading and submitting. I also need to change how I respond to feedback. Rather than simply reading comments, I should identify recurring issues and specific actions for future assignments.</w:t>
      </w:r>
    </w:p>
    <w:p w14:paraId="2AA4F9A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60A52B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also need to challenge my tendency to compare myself with others. Students enter university with different levels of experience and preparedness (Rawlings Smith, Hodgkin and Young, 2022). Finally, I would seek support earlier rather than spending unnecessary time struggling alone.</w:t>
      </w:r>
    </w:p>
    <w:p w14:paraId="2514D2A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AE35BFE"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most important lesson is that competence is developmental. A capable student is not necessarily someone who already knows everything, but someone who recognises what they need to learn and takes action to improve.</w:t>
      </w:r>
    </w:p>
    <w:p w14:paraId="6F4CDFA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32C4B2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6. Action Plan – What will I do next time?</w:t>
      </w:r>
    </w:p>
    <w:p w14:paraId="054CEAF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2DEFC0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My first-term experience has shown me that I need to make my development more deliberate. I will review feedback after every assessment and identify two or three specific areas for improvement. This will help me become more active in using feedback (Han and Xu, 2021).</w:t>
      </w:r>
    </w:p>
    <w:p w14:paraId="6F780491"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A540F1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will also use university referencing guidance throughout the research and writing process rather than correcting references at the end. This should reduce errors and make referencing a normal part of my academic practice.</w:t>
      </w:r>
    </w:p>
    <w:p w14:paraId="35D4765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2CBF6C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I will continue developing my digital skills, particularly Microsoft Word, online research, document organisation and presentation software. Digital competence is relevant to both university learning and future employability (Lucas et al., 2022; Zhao et al., 2021).</w:t>
      </w:r>
    </w:p>
    <w:p w14:paraId="55C681E9"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B72B72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Finally, I will seek support earlier and contribute more during seminars to develop my confidence. I will view resilience as the ability to adapt, seek support, learn from mistakes and continue progressing.</w:t>
      </w:r>
    </w:p>
    <w:p w14:paraId="3AE89E58"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90F6DA3"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This experience has changed how I see myself as a learner. Returning to education initially made me focus on what I did not know. Through reflection, I can now recognise that I already possessed valuable skills and can build new ones on top of them. Gibbs’ cycle has helped me move from describing an experience to analysing it and identifying future actions. Reflective practice should therefore continue throughout my degree (Heymann et al., 2022).</w:t>
      </w:r>
    </w:p>
    <w:p w14:paraId="2FEDCD9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0F62A9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The most valuable lesson from my first term is that being capable does not mean already knowing everything. It means being willing to learn, being honest about weaknesses, using feedback and support effectively, and taking action to improve.</w:t>
      </w:r>
    </w:p>
    <w:p w14:paraId="0ECC0CC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51279FE" w14:textId="77777777" w:rsidR="008D15BA" w:rsidRPr="008D15BA" w:rsidRDefault="008D15BA" w:rsidP="008D15BA">
      <w:pPr>
        <w:shd w:val="clear" w:color="auto" w:fill="FFFFFF"/>
        <w:spacing w:before="100" w:beforeAutospacing="1" w:after="100" w:afterAutospacing="1" w:line="240" w:lineRule="auto"/>
        <w:textAlignment w:val="baseline"/>
        <w:outlineLvl w:val="0"/>
        <w:rPr>
          <w:rFonts w:ascii="Segoe UI" w:eastAsia="Times New Roman" w:hAnsi="Segoe UI" w:cs="Segoe UI"/>
          <w:b/>
          <w:bCs/>
          <w:color w:val="242424"/>
          <w:kern w:val="36"/>
          <w:sz w:val="48"/>
          <w:szCs w:val="48"/>
          <w:lang w:eastAsia="en-GB"/>
          <w14:ligatures w14:val="none"/>
        </w:rPr>
      </w:pPr>
      <w:r w:rsidRPr="008D15BA">
        <w:rPr>
          <w:rFonts w:ascii="Segoe UI" w:eastAsia="Times New Roman" w:hAnsi="Segoe UI" w:cs="Segoe UI"/>
          <w:b/>
          <w:bCs/>
          <w:color w:val="242424"/>
          <w:kern w:val="36"/>
          <w:sz w:val="48"/>
          <w:szCs w:val="48"/>
          <w:lang w:eastAsia="en-GB"/>
          <w14:ligatures w14:val="none"/>
        </w:rPr>
        <w:t>SMART Action Plan</w:t>
      </w:r>
    </w:p>
    <w:p w14:paraId="70DEE75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325E5EFB"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FluentSystemIcons" w:eastAsia="Times New Roman" w:hAnsi="FluentSystemIcons" w:cs="Segoe UI"/>
          <w:color w:val="242424"/>
          <w:kern w:val="0"/>
          <w:sz w:val="30"/>
          <w:szCs w:val="30"/>
          <w:bdr w:val="none" w:sz="0" w:space="0" w:color="auto" w:frame="1"/>
          <w:lang w:eastAsia="en-GB"/>
          <w14:ligatures w14:val="none"/>
        </w:rPr>
        <w:lastRenderedPageBreak/>
        <w:t></w:t>
      </w:r>
    </w:p>
    <w:tbl>
      <w:tblPr>
        <w:tblW w:w="0" w:type="auto"/>
        <w:tblCellMar>
          <w:left w:w="0" w:type="dxa"/>
          <w:right w:w="0" w:type="dxa"/>
        </w:tblCellMar>
        <w:tblLook w:val="04A0" w:firstRow="1" w:lastRow="0" w:firstColumn="1" w:lastColumn="0" w:noHBand="0" w:noVBand="1"/>
      </w:tblPr>
      <w:tblGrid>
        <w:gridCol w:w="1574"/>
        <w:gridCol w:w="7436"/>
      </w:tblGrid>
      <w:tr w:rsidR="008D15BA" w:rsidRPr="008D15BA" w14:paraId="7549AAF6"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96EA39D"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SMART element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5487B578"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Action</w:t>
            </w:r>
          </w:p>
        </w:tc>
      </w:tr>
      <w:tr w:rsidR="008D15BA" w:rsidRPr="008D15BA" w14:paraId="574EBB53"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6308E90"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Specific</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2FD9F312"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kern w:val="0"/>
                <w:lang w:eastAsia="en-GB"/>
                <w14:ligatures w14:val="none"/>
              </w:rPr>
              <w:t>Improve academic writing, referencing, digital skills and presentation confidence through university skills activities, Microsoft Office practice and feedback review.</w:t>
            </w:r>
          </w:p>
        </w:tc>
      </w:tr>
      <w:tr w:rsidR="008D15BA" w:rsidRPr="008D15BA" w14:paraId="421D9369"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2754B6E"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Measurable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8DB5A21"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kern w:val="0"/>
                <w:lang w:eastAsia="en-GB"/>
                <w14:ligatures w14:val="none"/>
              </w:rPr>
              <w:t>Complete at least two skills activities each month and create a feedback checklist after every assessed assignment.</w:t>
            </w:r>
          </w:p>
        </w:tc>
      </w:tr>
      <w:tr w:rsidR="008D15BA" w:rsidRPr="008D15BA" w14:paraId="45158792"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03ACF173"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Achievable</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1CB77523"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kern w:val="0"/>
                <w:lang w:eastAsia="en-GB"/>
                <w14:ligatures w14:val="none"/>
              </w:rPr>
              <w:t>Spend approximately one hour each week on skills development alongside normal university study.</w:t>
            </w:r>
          </w:p>
        </w:tc>
      </w:tr>
      <w:tr w:rsidR="008D15BA" w:rsidRPr="008D15BA" w14:paraId="300EFAB6"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65FECD4B"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Relevant</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7B16AD9B"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kern w:val="0"/>
                <w:lang w:eastAsia="en-GB"/>
                <w14:ligatures w14:val="none"/>
              </w:rPr>
              <w:t>These skills will support academic performance, confidence, digital competence and employability.</w:t>
            </w:r>
          </w:p>
        </w:tc>
      </w:tr>
      <w:tr w:rsidR="008D15BA" w:rsidRPr="008D15BA" w14:paraId="0304420C" w14:textId="77777777">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49B4E511"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b/>
                <w:bCs/>
                <w:kern w:val="0"/>
                <w:lang w:eastAsia="en-GB"/>
                <w14:ligatures w14:val="none"/>
              </w:rPr>
              <w:t>Time-bound</w:t>
            </w:r>
          </w:p>
        </w:tc>
        <w:tc>
          <w:tcPr>
            <w:tcW w:w="0" w:type="auto"/>
            <w:tcBorders>
              <w:top w:val="single" w:sz="6" w:space="0" w:color="CCCCCC"/>
              <w:left w:val="single" w:sz="6" w:space="0" w:color="CCCCCC"/>
              <w:bottom w:val="single" w:sz="6" w:space="0" w:color="CCCCCC"/>
              <w:right w:val="single" w:sz="6" w:space="0" w:color="CCCCCC"/>
            </w:tcBorders>
            <w:tcMar>
              <w:top w:w="45" w:type="dxa"/>
              <w:left w:w="75" w:type="dxa"/>
              <w:bottom w:w="45" w:type="dxa"/>
              <w:right w:w="75" w:type="dxa"/>
            </w:tcMar>
            <w:hideMark/>
          </w:tcPr>
          <w:p w14:paraId="3BC4ABEC" w14:textId="77777777" w:rsidR="008D15BA" w:rsidRPr="008D15BA" w:rsidRDefault="008D15BA" w:rsidP="008D15BA">
            <w:pPr>
              <w:spacing w:after="0" w:line="240" w:lineRule="auto"/>
              <w:textAlignment w:val="baseline"/>
              <w:rPr>
                <w:rFonts w:ascii="Times New Roman" w:eastAsia="Times New Roman" w:hAnsi="Times New Roman" w:cs="Times New Roman"/>
                <w:kern w:val="0"/>
                <w:lang w:eastAsia="en-GB"/>
                <w14:ligatures w14:val="none"/>
              </w:rPr>
            </w:pPr>
            <w:r w:rsidRPr="008D15BA">
              <w:rPr>
                <w:rFonts w:ascii="Times New Roman" w:eastAsia="Times New Roman" w:hAnsi="Times New Roman" w:cs="Times New Roman"/>
                <w:kern w:val="0"/>
                <w:lang w:eastAsia="en-GB"/>
                <w14:ligatures w14:val="none"/>
              </w:rPr>
              <w:t>By the end of my next term, complete at least six skills activities and reduce recurring academic-writing, formatting and referencing errors.</w:t>
            </w:r>
          </w:p>
        </w:tc>
      </w:tr>
    </w:tbl>
    <w:p w14:paraId="55667A8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776B740"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06103E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b/>
          <w:bCs/>
          <w:color w:val="242424"/>
          <w:kern w:val="0"/>
          <w:sz w:val="23"/>
          <w:szCs w:val="23"/>
          <w:lang w:eastAsia="en-GB"/>
          <w14:ligatures w14:val="none"/>
        </w:rPr>
        <w:t>Reference List</w:t>
      </w:r>
    </w:p>
    <w:p w14:paraId="24E016E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3DB6F2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Gibbs, G. (1988) </w:t>
      </w:r>
      <w:r w:rsidRPr="008D15BA">
        <w:rPr>
          <w:rFonts w:ascii="Segoe UI" w:eastAsia="Times New Roman" w:hAnsi="Segoe UI" w:cs="Segoe UI"/>
          <w:i/>
          <w:iCs/>
          <w:color w:val="242424"/>
          <w:kern w:val="0"/>
          <w:sz w:val="23"/>
          <w:szCs w:val="23"/>
          <w:lang w:eastAsia="en-GB"/>
          <w14:ligatures w14:val="none"/>
        </w:rPr>
        <w:t>Learning by Doing: A Guide to Teaching and Learning Methods</w:t>
      </w:r>
      <w:r w:rsidRPr="008D15BA">
        <w:rPr>
          <w:rFonts w:ascii="Segoe UI" w:eastAsia="Times New Roman" w:hAnsi="Segoe UI" w:cs="Segoe UI"/>
          <w:color w:val="242424"/>
          <w:kern w:val="0"/>
          <w:sz w:val="23"/>
          <w:szCs w:val="23"/>
          <w:lang w:eastAsia="en-GB"/>
          <w14:ligatures w14:val="none"/>
        </w:rPr>
        <w:t>. Oxford: Oxford Polytechnic.</w:t>
      </w:r>
    </w:p>
    <w:p w14:paraId="54447EE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62C5BCF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Han, Y. and Xu, Y. (2021) ‘Student feedback literacy and engagement with feedback: A case study of Chinese undergraduate students’, </w:t>
      </w:r>
      <w:r w:rsidRPr="008D15BA">
        <w:rPr>
          <w:rFonts w:ascii="Segoe UI" w:eastAsia="Times New Roman" w:hAnsi="Segoe UI" w:cs="Segoe UI"/>
          <w:i/>
          <w:iCs/>
          <w:color w:val="242424"/>
          <w:kern w:val="0"/>
          <w:sz w:val="23"/>
          <w:szCs w:val="23"/>
          <w:lang w:eastAsia="en-GB"/>
          <w14:ligatures w14:val="none"/>
        </w:rPr>
        <w:t>Teaching in Higher Education</w:t>
      </w:r>
      <w:r w:rsidRPr="008D15BA">
        <w:rPr>
          <w:rFonts w:ascii="Segoe UI" w:eastAsia="Times New Roman" w:hAnsi="Segoe UI" w:cs="Segoe UI"/>
          <w:color w:val="242424"/>
          <w:kern w:val="0"/>
          <w:sz w:val="23"/>
          <w:szCs w:val="23"/>
          <w:lang w:eastAsia="en-GB"/>
          <w14:ligatures w14:val="none"/>
        </w:rPr>
        <w:t xml:space="preserve">, 26(2), pp. 181–196.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10.1080/13562517.2019.1648410.</w:t>
      </w:r>
    </w:p>
    <w:p w14:paraId="56EFF18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4E129E8A"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 xml:space="preserve">Heymann, P., </w:t>
      </w:r>
      <w:proofErr w:type="spellStart"/>
      <w:r w:rsidRPr="008D15BA">
        <w:rPr>
          <w:rFonts w:ascii="Segoe UI" w:eastAsia="Times New Roman" w:hAnsi="Segoe UI" w:cs="Segoe UI"/>
          <w:color w:val="242424"/>
          <w:kern w:val="0"/>
          <w:sz w:val="23"/>
          <w:szCs w:val="23"/>
          <w:lang w:eastAsia="en-GB"/>
          <w14:ligatures w14:val="none"/>
        </w:rPr>
        <w:t>Bastiaens</w:t>
      </w:r>
      <w:proofErr w:type="spellEnd"/>
      <w:r w:rsidRPr="008D15BA">
        <w:rPr>
          <w:rFonts w:ascii="Segoe UI" w:eastAsia="Times New Roman" w:hAnsi="Segoe UI" w:cs="Segoe UI"/>
          <w:color w:val="242424"/>
          <w:kern w:val="0"/>
          <w:sz w:val="23"/>
          <w:szCs w:val="23"/>
          <w:lang w:eastAsia="en-GB"/>
          <w14:ligatures w14:val="none"/>
        </w:rPr>
        <w:t xml:space="preserve">, E., Jansen, A., van Rosmalen, P. and </w:t>
      </w:r>
      <w:proofErr w:type="spellStart"/>
      <w:r w:rsidRPr="008D15BA">
        <w:rPr>
          <w:rFonts w:ascii="Segoe UI" w:eastAsia="Times New Roman" w:hAnsi="Segoe UI" w:cs="Segoe UI"/>
          <w:color w:val="242424"/>
          <w:kern w:val="0"/>
          <w:sz w:val="23"/>
          <w:szCs w:val="23"/>
          <w:lang w:eastAsia="en-GB"/>
          <w14:ligatures w14:val="none"/>
        </w:rPr>
        <w:t>Beausaert</w:t>
      </w:r>
      <w:proofErr w:type="spellEnd"/>
      <w:r w:rsidRPr="008D15BA">
        <w:rPr>
          <w:rFonts w:ascii="Segoe UI" w:eastAsia="Times New Roman" w:hAnsi="Segoe UI" w:cs="Segoe UI"/>
          <w:color w:val="242424"/>
          <w:kern w:val="0"/>
          <w:sz w:val="23"/>
          <w:szCs w:val="23"/>
          <w:lang w:eastAsia="en-GB"/>
          <w14:ligatures w14:val="none"/>
        </w:rPr>
        <w:t>, S. (2022) ‘A conceptual model of students’ reflective practice for the development of employability competences, supported by an online learning platform’, </w:t>
      </w:r>
      <w:r w:rsidRPr="008D15BA">
        <w:rPr>
          <w:rFonts w:ascii="Segoe UI" w:eastAsia="Times New Roman" w:hAnsi="Segoe UI" w:cs="Segoe UI"/>
          <w:i/>
          <w:iCs/>
          <w:color w:val="242424"/>
          <w:kern w:val="0"/>
          <w:sz w:val="23"/>
          <w:szCs w:val="23"/>
          <w:lang w:eastAsia="en-GB"/>
          <w14:ligatures w14:val="none"/>
        </w:rPr>
        <w:t>Education + Training</w:t>
      </w:r>
      <w:r w:rsidRPr="008D15BA">
        <w:rPr>
          <w:rFonts w:ascii="Segoe UI" w:eastAsia="Times New Roman" w:hAnsi="Segoe UI" w:cs="Segoe UI"/>
          <w:color w:val="242424"/>
          <w:kern w:val="0"/>
          <w:sz w:val="23"/>
          <w:szCs w:val="23"/>
          <w:lang w:eastAsia="en-GB"/>
          <w14:ligatures w14:val="none"/>
        </w:rPr>
        <w:t xml:space="preserve">, 64(3), pp. 380–397.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10.1108/ET-05-2021-0161.</w:t>
      </w:r>
    </w:p>
    <w:p w14:paraId="3B58F8B0"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5F4948A2"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Khan, N. et al. (2023) ‘An Approach to Progress Learning Outcomes: International Graduate Students’ Engagement in Reflective Practice and Reflective Journal Writing during Pandemic’, </w:t>
      </w:r>
      <w:r w:rsidRPr="008D15BA">
        <w:rPr>
          <w:rFonts w:ascii="Segoe UI" w:eastAsia="Times New Roman" w:hAnsi="Segoe UI" w:cs="Segoe UI"/>
          <w:i/>
          <w:iCs/>
          <w:color w:val="242424"/>
          <w:kern w:val="0"/>
          <w:sz w:val="23"/>
          <w:szCs w:val="23"/>
          <w:lang w:eastAsia="en-GB"/>
          <w14:ligatures w14:val="none"/>
        </w:rPr>
        <w:t>Sustainability</w:t>
      </w:r>
      <w:r w:rsidRPr="008D15BA">
        <w:rPr>
          <w:rFonts w:ascii="Segoe UI" w:eastAsia="Times New Roman" w:hAnsi="Segoe UI" w:cs="Segoe UI"/>
          <w:color w:val="242424"/>
          <w:kern w:val="0"/>
          <w:sz w:val="23"/>
          <w:szCs w:val="23"/>
          <w:lang w:eastAsia="en-GB"/>
          <w14:ligatures w14:val="none"/>
        </w:rPr>
        <w:t xml:space="preserve">, 15(3), 1898.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10.3390/su15031898.</w:t>
      </w:r>
    </w:p>
    <w:p w14:paraId="197460BF"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0B0367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Lucas, M., Bem-</w:t>
      </w:r>
      <w:proofErr w:type="spellStart"/>
      <w:r w:rsidRPr="008D15BA">
        <w:rPr>
          <w:rFonts w:ascii="Segoe UI" w:eastAsia="Times New Roman" w:hAnsi="Segoe UI" w:cs="Segoe UI"/>
          <w:color w:val="242424"/>
          <w:kern w:val="0"/>
          <w:sz w:val="23"/>
          <w:szCs w:val="23"/>
          <w:lang w:eastAsia="en-GB"/>
          <w14:ligatures w14:val="none"/>
        </w:rPr>
        <w:t>haja</w:t>
      </w:r>
      <w:proofErr w:type="spellEnd"/>
      <w:r w:rsidRPr="008D15BA">
        <w:rPr>
          <w:rFonts w:ascii="Segoe UI" w:eastAsia="Times New Roman" w:hAnsi="Segoe UI" w:cs="Segoe UI"/>
          <w:color w:val="242424"/>
          <w:kern w:val="0"/>
          <w:sz w:val="23"/>
          <w:szCs w:val="23"/>
          <w:lang w:eastAsia="en-GB"/>
          <w14:ligatures w14:val="none"/>
        </w:rPr>
        <w:t>, P., Santos, S., Figueiredo, H., Ferreira Dias, M. and Amorim, M. (2022) ‘Digital proficiency: Sorting real gaps from myths among higher education students’, </w:t>
      </w:r>
      <w:r w:rsidRPr="008D15BA">
        <w:rPr>
          <w:rFonts w:ascii="Segoe UI" w:eastAsia="Times New Roman" w:hAnsi="Segoe UI" w:cs="Segoe UI"/>
          <w:i/>
          <w:iCs/>
          <w:color w:val="242424"/>
          <w:kern w:val="0"/>
          <w:sz w:val="23"/>
          <w:szCs w:val="23"/>
          <w:lang w:eastAsia="en-GB"/>
          <w14:ligatures w14:val="none"/>
        </w:rPr>
        <w:t>British Journal of Educational Technology</w:t>
      </w:r>
      <w:r w:rsidRPr="008D15BA">
        <w:rPr>
          <w:rFonts w:ascii="Segoe UI" w:eastAsia="Times New Roman" w:hAnsi="Segoe UI" w:cs="Segoe UI"/>
          <w:color w:val="242424"/>
          <w:kern w:val="0"/>
          <w:sz w:val="23"/>
          <w:szCs w:val="23"/>
          <w:lang w:eastAsia="en-GB"/>
          <w14:ligatures w14:val="none"/>
        </w:rPr>
        <w:t xml:space="preserve">, 53(6), pp. 1885–1914.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10.1111/bjet.13220.</w:t>
      </w:r>
    </w:p>
    <w:p w14:paraId="232613C0"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6D0802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Neilson, S. and King, T.R. (2023) ‘The Development of an Academic Literacies Programme for Students in Britain and Beyond’, </w:t>
      </w:r>
      <w:r w:rsidRPr="008D15BA">
        <w:rPr>
          <w:rFonts w:ascii="Segoe UI" w:eastAsia="Times New Roman" w:hAnsi="Segoe UI" w:cs="Segoe UI"/>
          <w:i/>
          <w:iCs/>
          <w:color w:val="242424"/>
          <w:kern w:val="0"/>
          <w:sz w:val="23"/>
          <w:szCs w:val="23"/>
          <w:lang w:eastAsia="en-GB"/>
          <w14:ligatures w14:val="none"/>
        </w:rPr>
        <w:t>Journal of Academic Writing</w:t>
      </w:r>
      <w:r w:rsidRPr="008D15BA">
        <w:rPr>
          <w:rFonts w:ascii="Segoe UI" w:eastAsia="Times New Roman" w:hAnsi="Segoe UI" w:cs="Segoe UI"/>
          <w:color w:val="242424"/>
          <w:kern w:val="0"/>
          <w:sz w:val="23"/>
          <w:szCs w:val="23"/>
          <w:lang w:eastAsia="en-GB"/>
          <w14:ligatures w14:val="none"/>
        </w:rPr>
        <w:t xml:space="preserve">, 13(2), pp. 1–23.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10.18552/</w:t>
      </w:r>
      <w:proofErr w:type="gramStart"/>
      <w:r w:rsidRPr="008D15BA">
        <w:rPr>
          <w:rFonts w:ascii="Segoe UI" w:eastAsia="Times New Roman" w:hAnsi="Segoe UI" w:cs="Segoe UI"/>
          <w:color w:val="242424"/>
          <w:kern w:val="0"/>
          <w:sz w:val="23"/>
          <w:szCs w:val="23"/>
          <w:lang w:eastAsia="en-GB"/>
          <w14:ligatures w14:val="none"/>
        </w:rPr>
        <w:t>joaw.v</w:t>
      </w:r>
      <w:proofErr w:type="gramEnd"/>
      <w:r w:rsidRPr="008D15BA">
        <w:rPr>
          <w:rFonts w:ascii="Segoe UI" w:eastAsia="Times New Roman" w:hAnsi="Segoe UI" w:cs="Segoe UI"/>
          <w:color w:val="242424"/>
          <w:kern w:val="0"/>
          <w:sz w:val="23"/>
          <w:szCs w:val="23"/>
          <w:lang w:eastAsia="en-GB"/>
          <w14:ligatures w14:val="none"/>
        </w:rPr>
        <w:t>13i2.579.</w:t>
      </w:r>
    </w:p>
    <w:p w14:paraId="07D0EBA7"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74ED21D5"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lastRenderedPageBreak/>
        <w:t xml:space="preserve">O’Neill, R., Pember, E., </w:t>
      </w:r>
      <w:proofErr w:type="spellStart"/>
      <w:r w:rsidRPr="008D15BA">
        <w:rPr>
          <w:rFonts w:ascii="Segoe UI" w:eastAsia="Times New Roman" w:hAnsi="Segoe UI" w:cs="Segoe UI"/>
          <w:color w:val="242424"/>
          <w:kern w:val="0"/>
          <w:sz w:val="23"/>
          <w:szCs w:val="23"/>
          <w:lang w:eastAsia="en-GB"/>
          <w14:ligatures w14:val="none"/>
        </w:rPr>
        <w:t>Dzator</w:t>
      </w:r>
      <w:proofErr w:type="spellEnd"/>
      <w:r w:rsidRPr="008D15BA">
        <w:rPr>
          <w:rFonts w:ascii="Segoe UI" w:eastAsia="Times New Roman" w:hAnsi="Segoe UI" w:cs="Segoe UI"/>
          <w:color w:val="242424"/>
          <w:kern w:val="0"/>
          <w:sz w:val="23"/>
          <w:szCs w:val="23"/>
          <w:lang w:eastAsia="en-GB"/>
          <w14:ligatures w14:val="none"/>
        </w:rPr>
        <w:t>, M. and Sanderson, J. (2022) ‘The impact of an embedded academic literacy approach on international student transition to an Australian university’, </w:t>
      </w:r>
      <w:r w:rsidRPr="008D15BA">
        <w:rPr>
          <w:rFonts w:ascii="Segoe UI" w:eastAsia="Times New Roman" w:hAnsi="Segoe UI" w:cs="Segoe UI"/>
          <w:i/>
          <w:iCs/>
          <w:color w:val="242424"/>
          <w:kern w:val="0"/>
          <w:sz w:val="23"/>
          <w:szCs w:val="23"/>
          <w:lang w:eastAsia="en-GB"/>
          <w14:ligatures w14:val="none"/>
        </w:rPr>
        <w:t>Journal of Academic Language and Learning</w:t>
      </w:r>
      <w:r w:rsidRPr="008D15BA">
        <w:rPr>
          <w:rFonts w:ascii="Segoe UI" w:eastAsia="Times New Roman" w:hAnsi="Segoe UI" w:cs="Segoe UI"/>
          <w:color w:val="242424"/>
          <w:kern w:val="0"/>
          <w:sz w:val="23"/>
          <w:szCs w:val="23"/>
          <w:lang w:eastAsia="en-GB"/>
          <w14:ligatures w14:val="none"/>
        </w:rPr>
        <w:t>, 16(1), pp. 35–58.</w:t>
      </w:r>
    </w:p>
    <w:p w14:paraId="4837E31C"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23109765"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Rawlings Smith, E., Hodgkin, K. and Young, N. (2022) ‘Student transitions to university in Wales: A mixed-method study of the enablers and barriers of first-year engagement’, </w:t>
      </w:r>
      <w:r w:rsidRPr="008D15BA">
        <w:rPr>
          <w:rFonts w:ascii="Segoe UI" w:eastAsia="Times New Roman" w:hAnsi="Segoe UI" w:cs="Segoe UI"/>
          <w:i/>
          <w:iCs/>
          <w:color w:val="242424"/>
          <w:kern w:val="0"/>
          <w:sz w:val="23"/>
          <w:szCs w:val="23"/>
          <w:lang w:eastAsia="en-GB"/>
          <w14:ligatures w14:val="none"/>
        </w:rPr>
        <w:t>International Journal of Educational Research Open</w:t>
      </w:r>
      <w:r w:rsidRPr="008D15BA">
        <w:rPr>
          <w:rFonts w:ascii="Segoe UI" w:eastAsia="Times New Roman" w:hAnsi="Segoe UI" w:cs="Segoe UI"/>
          <w:color w:val="242424"/>
          <w:kern w:val="0"/>
          <w:sz w:val="23"/>
          <w:szCs w:val="23"/>
          <w:lang w:eastAsia="en-GB"/>
          <w14:ligatures w14:val="none"/>
        </w:rPr>
        <w:t xml:space="preserve">, 3, 100216.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10.1016/j.ijedro.2022.100216.</w:t>
      </w:r>
    </w:p>
    <w:p w14:paraId="4E8CB896"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0792237E"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Yu, S. and Liu, C. (2021) ‘Improving student feedback literacy in academic writing: An evidence-based framework’, </w:t>
      </w:r>
      <w:r w:rsidRPr="008D15BA">
        <w:rPr>
          <w:rFonts w:ascii="Segoe UI" w:eastAsia="Times New Roman" w:hAnsi="Segoe UI" w:cs="Segoe UI"/>
          <w:i/>
          <w:iCs/>
          <w:color w:val="242424"/>
          <w:kern w:val="0"/>
          <w:sz w:val="23"/>
          <w:szCs w:val="23"/>
          <w:lang w:eastAsia="en-GB"/>
          <w14:ligatures w14:val="none"/>
        </w:rPr>
        <w:t>Assessing Writing</w:t>
      </w:r>
      <w:r w:rsidRPr="008D15BA">
        <w:rPr>
          <w:rFonts w:ascii="Segoe UI" w:eastAsia="Times New Roman" w:hAnsi="Segoe UI" w:cs="Segoe UI"/>
          <w:color w:val="242424"/>
          <w:kern w:val="0"/>
          <w:sz w:val="23"/>
          <w:szCs w:val="23"/>
          <w:lang w:eastAsia="en-GB"/>
          <w14:ligatures w14:val="none"/>
        </w:rPr>
        <w:t xml:space="preserve">, 48, 100525.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10.1016/j.asw.2021.100525.</w:t>
      </w:r>
    </w:p>
    <w:p w14:paraId="0C6859D1"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p w14:paraId="1A4A4D84"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Zhao, Y., Sánchez Gómez, M.C., Pinto Llorente, A.M. and Zhao, L. (2021) ‘Digital Competence in Higher Education: Students’ Perception and Personal Factors’, </w:t>
      </w:r>
      <w:r w:rsidRPr="008D15BA">
        <w:rPr>
          <w:rFonts w:ascii="Segoe UI" w:eastAsia="Times New Roman" w:hAnsi="Segoe UI" w:cs="Segoe UI"/>
          <w:i/>
          <w:iCs/>
          <w:color w:val="242424"/>
          <w:kern w:val="0"/>
          <w:sz w:val="23"/>
          <w:szCs w:val="23"/>
          <w:lang w:eastAsia="en-GB"/>
          <w14:ligatures w14:val="none"/>
        </w:rPr>
        <w:t>Sustainability</w:t>
      </w:r>
      <w:r w:rsidRPr="008D15BA">
        <w:rPr>
          <w:rFonts w:ascii="Segoe UI" w:eastAsia="Times New Roman" w:hAnsi="Segoe UI" w:cs="Segoe UI"/>
          <w:color w:val="242424"/>
          <w:kern w:val="0"/>
          <w:sz w:val="23"/>
          <w:szCs w:val="23"/>
          <w:lang w:eastAsia="en-GB"/>
          <w14:ligatures w14:val="none"/>
        </w:rPr>
        <w:t xml:space="preserve">, 13(21), 12184. </w:t>
      </w:r>
      <w:proofErr w:type="spellStart"/>
      <w:r w:rsidRPr="008D15BA">
        <w:rPr>
          <w:rFonts w:ascii="Segoe UI" w:eastAsia="Times New Roman" w:hAnsi="Segoe UI" w:cs="Segoe UI"/>
          <w:color w:val="242424"/>
          <w:kern w:val="0"/>
          <w:sz w:val="23"/>
          <w:szCs w:val="23"/>
          <w:lang w:eastAsia="en-GB"/>
          <w14:ligatures w14:val="none"/>
        </w:rPr>
        <w:t>doi</w:t>
      </w:r>
      <w:proofErr w:type="spellEnd"/>
      <w:r w:rsidRPr="008D15BA">
        <w:rPr>
          <w:rFonts w:ascii="Segoe UI" w:eastAsia="Times New Roman" w:hAnsi="Segoe UI" w:cs="Segoe UI"/>
          <w:color w:val="242424"/>
          <w:kern w:val="0"/>
          <w:sz w:val="23"/>
          <w:szCs w:val="23"/>
          <w:lang w:eastAsia="en-GB"/>
          <w14:ligatures w14:val="none"/>
        </w:rPr>
        <w:t>: 10.3390/su132112184.</w:t>
      </w:r>
    </w:p>
    <w:p w14:paraId="2F8C8956" w14:textId="77777777" w:rsidR="008D15BA" w:rsidRPr="008D15BA" w:rsidRDefault="008D15BA" w:rsidP="008D15BA">
      <w:pPr>
        <w:spacing w:after="0" w:line="240" w:lineRule="auto"/>
        <w:rPr>
          <w:rFonts w:ascii="Times New Roman" w:eastAsia="Times New Roman" w:hAnsi="Times New Roman" w:cs="Times New Roman"/>
          <w:kern w:val="0"/>
          <w:lang w:eastAsia="en-GB"/>
          <w14:ligatures w14:val="none"/>
        </w:rPr>
      </w:pPr>
    </w:p>
    <w:p w14:paraId="3D7D6D8D" w14:textId="77777777" w:rsidR="008D15BA" w:rsidRPr="008D15BA" w:rsidRDefault="008D15BA" w:rsidP="008D15BA">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r w:rsidRPr="008D15BA">
        <w:rPr>
          <w:rFonts w:ascii="Segoe UI" w:eastAsia="Times New Roman" w:hAnsi="Segoe UI" w:cs="Segoe UI"/>
          <w:color w:val="242424"/>
          <w:kern w:val="0"/>
          <w:sz w:val="23"/>
          <w:szCs w:val="23"/>
          <w:lang w:eastAsia="en-GB"/>
          <w14:ligatures w14:val="none"/>
        </w:rPr>
        <w:t>Sent from my iPhone</w:t>
      </w:r>
    </w:p>
    <w:p w14:paraId="47D8ECED" w14:textId="77777777" w:rsidR="008D15BA" w:rsidRDefault="008D15BA" w:rsidP="00583D6E">
      <w:pPr>
        <w:rPr>
          <w:rFonts w:ascii="Arial" w:hAnsi="Arial" w:cs="Arial"/>
        </w:rPr>
      </w:pPr>
    </w:p>
    <w:p w14:paraId="4BD90C79" w14:textId="77777777" w:rsidR="008D15BA" w:rsidRDefault="008D15BA" w:rsidP="00583D6E">
      <w:pPr>
        <w:rPr>
          <w:rFonts w:ascii="Arial" w:hAnsi="Arial" w:cs="Arial"/>
        </w:rPr>
      </w:pPr>
    </w:p>
    <w:p w14:paraId="1092196D" w14:textId="77777777" w:rsidR="008D15BA" w:rsidRPr="009F24C9" w:rsidRDefault="008D15BA" w:rsidP="00583D6E">
      <w:pPr>
        <w:rPr>
          <w:rFonts w:ascii="Arial" w:hAnsi="Arial" w:cs="Arial"/>
        </w:rPr>
        <w:sectPr w:rsidR="008D15BA" w:rsidRPr="009F24C9" w:rsidSect="00583D6E">
          <w:pgSz w:w="11906" w:h="16838"/>
          <w:pgMar w:top="1440" w:right="1440" w:bottom="1440" w:left="1440" w:header="708" w:footer="708" w:gutter="0"/>
          <w:cols w:space="708"/>
          <w:docGrid w:linePitch="360"/>
        </w:sectPr>
      </w:pPr>
    </w:p>
    <w:p w14:paraId="22B2A319" w14:textId="1F451A85" w:rsidR="00583D6E" w:rsidRPr="00984DAA" w:rsidRDefault="00583D6E" w:rsidP="00583D6E">
      <w:pPr>
        <w:rPr>
          <w:rFonts w:ascii="Arial" w:hAnsi="Arial" w:cs="Arial"/>
          <w:b/>
          <w:bCs/>
        </w:rPr>
      </w:pPr>
    </w:p>
    <w:sectPr w:rsidR="00583D6E"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FluentSystemIco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2C498D"/>
    <w:rsid w:val="00583D6E"/>
    <w:rsid w:val="008575EE"/>
    <w:rsid w:val="008D15BA"/>
    <w:rsid w:val="00984DAA"/>
    <w:rsid w:val="009A41CE"/>
    <w:rsid w:val="00BA34E0"/>
    <w:rsid w:val="00C362AF"/>
    <w:rsid w:val="00C560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2391</Words>
  <Characters>13630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rachel james</cp:lastModifiedBy>
  <cp:revision>2</cp:revision>
  <dcterms:created xsi:type="dcterms:W3CDTF">2026-08-31T13:01:00Z</dcterms:created>
  <dcterms:modified xsi:type="dcterms:W3CDTF">2026-08-31T13:01:00Z</dcterms:modified>
</cp:coreProperties>
</file>