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CD481" w14:textId="4B00FDDB" w:rsidR="0025260C" w:rsidRPr="003E2D2C" w:rsidRDefault="0036775C" w:rsidP="0036775C">
      <w:pPr>
        <w:jc w:val="both"/>
        <w:rPr>
          <w:rFonts w:ascii="Calibri" w:hAnsi="Calibri" w:cs="Calibri"/>
          <w:sz w:val="22"/>
          <w:szCs w:val="22"/>
        </w:rPr>
      </w:pPr>
      <w:r w:rsidRPr="003E2D2C">
        <w:rPr>
          <w:rFonts w:ascii="Calibri" w:hAnsi="Calibri" w:cs="Calibri"/>
          <w:sz w:val="22"/>
          <w:szCs w:val="22"/>
        </w:rPr>
        <w:t xml:space="preserve">The 15-minute environmental symbolic play activity "The </w:t>
      </w:r>
      <w:r w:rsidR="00B53CCB" w:rsidRPr="003E2D2C">
        <w:rPr>
          <w:rFonts w:ascii="Calibri" w:hAnsi="Calibri" w:cs="Calibri"/>
          <w:sz w:val="22"/>
          <w:szCs w:val="22"/>
        </w:rPr>
        <w:t>Safe</w:t>
      </w:r>
      <w:r w:rsidRPr="003E2D2C">
        <w:rPr>
          <w:rFonts w:ascii="Calibri" w:hAnsi="Calibri" w:cs="Calibri"/>
          <w:sz w:val="22"/>
          <w:szCs w:val="22"/>
        </w:rPr>
        <w:t xml:space="preserve"> Storm</w:t>
      </w:r>
      <w:r w:rsidR="00B53CCB" w:rsidRPr="003E2D2C">
        <w:rPr>
          <w:rFonts w:ascii="Calibri" w:hAnsi="Calibri" w:cs="Calibri"/>
          <w:sz w:val="22"/>
          <w:szCs w:val="22"/>
        </w:rPr>
        <w:t xml:space="preserve"> Inside</w:t>
      </w:r>
      <w:r w:rsidRPr="003E2D2C">
        <w:rPr>
          <w:rFonts w:ascii="Calibri" w:hAnsi="Calibri" w:cs="Calibri"/>
          <w:sz w:val="22"/>
          <w:szCs w:val="22"/>
        </w:rPr>
        <w:t>," which was designed for children ages five to six in a forest park setting, is evaluated critically in this reflective account. Utilising symbolic constructs and sensory interaction with materials from nature, the program intended to enhance regulation of emotional control</w:t>
      </w:r>
      <w:r w:rsidRPr="003E2D2C">
        <w:rPr>
          <w:rFonts w:ascii="Calibri" w:hAnsi="Calibri" w:cs="Calibri"/>
          <w:sz w:val="22"/>
          <w:szCs w:val="22"/>
        </w:rPr>
        <w:t xml:space="preserve">. </w:t>
      </w:r>
      <w:r w:rsidRPr="003E2D2C">
        <w:rPr>
          <w:rFonts w:ascii="Calibri" w:hAnsi="Calibri" w:cs="Calibri"/>
          <w:sz w:val="22"/>
          <w:szCs w:val="22"/>
        </w:rPr>
        <w:t>This reflective account is organised using components of Graham Gibbs' reflective model</w:t>
      </w:r>
      <w:r w:rsidR="003E3A1A" w:rsidRPr="003E2D2C">
        <w:rPr>
          <w:rFonts w:ascii="Calibri" w:hAnsi="Calibri" w:cs="Calibri"/>
          <w:sz w:val="22"/>
          <w:szCs w:val="22"/>
        </w:rPr>
        <w:t xml:space="preserve"> </w:t>
      </w:r>
      <w:r w:rsidR="003E3A1A" w:rsidRPr="003E2D2C">
        <w:rPr>
          <w:rFonts w:ascii="Calibri" w:hAnsi="Calibri" w:cs="Calibri"/>
          <w:color w:val="000000"/>
          <w:sz w:val="22"/>
          <w:szCs w:val="22"/>
        </w:rPr>
        <w:t>(Hashim et al., 2023)</w:t>
      </w:r>
      <w:r w:rsidR="003E3A1A" w:rsidRPr="003E2D2C">
        <w:rPr>
          <w:rFonts w:ascii="Calibri" w:hAnsi="Calibri" w:cs="Calibri"/>
          <w:sz w:val="22"/>
          <w:szCs w:val="22"/>
        </w:rPr>
        <w:t xml:space="preserve"> </w:t>
      </w:r>
      <w:r w:rsidRPr="003E2D2C">
        <w:rPr>
          <w:rFonts w:ascii="Calibri" w:hAnsi="Calibri" w:cs="Calibri"/>
          <w:sz w:val="22"/>
          <w:szCs w:val="22"/>
        </w:rPr>
        <w:t>and David Kolb's experiential learning cycle</w:t>
      </w:r>
      <w:r w:rsidR="003E3A1A" w:rsidRPr="003E2D2C">
        <w:rPr>
          <w:rFonts w:ascii="Calibri" w:hAnsi="Calibri" w:cs="Calibri"/>
          <w:sz w:val="22"/>
          <w:szCs w:val="22"/>
        </w:rPr>
        <w:t xml:space="preserve"> </w:t>
      </w:r>
      <w:r w:rsidR="003E3A1A" w:rsidRPr="003E2D2C">
        <w:rPr>
          <w:rFonts w:ascii="Calibri" w:hAnsi="Calibri" w:cs="Calibri"/>
          <w:color w:val="000000"/>
          <w:sz w:val="22"/>
          <w:szCs w:val="22"/>
        </w:rPr>
        <w:t>(Kolb &amp; Kolb, 2005)</w:t>
      </w:r>
      <w:r w:rsidR="003E3A1A" w:rsidRPr="003E2D2C">
        <w:rPr>
          <w:rFonts w:ascii="Calibri" w:hAnsi="Calibri" w:cs="Calibri"/>
          <w:sz w:val="22"/>
          <w:szCs w:val="22"/>
        </w:rPr>
        <w:t xml:space="preserve">, </w:t>
      </w:r>
      <w:r w:rsidRPr="003E2D2C">
        <w:rPr>
          <w:rFonts w:ascii="Calibri" w:hAnsi="Calibri" w:cs="Calibri"/>
          <w:sz w:val="22"/>
          <w:szCs w:val="22"/>
        </w:rPr>
        <w:t xml:space="preserve">which enables inquiry into the activity, assessment of its efficacy, and contemplation of consequences for future practice. Using this framework, I look at the methodological constraints related to assessing nature-based </w:t>
      </w:r>
      <w:r w:rsidRPr="003E2D2C">
        <w:rPr>
          <w:rFonts w:ascii="Calibri" w:hAnsi="Calibri" w:cs="Calibri"/>
          <w:sz w:val="22"/>
          <w:szCs w:val="22"/>
        </w:rPr>
        <w:t>therapeutic</w:t>
      </w:r>
      <w:r w:rsidRPr="003E2D2C">
        <w:rPr>
          <w:rFonts w:ascii="Calibri" w:hAnsi="Calibri" w:cs="Calibri"/>
          <w:sz w:val="22"/>
          <w:szCs w:val="22"/>
        </w:rPr>
        <w:t> activities as well as the theoretical underpinnings guiding the activity.</w:t>
      </w:r>
    </w:p>
    <w:p w14:paraId="3F22ED30" w14:textId="41B2B018" w:rsidR="00B411B1" w:rsidRPr="003E2D2C" w:rsidRDefault="00B411B1" w:rsidP="00B411B1">
      <w:pPr>
        <w:spacing w:before="100" w:beforeAutospacing="1" w:after="100" w:afterAutospacing="1"/>
        <w:jc w:val="both"/>
        <w:rPr>
          <w:rFonts w:ascii="Calibri" w:eastAsia="Times New Roman" w:hAnsi="Calibri" w:cs="Calibri"/>
          <w:color w:val="000000"/>
          <w:kern w:val="0"/>
          <w:sz w:val="22"/>
          <w:szCs w:val="22"/>
          <w:lang w:eastAsia="en-GB"/>
          <w14:ligatures w14:val="none"/>
        </w:rPr>
      </w:pPr>
      <w:r w:rsidRPr="003E2D2C">
        <w:rPr>
          <w:rFonts w:ascii="Calibri" w:eastAsia="Times New Roman" w:hAnsi="Calibri" w:cs="Calibri"/>
          <w:color w:val="000000"/>
          <w:kern w:val="0"/>
          <w:sz w:val="22"/>
          <w:szCs w:val="22"/>
          <w:lang w:eastAsia="en-GB"/>
          <w14:ligatures w14:val="none"/>
        </w:rPr>
        <w:t xml:space="preserve">The </w:t>
      </w:r>
      <w:r w:rsidRPr="003E2D2C">
        <w:rPr>
          <w:rFonts w:ascii="Calibri" w:eastAsia="Times New Roman" w:hAnsi="Calibri" w:cs="Calibri"/>
          <w:color w:val="000000"/>
          <w:kern w:val="0"/>
          <w:sz w:val="22"/>
          <w:szCs w:val="22"/>
          <w:lang w:eastAsia="en-GB"/>
          <w14:ligatures w14:val="none"/>
        </w:rPr>
        <w:t>therapeutic</w:t>
      </w:r>
      <w:r w:rsidRPr="003E2D2C">
        <w:rPr>
          <w:rFonts w:ascii="Calibri" w:eastAsia="Times New Roman" w:hAnsi="Calibri" w:cs="Calibri"/>
          <w:color w:val="000000"/>
          <w:kern w:val="0"/>
          <w:sz w:val="22"/>
          <w:szCs w:val="22"/>
          <w:lang w:eastAsia="en-GB"/>
          <w14:ligatures w14:val="none"/>
        </w:rPr>
        <w:t xml:space="preserve"> activity lasted for fifteen minutes in a small park. I asked the participants to "listen to the wind" as I started the exercise, urging them to take note of sounds, the movement of air, and physical feelings. Before starting the symbolic assignment, this little grounding practice was meant to build sensory </w:t>
      </w:r>
      <w:r w:rsidRPr="003E2D2C">
        <w:rPr>
          <w:rFonts w:ascii="Calibri" w:eastAsia="Times New Roman" w:hAnsi="Calibri" w:cs="Calibri"/>
          <w:color w:val="000000"/>
          <w:kern w:val="0"/>
          <w:sz w:val="22"/>
          <w:szCs w:val="22"/>
          <w:lang w:eastAsia="en-GB"/>
          <w14:ligatures w14:val="none"/>
        </w:rPr>
        <w:t>atonement</w:t>
      </w:r>
      <w:r w:rsidRPr="003E2D2C">
        <w:rPr>
          <w:rFonts w:ascii="Calibri" w:eastAsia="Times New Roman" w:hAnsi="Calibri" w:cs="Calibri"/>
          <w:color w:val="000000"/>
          <w:kern w:val="0"/>
          <w:sz w:val="22"/>
          <w:szCs w:val="22"/>
          <w:lang w:eastAsia="en-GB"/>
          <w14:ligatures w14:val="none"/>
        </w:rPr>
        <w:t xml:space="preserve"> and co-regulation.</w:t>
      </w:r>
      <w:r w:rsidRPr="003E2D2C">
        <w:rPr>
          <w:rFonts w:ascii="Calibri" w:eastAsia="Times New Roman" w:hAnsi="Calibri" w:cs="Calibri"/>
          <w:color w:val="000000"/>
          <w:kern w:val="0"/>
          <w:sz w:val="22"/>
          <w:szCs w:val="22"/>
          <w:lang w:eastAsia="en-GB"/>
          <w14:ligatures w14:val="none"/>
        </w:rPr>
        <w:t xml:space="preserve"> </w:t>
      </w:r>
      <w:r w:rsidRPr="003E2D2C">
        <w:rPr>
          <w:rFonts w:ascii="Calibri" w:eastAsia="Times New Roman" w:hAnsi="Calibri" w:cs="Calibri"/>
          <w:color w:val="000000"/>
          <w:kern w:val="0"/>
          <w:sz w:val="22"/>
          <w:szCs w:val="22"/>
          <w:lang w:eastAsia="en-GB"/>
          <w14:ligatures w14:val="none"/>
        </w:rPr>
        <w:t xml:space="preserve">I told the story of a "little storm" that occasionally gets trapped inside individuals and described how nature may help keep it safe. </w:t>
      </w:r>
      <w:r w:rsidRPr="003E2D2C">
        <w:rPr>
          <w:rFonts w:ascii="Calibri" w:eastAsia="Times New Roman" w:hAnsi="Calibri" w:cs="Calibri"/>
          <w:color w:val="000000"/>
          <w:kern w:val="0"/>
          <w:sz w:val="22"/>
          <w:szCs w:val="22"/>
          <w:lang w:eastAsia="en-GB"/>
          <w14:ligatures w14:val="none"/>
        </w:rPr>
        <w:t>Participants</w:t>
      </w:r>
      <w:r w:rsidRPr="003E2D2C">
        <w:rPr>
          <w:rFonts w:ascii="Calibri" w:eastAsia="Times New Roman" w:hAnsi="Calibri" w:cs="Calibri"/>
          <w:color w:val="000000"/>
          <w:kern w:val="0"/>
          <w:sz w:val="22"/>
          <w:szCs w:val="22"/>
          <w:lang w:eastAsia="en-GB"/>
          <w14:ligatures w14:val="none"/>
        </w:rPr>
        <w:t xml:space="preserve"> were asked to use sticks, leaves, moss, and stones to construct a nest. Everyone represented their storm by placing a stone into their nest, and they were free to explain how their nest contained or sheltered the storm. </w:t>
      </w:r>
      <w:proofErr w:type="gramStart"/>
      <w:r w:rsidRPr="003E2D2C">
        <w:rPr>
          <w:rFonts w:ascii="Calibri" w:eastAsia="Times New Roman" w:hAnsi="Calibri" w:cs="Calibri"/>
          <w:color w:val="000000"/>
          <w:kern w:val="0"/>
          <w:sz w:val="22"/>
          <w:szCs w:val="22"/>
          <w:lang w:eastAsia="en-GB"/>
          <w14:ligatures w14:val="none"/>
        </w:rPr>
        <w:t>In order to</w:t>
      </w:r>
      <w:proofErr w:type="gramEnd"/>
      <w:r w:rsidRPr="003E2D2C">
        <w:rPr>
          <w:rFonts w:ascii="Calibri" w:eastAsia="Times New Roman" w:hAnsi="Calibri" w:cs="Calibri"/>
          <w:color w:val="000000"/>
          <w:kern w:val="0"/>
          <w:sz w:val="22"/>
          <w:szCs w:val="22"/>
          <w:lang w:eastAsia="en-GB"/>
          <w14:ligatures w14:val="none"/>
        </w:rPr>
        <w:t xml:space="preserve"> lessen the strain for verbal emotional revelation, sharing was optional.</w:t>
      </w:r>
      <w:r w:rsidR="00404A79" w:rsidRPr="003E2D2C">
        <w:rPr>
          <w:rFonts w:ascii="Calibri" w:eastAsia="Times New Roman" w:hAnsi="Calibri" w:cs="Calibri"/>
          <w:color w:val="000000"/>
          <w:kern w:val="0"/>
          <w:sz w:val="22"/>
          <w:szCs w:val="22"/>
          <w:lang w:eastAsia="en-GB"/>
          <w14:ligatures w14:val="none"/>
        </w:rPr>
        <w:t xml:space="preserve"> </w:t>
      </w:r>
      <w:r w:rsidR="00404A79" w:rsidRPr="003E2D2C">
        <w:rPr>
          <w:rFonts w:ascii="Calibri" w:eastAsia="Times New Roman" w:hAnsi="Calibri" w:cs="Calibri"/>
          <w:color w:val="000000"/>
          <w:kern w:val="0"/>
          <w:sz w:val="22"/>
          <w:szCs w:val="22"/>
          <w:lang w:eastAsia="en-GB"/>
          <w14:ligatures w14:val="none"/>
        </w:rPr>
        <w:t>During a brief closing ceremony, I told the participants that nature was going to securely contain the storms while they left their nests in place. Creating a symbolic sense of enclosure that went beyond the current activity was my goal.</w:t>
      </w:r>
    </w:p>
    <w:p w14:paraId="019C91E3" w14:textId="612E0FD9" w:rsidR="009C28CE" w:rsidRPr="003E2D2C" w:rsidRDefault="009C28CE" w:rsidP="00862735">
      <w:pPr>
        <w:spacing w:before="100" w:beforeAutospacing="1" w:after="100" w:afterAutospacing="1"/>
        <w:jc w:val="both"/>
        <w:rPr>
          <w:rFonts w:ascii="Calibri" w:eastAsia="Times New Roman" w:hAnsi="Calibri" w:cs="Calibri"/>
          <w:color w:val="000000"/>
          <w:kern w:val="0"/>
          <w:sz w:val="22"/>
          <w:szCs w:val="22"/>
          <w:lang w:eastAsia="en-GB"/>
          <w14:ligatures w14:val="none"/>
        </w:rPr>
      </w:pPr>
      <w:r w:rsidRPr="003E2D2C">
        <w:rPr>
          <w:rFonts w:ascii="Calibri" w:eastAsia="Times New Roman" w:hAnsi="Calibri" w:cs="Calibri"/>
          <w:color w:val="000000"/>
          <w:kern w:val="0"/>
          <w:sz w:val="22"/>
          <w:szCs w:val="22"/>
          <w:lang w:eastAsia="en-GB"/>
          <w14:ligatures w14:val="none"/>
        </w:rPr>
        <w:t xml:space="preserve">Throughout the therapeutic activity, I felt encouraged by the participants willingness and engagement with the natural materials and activity. All participants even when apprehensive were encouraged to gather sticks, stones and leaves whilst communicating about materials and how to build their nests. Participants </w:t>
      </w:r>
      <w:r w:rsidRPr="003E2D2C">
        <w:rPr>
          <w:rFonts w:ascii="Calibri" w:eastAsia="Times New Roman" w:hAnsi="Calibri" w:cs="Calibri"/>
          <w:color w:val="000000"/>
          <w:kern w:val="0"/>
          <w:sz w:val="22"/>
          <w:szCs w:val="22"/>
          <w:lang w:eastAsia="en-GB"/>
          <w14:ligatures w14:val="none"/>
        </w:rPr>
        <w:t>moved cautiously, investigated textures, and spent extended periods of time organising things, all of which seemed to be supported by the environment's sensory elements.</w:t>
      </w:r>
      <w:r w:rsidRPr="003E2D2C">
        <w:rPr>
          <w:rFonts w:ascii="Calibri" w:eastAsia="Times New Roman" w:hAnsi="Calibri" w:cs="Calibri"/>
          <w:color w:val="000000"/>
          <w:kern w:val="0"/>
          <w:sz w:val="22"/>
          <w:szCs w:val="22"/>
          <w:lang w:eastAsia="en-GB"/>
          <w14:ligatures w14:val="none"/>
        </w:rPr>
        <w:t xml:space="preserve"> </w:t>
      </w:r>
      <w:r w:rsidRPr="003E2D2C">
        <w:rPr>
          <w:rFonts w:ascii="Calibri" w:eastAsia="Times New Roman" w:hAnsi="Calibri" w:cs="Calibri"/>
          <w:color w:val="000000"/>
          <w:kern w:val="0"/>
          <w:sz w:val="22"/>
          <w:szCs w:val="22"/>
          <w:lang w:eastAsia="en-GB"/>
          <w14:ligatures w14:val="none"/>
        </w:rPr>
        <w:t xml:space="preserve">I was also conscious of the ambiguity around the significance of the "storm" metaphor. </w:t>
      </w:r>
      <w:r w:rsidRPr="003E2D2C">
        <w:rPr>
          <w:rFonts w:ascii="Calibri" w:eastAsia="Times New Roman" w:hAnsi="Calibri" w:cs="Calibri"/>
          <w:color w:val="000000"/>
          <w:kern w:val="0"/>
          <w:sz w:val="22"/>
          <w:szCs w:val="22"/>
          <w:lang w:eastAsia="en-GB"/>
          <w14:ligatures w14:val="none"/>
        </w:rPr>
        <w:t xml:space="preserve">Some participants </w:t>
      </w:r>
      <w:r w:rsidRPr="003E2D2C">
        <w:rPr>
          <w:rFonts w:ascii="Calibri" w:eastAsia="Times New Roman" w:hAnsi="Calibri" w:cs="Calibri"/>
          <w:color w:val="000000"/>
          <w:kern w:val="0"/>
          <w:sz w:val="22"/>
          <w:szCs w:val="22"/>
          <w:lang w:eastAsia="en-GB"/>
          <w14:ligatures w14:val="none"/>
        </w:rPr>
        <w:t>made direct references to the storm, but others seemed more engaged in the actual building process. This prompted a thoughtful debate about whether the play mainly served as exploratory outside play or if the emotional aim of the activity was well communicated.</w:t>
      </w:r>
    </w:p>
    <w:p w14:paraId="41E175C6" w14:textId="7D81971B" w:rsidR="00634DE1" w:rsidRPr="003E2D2C" w:rsidRDefault="00634DE1" w:rsidP="00634DE1">
      <w:pPr>
        <w:spacing w:before="100" w:beforeAutospacing="1" w:after="100" w:afterAutospacing="1"/>
        <w:jc w:val="both"/>
        <w:rPr>
          <w:rFonts w:ascii="Calibri" w:eastAsia="Times New Roman" w:hAnsi="Calibri" w:cs="Calibri"/>
          <w:color w:val="000000"/>
          <w:kern w:val="0"/>
          <w:sz w:val="22"/>
          <w:szCs w:val="22"/>
          <w:lang w:eastAsia="en-GB"/>
          <w14:ligatures w14:val="none"/>
        </w:rPr>
      </w:pPr>
      <w:r w:rsidRPr="003E2D2C">
        <w:rPr>
          <w:rFonts w:ascii="Calibri" w:eastAsia="Times New Roman" w:hAnsi="Calibri" w:cs="Calibri"/>
          <w:color w:val="000000"/>
          <w:kern w:val="0"/>
          <w:sz w:val="22"/>
          <w:szCs w:val="22"/>
          <w:lang w:eastAsia="en-GB"/>
          <w14:ligatures w14:val="none"/>
        </w:rPr>
        <w:t xml:space="preserve">It implies that the symbolic dimension offered a method for emotional conveying that was developmentally accessible. After building their storms, participants talked on how they felt better. These claims show that the metaphor was taken by at least some individuals </w:t>
      </w:r>
      <w:proofErr w:type="gramStart"/>
      <w:r w:rsidRPr="003E2D2C">
        <w:rPr>
          <w:rFonts w:ascii="Calibri" w:eastAsia="Times New Roman" w:hAnsi="Calibri" w:cs="Calibri"/>
          <w:color w:val="000000"/>
          <w:kern w:val="0"/>
          <w:sz w:val="22"/>
          <w:szCs w:val="22"/>
          <w:lang w:eastAsia="en-GB"/>
          <w14:ligatures w14:val="none"/>
        </w:rPr>
        <w:t>in order to</w:t>
      </w:r>
      <w:proofErr w:type="gramEnd"/>
      <w:r w:rsidRPr="003E2D2C">
        <w:rPr>
          <w:rFonts w:ascii="Calibri" w:eastAsia="Times New Roman" w:hAnsi="Calibri" w:cs="Calibri"/>
          <w:color w:val="000000"/>
          <w:kern w:val="0"/>
          <w:sz w:val="22"/>
          <w:szCs w:val="22"/>
          <w:lang w:eastAsia="en-GB"/>
          <w14:ligatures w14:val="none"/>
        </w:rPr>
        <w:t xml:space="preserve"> create emotional meaning.</w:t>
      </w:r>
      <w:r w:rsidRPr="003E2D2C">
        <w:rPr>
          <w:rFonts w:ascii="Calibri" w:eastAsia="Times New Roman" w:hAnsi="Calibri" w:cs="Calibri"/>
          <w:color w:val="000000"/>
          <w:kern w:val="0"/>
          <w:sz w:val="22"/>
          <w:szCs w:val="22"/>
          <w:lang w:eastAsia="en-GB"/>
          <w14:ligatures w14:val="none"/>
        </w:rPr>
        <w:t xml:space="preserve"> </w:t>
      </w:r>
      <w:r w:rsidRPr="003E2D2C">
        <w:rPr>
          <w:rFonts w:ascii="Calibri" w:eastAsia="Times New Roman" w:hAnsi="Calibri" w:cs="Calibri"/>
          <w:color w:val="000000"/>
          <w:kern w:val="0"/>
          <w:sz w:val="22"/>
          <w:szCs w:val="22"/>
          <w:lang w:eastAsia="en-GB"/>
          <w14:ligatures w14:val="none"/>
        </w:rPr>
        <w:t xml:space="preserve">Performance pressure seems to be lessened by sharing's discretionary nature. Children were able to participate symbolically and nonverbally in the activity without of having to directly label emotions. This strategy is in line with criticisms of too cognitive emotional literacy programs that presume young children can easily express their </w:t>
      </w:r>
      <w:proofErr w:type="gramStart"/>
      <w:r w:rsidRPr="003E2D2C">
        <w:rPr>
          <w:rFonts w:ascii="Calibri" w:eastAsia="Times New Roman" w:hAnsi="Calibri" w:cs="Calibri"/>
          <w:color w:val="000000"/>
          <w:kern w:val="0"/>
          <w:sz w:val="22"/>
          <w:szCs w:val="22"/>
          <w:lang w:eastAsia="en-GB"/>
          <w14:ligatures w14:val="none"/>
        </w:rPr>
        <w:t>inner feelings</w:t>
      </w:r>
      <w:proofErr w:type="gramEnd"/>
      <w:r w:rsidRPr="003E2D2C">
        <w:rPr>
          <w:rFonts w:ascii="Calibri" w:eastAsia="Times New Roman" w:hAnsi="Calibri" w:cs="Calibri"/>
          <w:color w:val="000000"/>
          <w:kern w:val="0"/>
          <w:sz w:val="22"/>
          <w:szCs w:val="22"/>
          <w:lang w:eastAsia="en-GB"/>
          <w14:ligatures w14:val="none"/>
        </w:rPr>
        <w:t>.</w:t>
      </w:r>
      <w:r w:rsidRPr="003E2D2C">
        <w:rPr>
          <w:rFonts w:ascii="Calibri" w:eastAsia="Times New Roman" w:hAnsi="Calibri" w:cs="Calibri"/>
          <w:color w:val="000000"/>
          <w:kern w:val="0"/>
          <w:sz w:val="22"/>
          <w:szCs w:val="22"/>
          <w:lang w:eastAsia="en-GB"/>
          <w14:ligatures w14:val="none"/>
        </w:rPr>
        <w:t xml:space="preserve"> </w:t>
      </w:r>
      <w:r w:rsidRPr="003E2D2C">
        <w:rPr>
          <w:rFonts w:ascii="Calibri" w:eastAsia="Times New Roman" w:hAnsi="Calibri" w:cs="Calibri"/>
          <w:color w:val="000000"/>
          <w:kern w:val="0"/>
          <w:sz w:val="22"/>
          <w:szCs w:val="22"/>
          <w:lang w:eastAsia="en-GB"/>
          <w14:ligatures w14:val="none"/>
        </w:rPr>
        <w:t>There were also clear limitations. Some participants only concentrated on gathering supplies or constructing constructions; others did not participate in the activity's metaphorical aspect. Although this action still qualifies as beneficial exploratory play, it makes it more difficult to understand how the activity affects emotional regulation.</w:t>
      </w:r>
    </w:p>
    <w:p w14:paraId="66C24A69" w14:textId="1CE33D3C" w:rsidR="00D20F5A" w:rsidRPr="003E2D2C" w:rsidRDefault="00D20F5A" w:rsidP="00D20F5A">
      <w:pPr>
        <w:spacing w:before="100" w:beforeAutospacing="1" w:after="100" w:afterAutospacing="1"/>
        <w:jc w:val="both"/>
        <w:rPr>
          <w:rFonts w:ascii="Calibri" w:eastAsia="Times New Roman" w:hAnsi="Calibri" w:cs="Calibri"/>
          <w:color w:val="000000"/>
          <w:kern w:val="0"/>
          <w:sz w:val="22"/>
          <w:szCs w:val="22"/>
          <w:lang w:eastAsia="en-GB"/>
          <w14:ligatures w14:val="none"/>
        </w:rPr>
      </w:pPr>
      <w:r w:rsidRPr="003E2D2C">
        <w:rPr>
          <w:rFonts w:ascii="Calibri" w:eastAsia="Times New Roman" w:hAnsi="Calibri" w:cs="Calibri"/>
          <w:color w:val="000000"/>
          <w:kern w:val="0"/>
          <w:sz w:val="22"/>
          <w:szCs w:val="22"/>
          <w:lang w:eastAsia="en-GB"/>
          <w14:ligatures w14:val="none"/>
        </w:rPr>
        <w:t xml:space="preserve">Furthermore, the therapeutic activity was heavily influenced by Lev Vygotsky's sociocultural theory </w:t>
      </w:r>
      <w:r w:rsidR="003E3A1A" w:rsidRPr="003E2D2C">
        <w:rPr>
          <w:rFonts w:ascii="Calibri" w:hAnsi="Calibri" w:cs="Calibri"/>
          <w:color w:val="000000"/>
          <w:sz w:val="22"/>
          <w:szCs w:val="22"/>
        </w:rPr>
        <w:t>(Newman, 201</w:t>
      </w:r>
      <w:r w:rsidR="003E3A1A" w:rsidRPr="003E2D2C">
        <w:rPr>
          <w:rFonts w:ascii="Calibri" w:hAnsi="Calibri" w:cs="Calibri"/>
          <w:color w:val="000000"/>
          <w:sz w:val="22"/>
          <w:szCs w:val="22"/>
        </w:rPr>
        <w:t>8)</w:t>
      </w:r>
      <w:r w:rsidRPr="003E2D2C">
        <w:rPr>
          <w:rFonts w:ascii="Calibri" w:eastAsia="Times New Roman" w:hAnsi="Calibri" w:cs="Calibri"/>
          <w:color w:val="000000"/>
          <w:kern w:val="0"/>
          <w:sz w:val="22"/>
          <w:szCs w:val="22"/>
          <w:lang w:eastAsia="en-GB"/>
          <w14:ligatures w14:val="none"/>
        </w:rPr>
        <w:t xml:space="preserve">, which maintained that children </w:t>
      </w:r>
      <w:proofErr w:type="gramStart"/>
      <w:r w:rsidRPr="003E2D2C">
        <w:rPr>
          <w:rFonts w:ascii="Calibri" w:eastAsia="Times New Roman" w:hAnsi="Calibri" w:cs="Calibri"/>
          <w:color w:val="000000"/>
          <w:kern w:val="0"/>
          <w:sz w:val="22"/>
          <w:szCs w:val="22"/>
          <w:lang w:eastAsia="en-GB"/>
          <w14:ligatures w14:val="none"/>
        </w:rPr>
        <w:t>are capable of appearing</w:t>
      </w:r>
      <w:proofErr w:type="gramEnd"/>
      <w:r w:rsidRPr="003E2D2C">
        <w:rPr>
          <w:rFonts w:ascii="Calibri" w:eastAsia="Times New Roman" w:hAnsi="Calibri" w:cs="Calibri"/>
          <w:color w:val="000000"/>
          <w:kern w:val="0"/>
          <w:sz w:val="22"/>
          <w:szCs w:val="22"/>
          <w:lang w:eastAsia="en-GB"/>
          <w14:ligatures w14:val="none"/>
        </w:rPr>
        <w:t xml:space="preserve"> more developed than their current stage of growth through symbolic play. The storm-representing stone served as a bridging item in this activity, allowing children to express their inner emotions.   From the standpoint of a practitioner, I saw how this symbolic detachment seemed to lessen the intensity involved in talking about emotions openly.</w:t>
      </w:r>
      <w:r w:rsidRPr="003E2D2C">
        <w:rPr>
          <w:rFonts w:ascii="Calibri" w:eastAsia="Times New Roman" w:hAnsi="Calibri" w:cs="Calibri"/>
          <w:color w:val="000000"/>
          <w:kern w:val="0"/>
          <w:sz w:val="22"/>
          <w:szCs w:val="22"/>
          <w:lang w:eastAsia="en-GB"/>
          <w14:ligatures w14:val="none"/>
        </w:rPr>
        <w:t xml:space="preserve"> </w:t>
      </w:r>
      <w:r w:rsidRPr="003E2D2C">
        <w:rPr>
          <w:rFonts w:ascii="Calibri" w:eastAsia="Times New Roman" w:hAnsi="Calibri" w:cs="Calibri"/>
          <w:color w:val="000000"/>
          <w:kern w:val="0"/>
          <w:sz w:val="22"/>
          <w:szCs w:val="22"/>
          <w:lang w:eastAsia="en-GB"/>
          <w14:ligatures w14:val="none"/>
        </w:rPr>
        <w:t xml:space="preserve">Additionally, the activity aligns with Jean Piaget's theory of development </w:t>
      </w:r>
      <w:r w:rsidR="003E3A1A" w:rsidRPr="003E2D2C">
        <w:rPr>
          <w:rFonts w:ascii="Calibri" w:hAnsi="Calibri" w:cs="Calibri"/>
          <w:color w:val="000000"/>
          <w:sz w:val="22"/>
          <w:szCs w:val="22"/>
        </w:rPr>
        <w:t>(Huitt &amp; Hummel, 2003</w:t>
      </w:r>
      <w:r w:rsidR="003E3A1A" w:rsidRPr="003E2D2C">
        <w:rPr>
          <w:rFonts w:ascii="Calibri" w:hAnsi="Calibri" w:cs="Calibri"/>
          <w:color w:val="000000"/>
          <w:sz w:val="22"/>
          <w:szCs w:val="22"/>
        </w:rPr>
        <w:t xml:space="preserve">). </w:t>
      </w:r>
      <w:r w:rsidRPr="003E2D2C">
        <w:rPr>
          <w:rFonts w:ascii="Calibri" w:eastAsia="Times New Roman" w:hAnsi="Calibri" w:cs="Calibri"/>
          <w:color w:val="000000"/>
          <w:kern w:val="0"/>
          <w:sz w:val="22"/>
          <w:szCs w:val="22"/>
          <w:lang w:eastAsia="en-GB"/>
          <w14:ligatures w14:val="none"/>
        </w:rPr>
        <w:t xml:space="preserve">When engaging in imaginative play, children between the ages of five and six </w:t>
      </w:r>
      <w:r w:rsidRPr="003E2D2C">
        <w:rPr>
          <w:rFonts w:ascii="Calibri" w:eastAsia="Times New Roman" w:hAnsi="Calibri" w:cs="Calibri"/>
          <w:color w:val="000000"/>
          <w:kern w:val="0"/>
          <w:sz w:val="22"/>
          <w:szCs w:val="22"/>
          <w:lang w:eastAsia="en-GB"/>
          <w14:ligatures w14:val="none"/>
        </w:rPr>
        <w:lastRenderedPageBreak/>
        <w:t>usually exhibit reliable symbolic representation, which allows them to swap out objects for concepts. Thus, Piagetian processes of assimilation and symbolic representation are consistent with the conversion of an internal emotional state into a material object.</w:t>
      </w:r>
    </w:p>
    <w:p w14:paraId="77D8D1EC" w14:textId="383F6E41" w:rsidR="00A6290C" w:rsidRPr="003E2D2C" w:rsidRDefault="00A6290C" w:rsidP="00A6290C">
      <w:pPr>
        <w:spacing w:before="100" w:beforeAutospacing="1" w:after="100" w:afterAutospacing="1"/>
        <w:jc w:val="both"/>
        <w:rPr>
          <w:rFonts w:ascii="Calibri" w:eastAsia="Times New Roman" w:hAnsi="Calibri" w:cs="Calibri"/>
          <w:color w:val="000000"/>
          <w:kern w:val="0"/>
          <w:sz w:val="22"/>
          <w:szCs w:val="22"/>
          <w:lang w:eastAsia="en-GB"/>
          <w14:ligatures w14:val="none"/>
        </w:rPr>
      </w:pPr>
      <w:r w:rsidRPr="003E2D2C">
        <w:rPr>
          <w:rFonts w:ascii="Calibri" w:eastAsia="Times New Roman" w:hAnsi="Calibri" w:cs="Calibri"/>
          <w:color w:val="000000"/>
          <w:kern w:val="0"/>
          <w:sz w:val="22"/>
          <w:szCs w:val="22"/>
          <w:lang w:eastAsia="en-GB"/>
          <w14:ligatures w14:val="none"/>
        </w:rPr>
        <w:t>It is evident from contemplating through Kolb's conceptualisation step that neither theoretical approach adequately explains the function of emotional safety in the context of the activity.   This is where John Bowlby's attachment theory comes into play. As an instructor, I served as an environment of security where children could investigate emotionally charged metaphors in a protected setting. Symbolic play might not have helped with regulation of emotions on its own without this relationship component.</w:t>
      </w:r>
      <w:r w:rsidRPr="003E2D2C">
        <w:rPr>
          <w:rFonts w:ascii="Calibri" w:eastAsia="Times New Roman" w:hAnsi="Calibri" w:cs="Calibri"/>
          <w:color w:val="000000"/>
          <w:kern w:val="0"/>
          <w:sz w:val="22"/>
          <w:szCs w:val="22"/>
          <w:lang w:eastAsia="en-GB"/>
          <w14:ligatures w14:val="none"/>
        </w:rPr>
        <w:t xml:space="preserve"> </w:t>
      </w:r>
      <w:r w:rsidRPr="003E2D2C">
        <w:rPr>
          <w:rFonts w:ascii="Calibri" w:eastAsia="Times New Roman" w:hAnsi="Calibri" w:cs="Calibri"/>
          <w:color w:val="000000"/>
          <w:kern w:val="0"/>
          <w:sz w:val="22"/>
          <w:szCs w:val="22"/>
          <w:lang w:eastAsia="en-GB"/>
          <w14:ligatures w14:val="none"/>
        </w:rPr>
        <w:t xml:space="preserve">Moreover, a conceptual element was added by the outdoor setting. Natural environments may lessen physiological stress reactions, according to Roger Ulrich's stress reduction theory </w:t>
      </w:r>
      <w:r w:rsidR="003E3A1A" w:rsidRPr="003E2D2C">
        <w:rPr>
          <w:rFonts w:ascii="Calibri" w:hAnsi="Calibri" w:cs="Calibri"/>
          <w:color w:val="000000"/>
          <w:sz w:val="22"/>
          <w:szCs w:val="22"/>
        </w:rPr>
        <w:t>(Ulrich et al., 1991)</w:t>
      </w:r>
      <w:r w:rsidR="003E3A1A" w:rsidRPr="003E2D2C">
        <w:rPr>
          <w:rFonts w:ascii="Calibri" w:eastAsia="Times New Roman" w:hAnsi="Calibri" w:cs="Calibri"/>
          <w:color w:val="EE0000"/>
          <w:kern w:val="0"/>
          <w:sz w:val="22"/>
          <w:szCs w:val="22"/>
          <w:lang w:eastAsia="en-GB"/>
          <w14:ligatures w14:val="none"/>
        </w:rPr>
        <w:t xml:space="preserve">. </w:t>
      </w:r>
      <w:r w:rsidRPr="003E2D2C">
        <w:rPr>
          <w:rFonts w:ascii="Calibri" w:eastAsia="Times New Roman" w:hAnsi="Calibri" w:cs="Calibri"/>
          <w:color w:val="000000"/>
          <w:kern w:val="0"/>
          <w:sz w:val="22"/>
          <w:szCs w:val="22"/>
          <w:lang w:eastAsia="en-GB"/>
          <w14:ligatures w14:val="none"/>
        </w:rPr>
        <w:t>In a comparable manner, Stephen Kaplan's attention restoration</w:t>
      </w:r>
      <w:r w:rsidR="003E3A1A" w:rsidRPr="003E2D2C">
        <w:rPr>
          <w:rFonts w:ascii="Calibri" w:eastAsia="Times New Roman" w:hAnsi="Calibri" w:cs="Calibri"/>
          <w:color w:val="000000"/>
          <w:kern w:val="0"/>
          <w:sz w:val="22"/>
          <w:szCs w:val="22"/>
          <w:lang w:eastAsia="en-GB"/>
          <w14:ligatures w14:val="none"/>
        </w:rPr>
        <w:t xml:space="preserve"> </w:t>
      </w:r>
      <w:r w:rsidR="003E3A1A" w:rsidRPr="003E2D2C">
        <w:rPr>
          <w:rFonts w:ascii="Calibri" w:hAnsi="Calibri" w:cs="Calibri"/>
          <w:color w:val="000000"/>
          <w:sz w:val="22"/>
          <w:szCs w:val="22"/>
        </w:rPr>
        <w:t>(Basu et al., 2018)</w:t>
      </w:r>
      <w:r w:rsidRPr="003E2D2C">
        <w:rPr>
          <w:rFonts w:ascii="Calibri" w:eastAsia="Times New Roman" w:hAnsi="Calibri" w:cs="Calibri"/>
          <w:color w:val="000000"/>
          <w:kern w:val="0"/>
          <w:sz w:val="22"/>
          <w:szCs w:val="22"/>
          <w:lang w:eastAsia="en-GB"/>
          <w14:ligatures w14:val="none"/>
        </w:rPr>
        <w:t xml:space="preserve"> proposal suggests that curiosity in natural settings aids in cognitive rehabilitation. Participants placid sensory exploration and persistent concentration throughout the session seemed to support these theories.</w:t>
      </w:r>
    </w:p>
    <w:p w14:paraId="25E50415" w14:textId="5483184B" w:rsidR="004B648F" w:rsidRPr="003E2D2C" w:rsidRDefault="004B648F" w:rsidP="004B648F">
      <w:pPr>
        <w:spacing w:before="100" w:beforeAutospacing="1" w:after="100" w:afterAutospacing="1"/>
        <w:jc w:val="both"/>
        <w:rPr>
          <w:rFonts w:ascii="Calibri" w:eastAsia="Times New Roman" w:hAnsi="Calibri" w:cs="Calibri"/>
          <w:color w:val="000000"/>
          <w:kern w:val="0"/>
          <w:sz w:val="22"/>
          <w:szCs w:val="22"/>
          <w:lang w:eastAsia="en-GB"/>
          <w14:ligatures w14:val="none"/>
        </w:rPr>
      </w:pPr>
      <w:r w:rsidRPr="003E2D2C">
        <w:rPr>
          <w:rFonts w:ascii="Calibri" w:eastAsia="Times New Roman" w:hAnsi="Calibri" w:cs="Calibri"/>
          <w:color w:val="000000"/>
          <w:kern w:val="0"/>
          <w:sz w:val="22"/>
          <w:szCs w:val="22"/>
          <w:lang w:eastAsia="en-GB"/>
          <w14:ligatures w14:val="none"/>
        </w:rPr>
        <w:t xml:space="preserve">A more thorough examination to determine if the session </w:t>
      </w:r>
      <w:proofErr w:type="gramStart"/>
      <w:r w:rsidRPr="003E2D2C">
        <w:rPr>
          <w:rFonts w:ascii="Calibri" w:eastAsia="Times New Roman" w:hAnsi="Calibri" w:cs="Calibri"/>
          <w:color w:val="000000"/>
          <w:kern w:val="0"/>
          <w:sz w:val="22"/>
          <w:szCs w:val="22"/>
          <w:lang w:eastAsia="en-GB"/>
          <w14:ligatures w14:val="none"/>
        </w:rPr>
        <w:t>actually supported</w:t>
      </w:r>
      <w:proofErr w:type="gramEnd"/>
      <w:r w:rsidRPr="003E2D2C">
        <w:rPr>
          <w:rFonts w:ascii="Calibri" w:eastAsia="Times New Roman" w:hAnsi="Calibri" w:cs="Calibri"/>
          <w:color w:val="000000"/>
          <w:kern w:val="0"/>
          <w:sz w:val="22"/>
          <w:szCs w:val="22"/>
          <w:lang w:eastAsia="en-GB"/>
          <w14:ligatures w14:val="none"/>
        </w:rPr>
        <w:t xml:space="preserve"> emotional control is encouraged by applying Gibbs' evaluative steps. Even while participants showed interest and creative interpretation, it's hard to say if there was any significant emotional shift. Instead of developing </w:t>
      </w:r>
      <w:proofErr w:type="gramStart"/>
      <w:r w:rsidRPr="003E2D2C">
        <w:rPr>
          <w:rFonts w:ascii="Calibri" w:eastAsia="Times New Roman" w:hAnsi="Calibri" w:cs="Calibri"/>
          <w:color w:val="000000"/>
          <w:kern w:val="0"/>
          <w:sz w:val="22"/>
          <w:szCs w:val="22"/>
          <w:lang w:eastAsia="en-GB"/>
          <w14:ligatures w14:val="none"/>
        </w:rPr>
        <w:t>during the course of</w:t>
      </w:r>
      <w:proofErr w:type="gramEnd"/>
      <w:r w:rsidRPr="003E2D2C">
        <w:rPr>
          <w:rFonts w:ascii="Calibri" w:eastAsia="Times New Roman" w:hAnsi="Calibri" w:cs="Calibri"/>
          <w:color w:val="000000"/>
          <w:kern w:val="0"/>
          <w:sz w:val="22"/>
          <w:szCs w:val="22"/>
          <w:lang w:eastAsia="en-GB"/>
          <w14:ligatures w14:val="none"/>
        </w:rPr>
        <w:t xml:space="preserve"> a single, brief activity, emotional management is a complicated developmental process.</w:t>
      </w:r>
      <w:r w:rsidRPr="003E2D2C">
        <w:rPr>
          <w:rFonts w:ascii="Calibri" w:eastAsia="Times New Roman" w:hAnsi="Calibri" w:cs="Calibri"/>
          <w:color w:val="000000"/>
          <w:kern w:val="0"/>
          <w:sz w:val="22"/>
          <w:szCs w:val="22"/>
          <w:lang w:eastAsia="en-GB"/>
          <w14:ligatures w14:val="none"/>
        </w:rPr>
        <w:t xml:space="preserve"> </w:t>
      </w:r>
      <w:r w:rsidRPr="003E2D2C">
        <w:rPr>
          <w:rFonts w:ascii="Calibri" w:eastAsia="Times New Roman" w:hAnsi="Calibri" w:cs="Calibri"/>
          <w:color w:val="000000"/>
          <w:kern w:val="0"/>
          <w:sz w:val="22"/>
          <w:szCs w:val="22"/>
          <w:lang w:eastAsia="en-GB"/>
          <w14:ligatures w14:val="none"/>
        </w:rPr>
        <w:t>Additionally, the potential for interpretive bias is introduced by my dual roles as facilitator and spectator. Observational insights could not represent true behavioural changes, but rather my anticipation of favourable results. This methodological drawback emphasises how crucial multidimensional evaluation techniques are.</w:t>
      </w:r>
    </w:p>
    <w:p w14:paraId="3CE390FF" w14:textId="5F878C0D" w:rsidR="00126243" w:rsidRPr="003E2D2C" w:rsidRDefault="00126243" w:rsidP="004B648F">
      <w:pPr>
        <w:spacing w:before="100" w:beforeAutospacing="1" w:after="100" w:afterAutospacing="1"/>
        <w:jc w:val="both"/>
        <w:rPr>
          <w:rFonts w:ascii="Calibri" w:eastAsia="Times New Roman" w:hAnsi="Calibri" w:cs="Calibri"/>
          <w:color w:val="000000"/>
          <w:kern w:val="0"/>
          <w:sz w:val="22"/>
          <w:szCs w:val="22"/>
          <w:lang w:eastAsia="en-GB"/>
          <w14:ligatures w14:val="none"/>
        </w:rPr>
      </w:pPr>
      <w:r w:rsidRPr="003E2D2C">
        <w:rPr>
          <w:rFonts w:ascii="Calibri" w:eastAsia="Times New Roman" w:hAnsi="Calibri" w:cs="Calibri"/>
          <w:color w:val="000000"/>
          <w:kern w:val="0"/>
          <w:sz w:val="22"/>
          <w:szCs w:val="22"/>
          <w:lang w:eastAsia="en-GB"/>
          <w14:ligatures w14:val="none"/>
        </w:rPr>
        <w:t>Reflective analysis has shown me that the activity's fundamental asset was its incorporation of emotional safety, sensory participation, and symbolic play. Through imagery and building, the exercise enabled participants to explore personal feelings passively rather than requiring verbal emotional confession. For young children who frequently feel emotions directly and symbolically as opposed to logically, this appears appropriate for their development.</w:t>
      </w:r>
    </w:p>
    <w:p w14:paraId="2C4E07A4" w14:textId="11C9A7AC" w:rsidR="00126243" w:rsidRPr="003E2D2C" w:rsidRDefault="00126243" w:rsidP="00126243">
      <w:pPr>
        <w:spacing w:before="100" w:beforeAutospacing="1" w:after="100" w:afterAutospacing="1"/>
        <w:jc w:val="both"/>
        <w:rPr>
          <w:rFonts w:ascii="Calibri" w:eastAsia="Times New Roman" w:hAnsi="Calibri" w:cs="Calibri"/>
          <w:color w:val="000000"/>
          <w:kern w:val="0"/>
          <w:sz w:val="22"/>
          <w:szCs w:val="22"/>
          <w:lang w:eastAsia="en-GB"/>
          <w14:ligatures w14:val="none"/>
        </w:rPr>
      </w:pPr>
      <w:r w:rsidRPr="003E2D2C">
        <w:rPr>
          <w:rFonts w:ascii="Calibri" w:eastAsia="Times New Roman" w:hAnsi="Calibri" w:cs="Calibri"/>
          <w:color w:val="000000"/>
          <w:kern w:val="0"/>
          <w:sz w:val="22"/>
          <w:szCs w:val="22"/>
          <w:lang w:eastAsia="en-GB"/>
          <w14:ligatures w14:val="none"/>
        </w:rPr>
        <w:t>Practical evaluation methods like visual emotion measures prior to and following the activity, protocols for observant regulation, and records of participants creations could be used in future sessions. Obtaining input on children's emotional expressions or attitude as they grow older from parents and educators may also yield insightful information.</w:t>
      </w:r>
      <w:r w:rsidRPr="003E2D2C">
        <w:rPr>
          <w:rFonts w:ascii="Calibri" w:eastAsia="Times New Roman" w:hAnsi="Calibri" w:cs="Calibri"/>
          <w:color w:val="000000"/>
          <w:kern w:val="0"/>
          <w:sz w:val="22"/>
          <w:szCs w:val="22"/>
          <w:lang w:eastAsia="en-GB"/>
          <w14:ligatures w14:val="none"/>
        </w:rPr>
        <w:t xml:space="preserve"> </w:t>
      </w:r>
      <w:r w:rsidRPr="003E2D2C">
        <w:rPr>
          <w:rFonts w:ascii="Calibri" w:eastAsia="Times New Roman" w:hAnsi="Calibri" w:cs="Calibri"/>
          <w:color w:val="000000"/>
          <w:kern w:val="0"/>
          <w:sz w:val="22"/>
          <w:szCs w:val="22"/>
          <w:lang w:eastAsia="en-GB"/>
          <w14:ligatures w14:val="none"/>
        </w:rPr>
        <w:t>Children could return the activity of the symbolic metaphor if the intervention were spread out over several weeks, which could improve its regulating role. Children may be better able to incorporate the narrative into their emotional comprehension through repetition. In a broader sense, this remark highlights the importance of exercising caution when evaluating the advantages of play in nature. Although outdoor symbolic play has potential as a therapeutic wellbeing practice, statements about its efficacy must be strictly limited by the methodological shortcomings of current research.</w:t>
      </w:r>
    </w:p>
    <w:p w14:paraId="795B9DE5" w14:textId="7D6FE0BA" w:rsidR="003E3A1A" w:rsidRPr="00D96EC0" w:rsidRDefault="00920577" w:rsidP="00D96EC0">
      <w:pPr>
        <w:spacing w:before="100" w:beforeAutospacing="1" w:after="100" w:afterAutospacing="1"/>
        <w:jc w:val="both"/>
        <w:rPr>
          <w:rFonts w:ascii="Calibri" w:eastAsia="Times New Roman" w:hAnsi="Calibri" w:cs="Calibri"/>
          <w:color w:val="000000"/>
          <w:kern w:val="0"/>
          <w:sz w:val="22"/>
          <w:szCs w:val="22"/>
          <w:lang w:eastAsia="en-GB"/>
          <w14:ligatures w14:val="none"/>
        </w:rPr>
      </w:pPr>
      <w:r w:rsidRPr="003E2D2C">
        <w:rPr>
          <w:rFonts w:ascii="Calibri" w:eastAsia="Times New Roman" w:hAnsi="Calibri" w:cs="Calibri"/>
          <w:color w:val="000000"/>
          <w:kern w:val="0"/>
          <w:sz w:val="22"/>
          <w:szCs w:val="22"/>
          <w:lang w:eastAsia="en-GB"/>
          <w14:ligatures w14:val="none"/>
        </w:rPr>
        <w:t xml:space="preserve">Kolb's experiential cycle can be utilised to reflect on the way professional education is shaped by the interplay of theoretical interpretation, practical experience, and critical evaluation. Environmental symbolic play can offer a framework for emotional explorations that corresponds with children's developmental patterns of communication, as the </w:t>
      </w:r>
      <w:r w:rsidRPr="003E2D2C">
        <w:rPr>
          <w:rFonts w:ascii="Calibri" w:hAnsi="Calibri" w:cs="Calibri"/>
          <w:sz w:val="22"/>
          <w:szCs w:val="22"/>
        </w:rPr>
        <w:t xml:space="preserve">"The Safe Storm Inside," </w:t>
      </w:r>
      <w:r w:rsidRPr="003E2D2C">
        <w:rPr>
          <w:rFonts w:ascii="Calibri" w:eastAsia="Times New Roman" w:hAnsi="Calibri" w:cs="Calibri"/>
          <w:color w:val="000000"/>
          <w:kern w:val="0"/>
          <w:sz w:val="22"/>
          <w:szCs w:val="22"/>
          <w:lang w:eastAsia="en-GB"/>
          <w14:ligatures w14:val="none"/>
        </w:rPr>
        <w:t>session showed. When incorporating nature-based treatments into early childhood education, the reflective process also emphasises the necessity of thorough evaluation and theoretical depth.</w:t>
      </w:r>
    </w:p>
    <w:p w14:paraId="71C4565B" w14:textId="77777777" w:rsidR="00BA3F82" w:rsidRDefault="00BA3F82"/>
    <w:p w14:paraId="3F881E59" w14:textId="77777777" w:rsidR="00D96EC0" w:rsidRDefault="00D96EC0"/>
    <w:p w14:paraId="1DA8D90E" w14:textId="480D411F" w:rsidR="003E3A1A" w:rsidRPr="003E3A1A" w:rsidRDefault="003E3A1A">
      <w:pPr>
        <w:rPr>
          <w:rFonts w:ascii="Calibri" w:hAnsi="Calibri" w:cs="Calibri"/>
          <w:u w:val="single"/>
        </w:rPr>
      </w:pPr>
      <w:r w:rsidRPr="003E3A1A">
        <w:rPr>
          <w:rFonts w:ascii="Calibri" w:hAnsi="Calibri" w:cs="Calibri"/>
          <w:u w:val="single"/>
        </w:rPr>
        <w:lastRenderedPageBreak/>
        <w:t>References</w:t>
      </w:r>
    </w:p>
    <w:p w14:paraId="507F8AD9" w14:textId="77777777" w:rsidR="003E3A1A" w:rsidRPr="009046B8" w:rsidRDefault="003E3A1A" w:rsidP="003E3A1A">
      <w:pPr>
        <w:pStyle w:val="NormalWeb"/>
        <w:numPr>
          <w:ilvl w:val="0"/>
          <w:numId w:val="16"/>
        </w:numPr>
        <w:spacing w:before="0" w:beforeAutospacing="0" w:after="0" w:afterAutospacing="0" w:line="480" w:lineRule="atLeast"/>
        <w:jc w:val="both"/>
        <w:rPr>
          <w:rFonts w:ascii="Calibri" w:hAnsi="Calibri" w:cs="Calibri"/>
          <w:color w:val="000000"/>
          <w:sz w:val="22"/>
          <w:szCs w:val="22"/>
        </w:rPr>
      </w:pPr>
      <w:r w:rsidRPr="009046B8">
        <w:rPr>
          <w:rFonts w:ascii="Calibri" w:hAnsi="Calibri" w:cs="Calibri"/>
          <w:color w:val="000000"/>
          <w:sz w:val="22"/>
          <w:szCs w:val="22"/>
        </w:rPr>
        <w:t>Basu, A., Duvall, J., &amp; Kaplan, R. (2018). Attention Restoration Theory: Exploring the Role of Soft Fascination and Mental Bandwidth.</w:t>
      </w:r>
      <w:r w:rsidRPr="009046B8">
        <w:rPr>
          <w:rStyle w:val="apple-converted-space"/>
          <w:rFonts w:ascii="Calibri" w:eastAsiaTheme="majorEastAsia" w:hAnsi="Calibri" w:cs="Calibri"/>
          <w:color w:val="000000"/>
          <w:sz w:val="22"/>
          <w:szCs w:val="22"/>
        </w:rPr>
        <w:t> </w:t>
      </w:r>
      <w:r w:rsidRPr="009046B8">
        <w:rPr>
          <w:rFonts w:ascii="Calibri" w:hAnsi="Calibri" w:cs="Calibri"/>
          <w:i/>
          <w:iCs/>
          <w:color w:val="000000"/>
          <w:sz w:val="22"/>
          <w:szCs w:val="22"/>
        </w:rPr>
        <w:t xml:space="preserve">Environment and </w:t>
      </w:r>
      <w:proofErr w:type="spellStart"/>
      <w:r w:rsidRPr="009046B8">
        <w:rPr>
          <w:rFonts w:ascii="Calibri" w:hAnsi="Calibri" w:cs="Calibri"/>
          <w:i/>
          <w:iCs/>
          <w:color w:val="000000"/>
          <w:sz w:val="22"/>
          <w:szCs w:val="22"/>
        </w:rPr>
        <w:t>Behavior</w:t>
      </w:r>
      <w:proofErr w:type="spellEnd"/>
      <w:r w:rsidRPr="009046B8">
        <w:rPr>
          <w:rFonts w:ascii="Calibri" w:hAnsi="Calibri" w:cs="Calibri"/>
          <w:color w:val="000000"/>
          <w:sz w:val="22"/>
          <w:szCs w:val="22"/>
        </w:rPr>
        <w:t>,</w:t>
      </w:r>
      <w:r w:rsidRPr="009046B8">
        <w:rPr>
          <w:rStyle w:val="apple-converted-space"/>
          <w:rFonts w:ascii="Calibri" w:eastAsiaTheme="majorEastAsia" w:hAnsi="Calibri" w:cs="Calibri"/>
          <w:color w:val="000000"/>
          <w:sz w:val="22"/>
          <w:szCs w:val="22"/>
        </w:rPr>
        <w:t> </w:t>
      </w:r>
      <w:r w:rsidRPr="009046B8">
        <w:rPr>
          <w:rFonts w:ascii="Calibri" w:hAnsi="Calibri" w:cs="Calibri"/>
          <w:i/>
          <w:iCs/>
          <w:color w:val="000000"/>
          <w:sz w:val="22"/>
          <w:szCs w:val="22"/>
        </w:rPr>
        <w:t>51</w:t>
      </w:r>
      <w:r w:rsidRPr="009046B8">
        <w:rPr>
          <w:rFonts w:ascii="Calibri" w:hAnsi="Calibri" w:cs="Calibri"/>
          <w:color w:val="000000"/>
          <w:sz w:val="22"/>
          <w:szCs w:val="22"/>
        </w:rPr>
        <w:t>(9-10), 1055–1081. https://doi.org/10.1177/0013916518774400</w:t>
      </w:r>
    </w:p>
    <w:p w14:paraId="47FE7BA7" w14:textId="77777777" w:rsidR="003E3A1A" w:rsidRPr="009046B8" w:rsidRDefault="003E3A1A" w:rsidP="003E3A1A">
      <w:pPr>
        <w:pStyle w:val="NormalWeb"/>
        <w:numPr>
          <w:ilvl w:val="0"/>
          <w:numId w:val="16"/>
        </w:numPr>
        <w:spacing w:before="0" w:beforeAutospacing="0" w:after="0" w:afterAutospacing="0" w:line="480" w:lineRule="atLeast"/>
        <w:jc w:val="both"/>
        <w:rPr>
          <w:rFonts w:ascii="Calibri" w:hAnsi="Calibri" w:cs="Calibri"/>
          <w:color w:val="000000"/>
          <w:sz w:val="22"/>
          <w:szCs w:val="22"/>
        </w:rPr>
      </w:pPr>
      <w:r w:rsidRPr="009046B8">
        <w:rPr>
          <w:rFonts w:ascii="Calibri" w:hAnsi="Calibri" w:cs="Calibri"/>
          <w:color w:val="000000"/>
          <w:sz w:val="22"/>
          <w:szCs w:val="22"/>
        </w:rPr>
        <w:t xml:space="preserve">Hashim, S. N. A., Yaacob, A., Suryani, I., Mohd Asraf, R., Bahador, Z., &amp; </w:t>
      </w:r>
      <w:proofErr w:type="spellStart"/>
      <w:r w:rsidRPr="009046B8">
        <w:rPr>
          <w:rFonts w:ascii="Calibri" w:hAnsi="Calibri" w:cs="Calibri"/>
          <w:color w:val="000000"/>
          <w:sz w:val="22"/>
          <w:szCs w:val="22"/>
        </w:rPr>
        <w:t>Supian</w:t>
      </w:r>
      <w:proofErr w:type="spellEnd"/>
      <w:r w:rsidRPr="009046B8">
        <w:rPr>
          <w:rFonts w:ascii="Calibri" w:hAnsi="Calibri" w:cs="Calibri"/>
          <w:color w:val="000000"/>
          <w:sz w:val="22"/>
          <w:szCs w:val="22"/>
        </w:rPr>
        <w:t>, N. (2023).</w:t>
      </w:r>
      <w:r w:rsidRPr="009046B8">
        <w:rPr>
          <w:rStyle w:val="apple-converted-space"/>
          <w:rFonts w:ascii="Calibri" w:eastAsiaTheme="majorEastAsia" w:hAnsi="Calibri" w:cs="Calibri"/>
          <w:color w:val="000000"/>
          <w:sz w:val="22"/>
          <w:szCs w:val="22"/>
        </w:rPr>
        <w:t> </w:t>
      </w:r>
      <w:r w:rsidRPr="009046B8">
        <w:rPr>
          <w:rFonts w:ascii="Calibri" w:hAnsi="Calibri" w:cs="Calibri"/>
          <w:i/>
          <w:iCs/>
          <w:color w:val="000000"/>
          <w:sz w:val="22"/>
          <w:szCs w:val="22"/>
        </w:rPr>
        <w:t>Exploring the Use of Gibbs’ Reflective Model in Enhancing In-Service ESL Teachers’ Reflective Writing</w:t>
      </w:r>
      <w:r w:rsidRPr="009046B8">
        <w:rPr>
          <w:rFonts w:ascii="Calibri" w:hAnsi="Calibri" w:cs="Calibri"/>
          <w:color w:val="000000"/>
          <w:sz w:val="22"/>
          <w:szCs w:val="22"/>
        </w:rPr>
        <w:t>. Social Science Research Network. https://doi.org/10.2139/ssrn.4497558</w:t>
      </w:r>
    </w:p>
    <w:p w14:paraId="08DA80D3" w14:textId="77777777" w:rsidR="003E3A1A" w:rsidRPr="009046B8" w:rsidRDefault="003E3A1A" w:rsidP="003E3A1A">
      <w:pPr>
        <w:pStyle w:val="NormalWeb"/>
        <w:numPr>
          <w:ilvl w:val="0"/>
          <w:numId w:val="16"/>
        </w:numPr>
        <w:spacing w:before="0" w:beforeAutospacing="0" w:after="0" w:afterAutospacing="0" w:line="480" w:lineRule="atLeast"/>
        <w:jc w:val="both"/>
        <w:rPr>
          <w:rFonts w:ascii="Calibri" w:hAnsi="Calibri" w:cs="Calibri"/>
          <w:color w:val="000000"/>
          <w:sz w:val="22"/>
          <w:szCs w:val="22"/>
        </w:rPr>
      </w:pPr>
      <w:r w:rsidRPr="009046B8">
        <w:rPr>
          <w:rFonts w:ascii="Calibri" w:hAnsi="Calibri" w:cs="Calibri"/>
          <w:color w:val="000000"/>
          <w:sz w:val="22"/>
          <w:szCs w:val="22"/>
        </w:rPr>
        <w:t>Huitt, W., &amp; Hummel, J. (2003). Piaget’s Theory of Cognitive Development.</w:t>
      </w:r>
      <w:r w:rsidRPr="009046B8">
        <w:rPr>
          <w:rStyle w:val="apple-converted-space"/>
          <w:rFonts w:ascii="Calibri" w:eastAsiaTheme="majorEastAsia" w:hAnsi="Calibri" w:cs="Calibri"/>
          <w:color w:val="000000"/>
          <w:sz w:val="22"/>
          <w:szCs w:val="22"/>
        </w:rPr>
        <w:t> </w:t>
      </w:r>
      <w:r w:rsidRPr="009046B8">
        <w:rPr>
          <w:rFonts w:ascii="Calibri" w:hAnsi="Calibri" w:cs="Calibri"/>
          <w:i/>
          <w:iCs/>
          <w:color w:val="000000"/>
          <w:sz w:val="22"/>
          <w:szCs w:val="22"/>
        </w:rPr>
        <w:t>Cognitive Development</w:t>
      </w:r>
      <w:r w:rsidRPr="009046B8">
        <w:rPr>
          <w:rFonts w:ascii="Calibri" w:hAnsi="Calibri" w:cs="Calibri"/>
          <w:color w:val="000000"/>
          <w:sz w:val="22"/>
          <w:szCs w:val="22"/>
        </w:rPr>
        <w:t>,</w:t>
      </w:r>
      <w:r w:rsidRPr="009046B8">
        <w:rPr>
          <w:rStyle w:val="apple-converted-space"/>
          <w:rFonts w:ascii="Calibri" w:eastAsiaTheme="majorEastAsia" w:hAnsi="Calibri" w:cs="Calibri"/>
          <w:color w:val="000000"/>
          <w:sz w:val="22"/>
          <w:szCs w:val="22"/>
        </w:rPr>
        <w:t> </w:t>
      </w:r>
      <w:r w:rsidRPr="009046B8">
        <w:rPr>
          <w:rFonts w:ascii="Calibri" w:hAnsi="Calibri" w:cs="Calibri"/>
          <w:i/>
          <w:iCs/>
          <w:color w:val="000000"/>
          <w:sz w:val="22"/>
          <w:szCs w:val="22"/>
        </w:rPr>
        <w:t>18</w:t>
      </w:r>
      <w:r w:rsidRPr="009046B8">
        <w:rPr>
          <w:rFonts w:ascii="Calibri" w:hAnsi="Calibri" w:cs="Calibri"/>
          <w:color w:val="000000"/>
          <w:sz w:val="22"/>
          <w:szCs w:val="22"/>
        </w:rPr>
        <w:t>(3), II. https://doi.org/10.1016/s0885-2014(03)00055-8</w:t>
      </w:r>
    </w:p>
    <w:p w14:paraId="418CD93F" w14:textId="77777777" w:rsidR="003E3A1A" w:rsidRPr="009046B8" w:rsidRDefault="003E3A1A" w:rsidP="003E3A1A">
      <w:pPr>
        <w:pStyle w:val="NormalWeb"/>
        <w:numPr>
          <w:ilvl w:val="0"/>
          <w:numId w:val="16"/>
        </w:numPr>
        <w:spacing w:before="0" w:beforeAutospacing="0" w:after="0" w:afterAutospacing="0" w:line="480" w:lineRule="atLeast"/>
        <w:jc w:val="both"/>
        <w:rPr>
          <w:rFonts w:ascii="Calibri" w:hAnsi="Calibri" w:cs="Calibri"/>
          <w:color w:val="000000"/>
          <w:sz w:val="22"/>
          <w:szCs w:val="22"/>
        </w:rPr>
      </w:pPr>
      <w:r w:rsidRPr="009046B8">
        <w:rPr>
          <w:rFonts w:ascii="Calibri" w:hAnsi="Calibri" w:cs="Calibri"/>
          <w:color w:val="000000"/>
          <w:sz w:val="22"/>
          <w:szCs w:val="22"/>
        </w:rPr>
        <w:t>Kolb, A. Y., &amp; Kolb, D. A. (2005). Learning styles and learning spaces: Enhancing experiential learning in higher education.</w:t>
      </w:r>
      <w:r w:rsidRPr="009046B8">
        <w:rPr>
          <w:rStyle w:val="apple-converted-space"/>
          <w:rFonts w:ascii="Calibri" w:eastAsiaTheme="majorEastAsia" w:hAnsi="Calibri" w:cs="Calibri"/>
          <w:color w:val="000000"/>
          <w:sz w:val="22"/>
          <w:szCs w:val="22"/>
        </w:rPr>
        <w:t> </w:t>
      </w:r>
      <w:r w:rsidRPr="009046B8">
        <w:rPr>
          <w:rFonts w:ascii="Calibri" w:hAnsi="Calibri" w:cs="Calibri"/>
          <w:i/>
          <w:iCs/>
          <w:color w:val="000000"/>
          <w:sz w:val="22"/>
          <w:szCs w:val="22"/>
        </w:rPr>
        <w:t>Academy of Management Learning &amp; Education</w:t>
      </w:r>
      <w:r w:rsidRPr="009046B8">
        <w:rPr>
          <w:rFonts w:ascii="Calibri" w:hAnsi="Calibri" w:cs="Calibri"/>
          <w:color w:val="000000"/>
          <w:sz w:val="22"/>
          <w:szCs w:val="22"/>
        </w:rPr>
        <w:t>,</w:t>
      </w:r>
      <w:r w:rsidRPr="009046B8">
        <w:rPr>
          <w:rStyle w:val="apple-converted-space"/>
          <w:rFonts w:ascii="Calibri" w:eastAsiaTheme="majorEastAsia" w:hAnsi="Calibri" w:cs="Calibri"/>
          <w:color w:val="000000"/>
          <w:sz w:val="22"/>
          <w:szCs w:val="22"/>
        </w:rPr>
        <w:t> </w:t>
      </w:r>
      <w:r w:rsidRPr="009046B8">
        <w:rPr>
          <w:rFonts w:ascii="Calibri" w:hAnsi="Calibri" w:cs="Calibri"/>
          <w:i/>
          <w:iCs/>
          <w:color w:val="000000"/>
          <w:sz w:val="22"/>
          <w:szCs w:val="22"/>
        </w:rPr>
        <w:t>4</w:t>
      </w:r>
      <w:r w:rsidRPr="009046B8">
        <w:rPr>
          <w:rFonts w:ascii="Calibri" w:hAnsi="Calibri" w:cs="Calibri"/>
          <w:color w:val="000000"/>
          <w:sz w:val="22"/>
          <w:szCs w:val="22"/>
        </w:rPr>
        <w:t>(2), 193–212.</w:t>
      </w:r>
    </w:p>
    <w:p w14:paraId="53772160" w14:textId="77777777" w:rsidR="003E3A1A" w:rsidRPr="009046B8" w:rsidRDefault="003E3A1A" w:rsidP="003E3A1A">
      <w:pPr>
        <w:pStyle w:val="NormalWeb"/>
        <w:numPr>
          <w:ilvl w:val="0"/>
          <w:numId w:val="16"/>
        </w:numPr>
        <w:spacing w:before="0" w:beforeAutospacing="0" w:after="0" w:afterAutospacing="0" w:line="480" w:lineRule="atLeast"/>
        <w:jc w:val="both"/>
        <w:rPr>
          <w:rFonts w:ascii="Calibri" w:hAnsi="Calibri" w:cs="Calibri"/>
          <w:color w:val="000000"/>
          <w:sz w:val="22"/>
          <w:szCs w:val="22"/>
        </w:rPr>
      </w:pPr>
      <w:r w:rsidRPr="009046B8">
        <w:rPr>
          <w:rFonts w:ascii="Calibri" w:hAnsi="Calibri" w:cs="Calibri"/>
          <w:color w:val="000000"/>
          <w:sz w:val="22"/>
          <w:szCs w:val="22"/>
        </w:rPr>
        <w:t>Newman, S. (2018). Vygotsky, Wittgenstein, and sociocultural theory.</w:t>
      </w:r>
      <w:r w:rsidRPr="009046B8">
        <w:rPr>
          <w:rStyle w:val="apple-converted-space"/>
          <w:rFonts w:ascii="Calibri" w:eastAsiaTheme="majorEastAsia" w:hAnsi="Calibri" w:cs="Calibri"/>
          <w:color w:val="000000"/>
          <w:sz w:val="22"/>
          <w:szCs w:val="22"/>
        </w:rPr>
        <w:t> </w:t>
      </w:r>
      <w:r w:rsidRPr="009046B8">
        <w:rPr>
          <w:rFonts w:ascii="Calibri" w:hAnsi="Calibri" w:cs="Calibri"/>
          <w:i/>
          <w:iCs/>
          <w:color w:val="000000"/>
          <w:sz w:val="22"/>
          <w:szCs w:val="22"/>
        </w:rPr>
        <w:t>Journal for the Theory of Social Behaviour</w:t>
      </w:r>
      <w:r w:rsidRPr="009046B8">
        <w:rPr>
          <w:rFonts w:ascii="Calibri" w:hAnsi="Calibri" w:cs="Calibri"/>
          <w:color w:val="000000"/>
          <w:sz w:val="22"/>
          <w:szCs w:val="22"/>
        </w:rPr>
        <w:t>,</w:t>
      </w:r>
      <w:r w:rsidRPr="009046B8">
        <w:rPr>
          <w:rStyle w:val="apple-converted-space"/>
          <w:rFonts w:ascii="Calibri" w:eastAsiaTheme="majorEastAsia" w:hAnsi="Calibri" w:cs="Calibri"/>
          <w:color w:val="000000"/>
          <w:sz w:val="22"/>
          <w:szCs w:val="22"/>
        </w:rPr>
        <w:t> </w:t>
      </w:r>
      <w:r w:rsidRPr="009046B8">
        <w:rPr>
          <w:rFonts w:ascii="Calibri" w:hAnsi="Calibri" w:cs="Calibri"/>
          <w:i/>
          <w:iCs/>
          <w:color w:val="000000"/>
          <w:sz w:val="22"/>
          <w:szCs w:val="22"/>
        </w:rPr>
        <w:t>48</w:t>
      </w:r>
      <w:r w:rsidRPr="009046B8">
        <w:rPr>
          <w:rFonts w:ascii="Calibri" w:hAnsi="Calibri" w:cs="Calibri"/>
          <w:color w:val="000000"/>
          <w:sz w:val="22"/>
          <w:szCs w:val="22"/>
        </w:rPr>
        <w:t>(3), 350–368. https://doi.org/10.1111/jtsb.12174</w:t>
      </w:r>
    </w:p>
    <w:p w14:paraId="1C483166" w14:textId="77777777" w:rsidR="003E3A1A" w:rsidRPr="009046B8" w:rsidRDefault="003E3A1A" w:rsidP="003E3A1A">
      <w:pPr>
        <w:pStyle w:val="NormalWeb"/>
        <w:numPr>
          <w:ilvl w:val="0"/>
          <w:numId w:val="16"/>
        </w:numPr>
        <w:spacing w:before="0" w:beforeAutospacing="0" w:after="0" w:afterAutospacing="0" w:line="480" w:lineRule="atLeast"/>
        <w:jc w:val="both"/>
        <w:rPr>
          <w:rFonts w:ascii="Calibri" w:hAnsi="Calibri" w:cs="Calibri"/>
          <w:color w:val="000000"/>
          <w:sz w:val="22"/>
          <w:szCs w:val="22"/>
        </w:rPr>
      </w:pPr>
      <w:r w:rsidRPr="009046B8">
        <w:rPr>
          <w:rFonts w:ascii="Calibri" w:hAnsi="Calibri" w:cs="Calibri"/>
          <w:color w:val="000000"/>
          <w:sz w:val="22"/>
          <w:szCs w:val="22"/>
        </w:rPr>
        <w:t xml:space="preserve">Ulrich, R. S., Simons, R. F., Losito, B. D., Fiorito, E., Miles, M. A., &amp; </w:t>
      </w:r>
      <w:proofErr w:type="spellStart"/>
      <w:r w:rsidRPr="009046B8">
        <w:rPr>
          <w:rFonts w:ascii="Calibri" w:hAnsi="Calibri" w:cs="Calibri"/>
          <w:color w:val="000000"/>
          <w:sz w:val="22"/>
          <w:szCs w:val="22"/>
        </w:rPr>
        <w:t>Zelson</w:t>
      </w:r>
      <w:proofErr w:type="spellEnd"/>
      <w:r w:rsidRPr="009046B8">
        <w:rPr>
          <w:rFonts w:ascii="Calibri" w:hAnsi="Calibri" w:cs="Calibri"/>
          <w:color w:val="000000"/>
          <w:sz w:val="22"/>
          <w:szCs w:val="22"/>
        </w:rPr>
        <w:t>, M. (1991). Stress recovery during exposure to natural and urban environments.</w:t>
      </w:r>
      <w:r w:rsidRPr="009046B8">
        <w:rPr>
          <w:rStyle w:val="apple-converted-space"/>
          <w:rFonts w:ascii="Calibri" w:eastAsiaTheme="majorEastAsia" w:hAnsi="Calibri" w:cs="Calibri"/>
          <w:color w:val="000000"/>
          <w:sz w:val="22"/>
          <w:szCs w:val="22"/>
        </w:rPr>
        <w:t> </w:t>
      </w:r>
      <w:r w:rsidRPr="009046B8">
        <w:rPr>
          <w:rFonts w:ascii="Calibri" w:hAnsi="Calibri" w:cs="Calibri"/>
          <w:i/>
          <w:iCs/>
          <w:color w:val="000000"/>
          <w:sz w:val="22"/>
          <w:szCs w:val="22"/>
        </w:rPr>
        <w:t>Journal of Environmental Psychology</w:t>
      </w:r>
      <w:r w:rsidRPr="009046B8">
        <w:rPr>
          <w:rFonts w:ascii="Calibri" w:hAnsi="Calibri" w:cs="Calibri"/>
          <w:color w:val="000000"/>
          <w:sz w:val="22"/>
          <w:szCs w:val="22"/>
        </w:rPr>
        <w:t>,</w:t>
      </w:r>
      <w:r w:rsidRPr="009046B8">
        <w:rPr>
          <w:rStyle w:val="apple-converted-space"/>
          <w:rFonts w:ascii="Calibri" w:eastAsiaTheme="majorEastAsia" w:hAnsi="Calibri" w:cs="Calibri"/>
          <w:color w:val="000000"/>
          <w:sz w:val="22"/>
          <w:szCs w:val="22"/>
        </w:rPr>
        <w:t> </w:t>
      </w:r>
      <w:r w:rsidRPr="009046B8">
        <w:rPr>
          <w:rFonts w:ascii="Calibri" w:hAnsi="Calibri" w:cs="Calibri"/>
          <w:i/>
          <w:iCs/>
          <w:color w:val="000000"/>
          <w:sz w:val="22"/>
          <w:szCs w:val="22"/>
        </w:rPr>
        <w:t>11</w:t>
      </w:r>
      <w:r w:rsidRPr="009046B8">
        <w:rPr>
          <w:rFonts w:ascii="Calibri" w:hAnsi="Calibri" w:cs="Calibri"/>
          <w:color w:val="000000"/>
          <w:sz w:val="22"/>
          <w:szCs w:val="22"/>
        </w:rPr>
        <w:t>(3), 201–230. https://doi.org/10.1016/s0272-4944(05)80184-7</w:t>
      </w:r>
    </w:p>
    <w:p w14:paraId="44DCC4E5" w14:textId="77777777" w:rsidR="003E3A1A" w:rsidRPr="003E3A1A" w:rsidRDefault="003E3A1A">
      <w:pPr>
        <w:rPr>
          <w:u w:val="single"/>
        </w:rPr>
      </w:pPr>
    </w:p>
    <w:sectPr w:rsidR="003E3A1A" w:rsidRPr="003E3A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30D1"/>
    <w:multiLevelType w:val="multilevel"/>
    <w:tmpl w:val="F828A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836EE"/>
    <w:multiLevelType w:val="hybridMultilevel"/>
    <w:tmpl w:val="122EBC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DA159A"/>
    <w:multiLevelType w:val="multilevel"/>
    <w:tmpl w:val="F63E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C22FE"/>
    <w:multiLevelType w:val="multilevel"/>
    <w:tmpl w:val="2E3E5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81429"/>
    <w:multiLevelType w:val="multilevel"/>
    <w:tmpl w:val="209A0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01339D"/>
    <w:multiLevelType w:val="multilevel"/>
    <w:tmpl w:val="B00C6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E37437"/>
    <w:multiLevelType w:val="multilevel"/>
    <w:tmpl w:val="71121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CB1F46"/>
    <w:multiLevelType w:val="multilevel"/>
    <w:tmpl w:val="DB0E2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2040B4"/>
    <w:multiLevelType w:val="multilevel"/>
    <w:tmpl w:val="DA8E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611B45"/>
    <w:multiLevelType w:val="multilevel"/>
    <w:tmpl w:val="DE4E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FB68C5"/>
    <w:multiLevelType w:val="multilevel"/>
    <w:tmpl w:val="2F961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0B5FAB"/>
    <w:multiLevelType w:val="multilevel"/>
    <w:tmpl w:val="50BA5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8B6038"/>
    <w:multiLevelType w:val="multilevel"/>
    <w:tmpl w:val="1166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D60B1D"/>
    <w:multiLevelType w:val="multilevel"/>
    <w:tmpl w:val="1E642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74677D"/>
    <w:multiLevelType w:val="multilevel"/>
    <w:tmpl w:val="FF46D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9C0CA8"/>
    <w:multiLevelType w:val="multilevel"/>
    <w:tmpl w:val="8C5E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4589135">
    <w:abstractNumId w:val="11"/>
  </w:num>
  <w:num w:numId="2" w16cid:durableId="501093067">
    <w:abstractNumId w:val="0"/>
  </w:num>
  <w:num w:numId="3" w16cid:durableId="565454066">
    <w:abstractNumId w:val="5"/>
  </w:num>
  <w:num w:numId="4" w16cid:durableId="533468437">
    <w:abstractNumId w:val="4"/>
  </w:num>
  <w:num w:numId="5" w16cid:durableId="268508787">
    <w:abstractNumId w:val="14"/>
  </w:num>
  <w:num w:numId="6" w16cid:durableId="404959844">
    <w:abstractNumId w:val="8"/>
  </w:num>
  <w:num w:numId="7" w16cid:durableId="1654332642">
    <w:abstractNumId w:val="13"/>
  </w:num>
  <w:num w:numId="8" w16cid:durableId="169373586">
    <w:abstractNumId w:val="6"/>
  </w:num>
  <w:num w:numId="9" w16cid:durableId="905190606">
    <w:abstractNumId w:val="2"/>
  </w:num>
  <w:num w:numId="10" w16cid:durableId="849220357">
    <w:abstractNumId w:val="9"/>
  </w:num>
  <w:num w:numId="11" w16cid:durableId="597761709">
    <w:abstractNumId w:val="10"/>
  </w:num>
  <w:num w:numId="12" w16cid:durableId="1362315151">
    <w:abstractNumId w:val="3"/>
  </w:num>
  <w:num w:numId="13" w16cid:durableId="440876094">
    <w:abstractNumId w:val="15"/>
  </w:num>
  <w:num w:numId="14" w16cid:durableId="267197762">
    <w:abstractNumId w:val="12"/>
  </w:num>
  <w:num w:numId="15" w16cid:durableId="2009166775">
    <w:abstractNumId w:val="7"/>
  </w:num>
  <w:num w:numId="16" w16cid:durableId="21108536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3E7"/>
    <w:rsid w:val="000053E7"/>
    <w:rsid w:val="00126243"/>
    <w:rsid w:val="001C09D6"/>
    <w:rsid w:val="001E3676"/>
    <w:rsid w:val="0025260C"/>
    <w:rsid w:val="002553A6"/>
    <w:rsid w:val="0036775C"/>
    <w:rsid w:val="003E2D2C"/>
    <w:rsid w:val="003E3A1A"/>
    <w:rsid w:val="00404A79"/>
    <w:rsid w:val="004374A7"/>
    <w:rsid w:val="004B648F"/>
    <w:rsid w:val="00565633"/>
    <w:rsid w:val="00634DE1"/>
    <w:rsid w:val="00663EF0"/>
    <w:rsid w:val="00677529"/>
    <w:rsid w:val="00683C23"/>
    <w:rsid w:val="00693B02"/>
    <w:rsid w:val="006B3659"/>
    <w:rsid w:val="0071177F"/>
    <w:rsid w:val="00765122"/>
    <w:rsid w:val="00857367"/>
    <w:rsid w:val="00862735"/>
    <w:rsid w:val="009046B8"/>
    <w:rsid w:val="00920577"/>
    <w:rsid w:val="0099720F"/>
    <w:rsid w:val="009C28CE"/>
    <w:rsid w:val="009F0377"/>
    <w:rsid w:val="00A6290C"/>
    <w:rsid w:val="00AF3541"/>
    <w:rsid w:val="00B14898"/>
    <w:rsid w:val="00B25BE6"/>
    <w:rsid w:val="00B411B1"/>
    <w:rsid w:val="00B53CCB"/>
    <w:rsid w:val="00BA3F82"/>
    <w:rsid w:val="00C472AA"/>
    <w:rsid w:val="00C63A32"/>
    <w:rsid w:val="00D20F5A"/>
    <w:rsid w:val="00D66A65"/>
    <w:rsid w:val="00D96EC0"/>
    <w:rsid w:val="00DB0475"/>
    <w:rsid w:val="00F024B5"/>
    <w:rsid w:val="00FA5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F243E"/>
  <w15:chartTrackingRefBased/>
  <w15:docId w15:val="{87FB5871-A2E9-904D-86D3-066D27587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53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053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053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53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53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53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53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53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53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3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053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053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53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53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53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53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53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53E7"/>
    <w:rPr>
      <w:rFonts w:eastAsiaTheme="majorEastAsia" w:cstheme="majorBidi"/>
      <w:color w:val="272727" w:themeColor="text1" w:themeTint="D8"/>
    </w:rPr>
  </w:style>
  <w:style w:type="paragraph" w:styleId="Title">
    <w:name w:val="Title"/>
    <w:basedOn w:val="Normal"/>
    <w:next w:val="Normal"/>
    <w:link w:val="TitleChar"/>
    <w:uiPriority w:val="10"/>
    <w:qFormat/>
    <w:rsid w:val="000053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53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53E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53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53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053E7"/>
    <w:rPr>
      <w:i/>
      <w:iCs/>
      <w:color w:val="404040" w:themeColor="text1" w:themeTint="BF"/>
    </w:rPr>
  </w:style>
  <w:style w:type="paragraph" w:styleId="ListParagraph">
    <w:name w:val="List Paragraph"/>
    <w:basedOn w:val="Normal"/>
    <w:uiPriority w:val="34"/>
    <w:qFormat/>
    <w:rsid w:val="000053E7"/>
    <w:pPr>
      <w:ind w:left="720"/>
      <w:contextualSpacing/>
    </w:pPr>
  </w:style>
  <w:style w:type="character" w:styleId="IntenseEmphasis">
    <w:name w:val="Intense Emphasis"/>
    <w:basedOn w:val="DefaultParagraphFont"/>
    <w:uiPriority w:val="21"/>
    <w:qFormat/>
    <w:rsid w:val="000053E7"/>
    <w:rPr>
      <w:i/>
      <w:iCs/>
      <w:color w:val="0F4761" w:themeColor="accent1" w:themeShade="BF"/>
    </w:rPr>
  </w:style>
  <w:style w:type="paragraph" w:styleId="IntenseQuote">
    <w:name w:val="Intense Quote"/>
    <w:basedOn w:val="Normal"/>
    <w:next w:val="Normal"/>
    <w:link w:val="IntenseQuoteChar"/>
    <w:uiPriority w:val="30"/>
    <w:qFormat/>
    <w:rsid w:val="000053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53E7"/>
    <w:rPr>
      <w:i/>
      <w:iCs/>
      <w:color w:val="0F4761" w:themeColor="accent1" w:themeShade="BF"/>
    </w:rPr>
  </w:style>
  <w:style w:type="character" w:styleId="IntenseReference">
    <w:name w:val="Intense Reference"/>
    <w:basedOn w:val="DefaultParagraphFont"/>
    <w:uiPriority w:val="32"/>
    <w:qFormat/>
    <w:rsid w:val="000053E7"/>
    <w:rPr>
      <w:b/>
      <w:bCs/>
      <w:smallCaps/>
      <w:color w:val="0F4761" w:themeColor="accent1" w:themeShade="BF"/>
      <w:spacing w:val="5"/>
    </w:rPr>
  </w:style>
  <w:style w:type="paragraph" w:styleId="NormalWeb">
    <w:name w:val="Normal (Web)"/>
    <w:basedOn w:val="Normal"/>
    <w:uiPriority w:val="99"/>
    <w:semiHidden/>
    <w:unhideWhenUsed/>
    <w:rsid w:val="000053E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053E7"/>
    <w:rPr>
      <w:b/>
      <w:bCs/>
    </w:rPr>
  </w:style>
  <w:style w:type="character" w:customStyle="1" w:styleId="whitespace-normal">
    <w:name w:val="whitespace-normal"/>
    <w:basedOn w:val="DefaultParagraphFont"/>
    <w:rsid w:val="000053E7"/>
  </w:style>
  <w:style w:type="character" w:customStyle="1" w:styleId="apple-converted-space">
    <w:name w:val="apple-converted-space"/>
    <w:basedOn w:val="DefaultParagraphFont"/>
    <w:rsid w:val="001C09D6"/>
  </w:style>
  <w:style w:type="character" w:styleId="Emphasis">
    <w:name w:val="Emphasis"/>
    <w:basedOn w:val="DefaultParagraphFont"/>
    <w:uiPriority w:val="20"/>
    <w:qFormat/>
    <w:rsid w:val="001C09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Pages>
  <Words>1442</Words>
  <Characters>8224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Sutton</dc:creator>
  <cp:keywords/>
  <dc:description/>
  <cp:lastModifiedBy>Anwen Sutton</cp:lastModifiedBy>
  <cp:revision>37</cp:revision>
  <dcterms:created xsi:type="dcterms:W3CDTF">2026-02-23T14:18:00Z</dcterms:created>
  <dcterms:modified xsi:type="dcterms:W3CDTF">2026-03-14T19:52:00Z</dcterms:modified>
</cp:coreProperties>
</file>