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69780" w14:textId="77777777" w:rsidR="008D27AD" w:rsidRPr="0077613A" w:rsidRDefault="008D27AD" w:rsidP="008D27AD">
      <w:pPr>
        <w:spacing w:line="360" w:lineRule="auto"/>
        <w:jc w:val="center"/>
        <w:rPr>
          <w:rFonts w:ascii="Arial" w:eastAsia="Arial" w:hAnsi="Arial" w:cs="Arial"/>
          <w:b/>
          <w:bCs/>
          <w:i/>
          <w:iCs/>
          <w:sz w:val="22"/>
          <w:szCs w:val="22"/>
        </w:rPr>
      </w:pPr>
      <w:r w:rsidRPr="0077613A">
        <w:rPr>
          <w:rStyle w:val="s2"/>
          <w:rFonts w:ascii="Arial" w:hAnsi="Arial" w:cs="Arial"/>
          <w:b/>
          <w:bCs/>
          <w:color w:val="000000"/>
          <w:sz w:val="22"/>
          <w:szCs w:val="22"/>
        </w:rPr>
        <w:t>Psychology in Health and Social Care</w:t>
      </w:r>
    </w:p>
    <w:p w14:paraId="4BCECB96" w14:textId="77777777" w:rsidR="008D27AD" w:rsidRPr="0077613A" w:rsidRDefault="008D27AD" w:rsidP="008D27AD">
      <w:pPr>
        <w:pStyle w:val="s3"/>
        <w:spacing w:before="0" w:beforeAutospacing="0" w:after="0" w:afterAutospacing="0"/>
        <w:jc w:val="center"/>
        <w:rPr>
          <w:rFonts w:ascii="Arial" w:hAnsi="Arial" w:cs="Arial"/>
          <w:color w:val="000000"/>
          <w:sz w:val="22"/>
          <w:szCs w:val="22"/>
        </w:rPr>
      </w:pPr>
      <w:r w:rsidRPr="0077613A">
        <w:rPr>
          <w:rStyle w:val="s2"/>
          <w:rFonts w:ascii="Arial" w:eastAsiaTheme="majorEastAsia" w:hAnsi="Arial" w:cs="Arial"/>
          <w:b/>
          <w:bCs/>
          <w:color w:val="000000"/>
          <w:sz w:val="22"/>
          <w:szCs w:val="22"/>
        </w:rPr>
        <w:t>Assessment 2:</w:t>
      </w:r>
      <w:r w:rsidRPr="0077613A">
        <w:rPr>
          <w:rStyle w:val="apple-converted-space"/>
          <w:rFonts w:ascii="Arial" w:eastAsiaTheme="majorEastAsia" w:hAnsi="Arial" w:cs="Arial"/>
          <w:b/>
          <w:bCs/>
          <w:color w:val="000000"/>
          <w:sz w:val="22"/>
          <w:szCs w:val="22"/>
        </w:rPr>
        <w:t> </w:t>
      </w:r>
      <w:r w:rsidRPr="0077613A">
        <w:rPr>
          <w:rStyle w:val="s2"/>
          <w:rFonts w:ascii="Arial" w:eastAsiaTheme="majorEastAsia" w:hAnsi="Arial" w:cs="Arial"/>
          <w:b/>
          <w:bCs/>
          <w:color w:val="000000"/>
          <w:sz w:val="22"/>
          <w:szCs w:val="22"/>
        </w:rPr>
        <w:t>Bibliography</w:t>
      </w:r>
      <w:r w:rsidRPr="0077613A">
        <w:rPr>
          <w:rStyle w:val="apple-converted-space"/>
          <w:rFonts w:ascii="Arial" w:eastAsiaTheme="majorEastAsia" w:hAnsi="Arial" w:cs="Arial"/>
          <w:b/>
          <w:bCs/>
          <w:color w:val="000000"/>
          <w:sz w:val="22"/>
          <w:szCs w:val="22"/>
        </w:rPr>
        <w:t> </w:t>
      </w:r>
      <w:r w:rsidRPr="0077613A">
        <w:rPr>
          <w:rStyle w:val="s2"/>
          <w:rFonts w:ascii="Arial" w:eastAsiaTheme="majorEastAsia" w:hAnsi="Arial" w:cs="Arial"/>
          <w:b/>
          <w:bCs/>
          <w:color w:val="000000"/>
          <w:sz w:val="22"/>
          <w:szCs w:val="22"/>
        </w:rPr>
        <w:t>&amp; Report</w:t>
      </w:r>
    </w:p>
    <w:p w14:paraId="57651B46" w14:textId="77777777" w:rsidR="008D27AD" w:rsidRPr="0077613A" w:rsidRDefault="008D27AD" w:rsidP="008D27AD">
      <w:pPr>
        <w:spacing w:line="360" w:lineRule="auto"/>
        <w:jc w:val="center"/>
        <w:rPr>
          <w:rFonts w:ascii="Arial" w:eastAsia="Arial" w:hAnsi="Arial" w:cs="Arial"/>
          <w:b/>
          <w:bCs/>
          <w:i/>
          <w:iCs/>
          <w:sz w:val="22"/>
          <w:szCs w:val="22"/>
        </w:rPr>
      </w:pPr>
    </w:p>
    <w:p w14:paraId="5CD427D7" w14:textId="77777777" w:rsidR="008D27AD" w:rsidRPr="0077613A" w:rsidRDefault="008D27AD" w:rsidP="008D27AD">
      <w:pPr>
        <w:spacing w:line="360" w:lineRule="auto"/>
        <w:jc w:val="center"/>
        <w:rPr>
          <w:rFonts w:ascii="Arial" w:eastAsia="Arial" w:hAnsi="Arial" w:cs="Arial"/>
          <w:b/>
          <w:bCs/>
          <w:i/>
          <w:iCs/>
          <w:sz w:val="22"/>
          <w:szCs w:val="22"/>
        </w:rPr>
      </w:pPr>
      <w:r w:rsidRPr="0077613A">
        <w:rPr>
          <w:rFonts w:ascii="Arial" w:eastAsia="Arial" w:hAnsi="Arial" w:cs="Arial"/>
          <w:b/>
          <w:bCs/>
          <w:i/>
          <w:iCs/>
          <w:sz w:val="22"/>
          <w:szCs w:val="22"/>
        </w:rPr>
        <w:t xml:space="preserve">Module Code: LCHS4010 </w:t>
      </w:r>
      <w:r w:rsidRPr="0077613A">
        <w:rPr>
          <w:rFonts w:ascii="Arial" w:eastAsia="Arial" w:hAnsi="Arial" w:cs="Arial"/>
          <w:b/>
          <w:bCs/>
          <w:i/>
          <w:iCs/>
          <w:sz w:val="22"/>
          <w:szCs w:val="22"/>
        </w:rPr>
        <w:br/>
        <w:t>Lecturer name: PEACE UKACHUKWU</w:t>
      </w:r>
    </w:p>
    <w:p w14:paraId="52095406" w14:textId="77777777" w:rsidR="008D27AD" w:rsidRPr="0077613A" w:rsidRDefault="008D27AD" w:rsidP="008D27AD">
      <w:pPr>
        <w:spacing w:line="360" w:lineRule="auto"/>
        <w:jc w:val="center"/>
        <w:rPr>
          <w:rFonts w:ascii="Arial" w:eastAsia="Arial" w:hAnsi="Arial" w:cs="Arial"/>
          <w:b/>
          <w:bCs/>
          <w:sz w:val="22"/>
          <w:szCs w:val="22"/>
        </w:rPr>
      </w:pPr>
      <w:r w:rsidRPr="0077613A">
        <w:rPr>
          <w:rFonts w:ascii="Arial" w:eastAsia="Arial" w:hAnsi="Arial" w:cs="Arial"/>
          <w:b/>
          <w:bCs/>
          <w:i/>
          <w:iCs/>
          <w:sz w:val="22"/>
          <w:szCs w:val="22"/>
        </w:rPr>
        <w:t>Student ID: #2442092</w:t>
      </w:r>
    </w:p>
    <w:p w14:paraId="4AE939C1" w14:textId="77777777" w:rsidR="008D27AD" w:rsidRPr="0077613A" w:rsidRDefault="008D27AD" w:rsidP="008D27AD">
      <w:pPr>
        <w:spacing w:line="360" w:lineRule="auto"/>
        <w:jc w:val="center"/>
        <w:rPr>
          <w:rFonts w:ascii="Arial" w:eastAsia="Arial" w:hAnsi="Arial" w:cs="Arial"/>
          <w:b/>
          <w:bCs/>
          <w:sz w:val="22"/>
          <w:szCs w:val="22"/>
        </w:rPr>
      </w:pPr>
      <w:r w:rsidRPr="0077613A">
        <w:rPr>
          <w:rFonts w:ascii="Arial" w:eastAsia="Arial" w:hAnsi="Arial" w:cs="Arial"/>
          <w:b/>
          <w:bCs/>
          <w:i/>
          <w:iCs/>
          <w:sz w:val="22"/>
          <w:szCs w:val="22"/>
        </w:rPr>
        <w:t>Your Name: Najma Adam</w:t>
      </w:r>
      <w:r w:rsidRPr="0077613A">
        <w:rPr>
          <w:rFonts w:ascii="Arial" w:eastAsia="Arial" w:hAnsi="Arial" w:cs="Arial"/>
          <w:b/>
          <w:bCs/>
          <w:i/>
          <w:iCs/>
          <w:sz w:val="22"/>
          <w:szCs w:val="22"/>
        </w:rPr>
        <w:br/>
        <w:t>Module: Psychology in Health &amp; Social Care</w:t>
      </w:r>
      <w:r w:rsidRPr="0077613A">
        <w:rPr>
          <w:rFonts w:ascii="Arial" w:eastAsia="Arial" w:hAnsi="Arial" w:cs="Arial"/>
          <w:b/>
          <w:bCs/>
          <w:i/>
          <w:iCs/>
          <w:sz w:val="22"/>
          <w:szCs w:val="22"/>
        </w:rPr>
        <w:br/>
        <w:t xml:space="preserve">Module Code: LCHS4010 </w:t>
      </w:r>
      <w:r w:rsidRPr="0077613A">
        <w:rPr>
          <w:rFonts w:ascii="Arial" w:eastAsia="Arial" w:hAnsi="Arial" w:cs="Arial"/>
          <w:b/>
          <w:bCs/>
          <w:i/>
          <w:iCs/>
          <w:sz w:val="22"/>
          <w:szCs w:val="22"/>
        </w:rPr>
        <w:br/>
        <w:t>Lecturer name: PEACE UKACHUKWU</w:t>
      </w:r>
      <w:r w:rsidRPr="0077613A">
        <w:rPr>
          <w:rFonts w:ascii="Arial" w:eastAsia="Arial" w:hAnsi="Arial" w:cs="Arial"/>
          <w:b/>
          <w:bCs/>
          <w:sz w:val="22"/>
          <w:szCs w:val="22"/>
        </w:rPr>
        <w:t xml:space="preserve"> </w:t>
      </w:r>
    </w:p>
    <w:sdt>
      <w:sdtPr>
        <w:rPr>
          <w:rStyle w:val="Hyperlink"/>
          <w:rFonts w:ascii="Arial" w:hAnsi="Arial" w:cs="Arial"/>
          <w:sz w:val="22"/>
          <w:szCs w:val="22"/>
        </w:rPr>
        <w:id w:val="1404644103"/>
        <w:docPartObj>
          <w:docPartGallery w:val="Table of Contents"/>
          <w:docPartUnique/>
        </w:docPartObj>
      </w:sdtPr>
      <w:sdtContent>
        <w:p w14:paraId="70597734" w14:textId="77777777" w:rsidR="008D27AD" w:rsidRPr="0077613A" w:rsidRDefault="008D27AD" w:rsidP="008D27AD">
          <w:pPr>
            <w:pStyle w:val="TOC2"/>
            <w:tabs>
              <w:tab w:val="right" w:leader="dot" w:pos="9360"/>
            </w:tabs>
            <w:rPr>
              <w:rStyle w:val="Hyperlink"/>
              <w:rFonts w:ascii="Arial" w:hAnsi="Arial" w:cs="Arial"/>
              <w:sz w:val="22"/>
              <w:szCs w:val="22"/>
            </w:rPr>
          </w:pPr>
          <w:r w:rsidRPr="0077613A">
            <w:rPr>
              <w:rFonts w:ascii="Arial" w:hAnsi="Arial" w:cs="Arial"/>
              <w:sz w:val="22"/>
              <w:szCs w:val="22"/>
            </w:rPr>
            <w:fldChar w:fldCharType="begin"/>
          </w:r>
          <w:r w:rsidRPr="0077613A">
            <w:rPr>
              <w:rFonts w:ascii="Arial" w:hAnsi="Arial" w:cs="Arial"/>
              <w:sz w:val="22"/>
              <w:szCs w:val="22"/>
            </w:rPr>
            <w:instrText>TOC \o \z \u \h</w:instrText>
          </w:r>
          <w:r w:rsidRPr="0077613A">
            <w:rPr>
              <w:rFonts w:ascii="Arial" w:hAnsi="Arial" w:cs="Arial"/>
              <w:sz w:val="22"/>
              <w:szCs w:val="22"/>
            </w:rPr>
            <w:fldChar w:fldCharType="separate"/>
          </w:r>
          <w:hyperlink w:anchor="_Toc2010484480">
            <w:r w:rsidRPr="0077613A">
              <w:rPr>
                <w:rStyle w:val="Hyperlink"/>
                <w:rFonts w:ascii="Arial" w:hAnsi="Arial" w:cs="Arial"/>
                <w:sz w:val="22"/>
                <w:szCs w:val="22"/>
              </w:rPr>
              <w:t>CONTENT:</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_Toc2010484480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1</w:t>
            </w:r>
            <w:r w:rsidRPr="0077613A">
              <w:rPr>
                <w:rFonts w:ascii="Arial" w:hAnsi="Arial" w:cs="Arial"/>
                <w:sz w:val="22"/>
                <w:szCs w:val="22"/>
              </w:rPr>
              <w:fldChar w:fldCharType="end"/>
            </w:r>
          </w:hyperlink>
        </w:p>
        <w:p w14:paraId="333EFAC8" w14:textId="77777777" w:rsidR="008D27AD" w:rsidRPr="0077613A" w:rsidRDefault="008D27AD" w:rsidP="008D27AD">
          <w:pPr>
            <w:pStyle w:val="TOC2"/>
            <w:tabs>
              <w:tab w:val="right" w:leader="dot" w:pos="9360"/>
            </w:tabs>
            <w:rPr>
              <w:rStyle w:val="Hyperlink"/>
              <w:rFonts w:ascii="Arial" w:hAnsi="Arial" w:cs="Arial"/>
              <w:sz w:val="22"/>
              <w:szCs w:val="22"/>
            </w:rPr>
          </w:pPr>
          <w:hyperlink w:anchor="_Toc1450125803">
            <w:r w:rsidRPr="0077613A">
              <w:rPr>
                <w:rStyle w:val="Hyperlink"/>
                <w:rFonts w:ascii="Arial" w:hAnsi="Arial" w:cs="Arial"/>
                <w:sz w:val="22"/>
                <w:szCs w:val="22"/>
              </w:rPr>
              <w:t>Source 1: Erikson and Ego integrity in residential care.</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_Toc1450125803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3</w:t>
            </w:r>
            <w:r w:rsidRPr="0077613A">
              <w:rPr>
                <w:rFonts w:ascii="Arial" w:hAnsi="Arial" w:cs="Arial"/>
                <w:sz w:val="22"/>
                <w:szCs w:val="22"/>
              </w:rPr>
              <w:fldChar w:fldCharType="end"/>
            </w:r>
          </w:hyperlink>
        </w:p>
        <w:p w14:paraId="12278BEC" w14:textId="77777777" w:rsidR="008D27AD" w:rsidRPr="0077613A" w:rsidRDefault="008D27AD" w:rsidP="008D27AD">
          <w:pPr>
            <w:pStyle w:val="TOC2"/>
            <w:tabs>
              <w:tab w:val="right" w:leader="dot" w:pos="9360"/>
            </w:tabs>
            <w:rPr>
              <w:rStyle w:val="Hyperlink"/>
              <w:rFonts w:ascii="Arial" w:hAnsi="Arial" w:cs="Arial"/>
              <w:sz w:val="22"/>
              <w:szCs w:val="22"/>
            </w:rPr>
          </w:pPr>
          <w:hyperlink w:anchor="_Toc628525972">
            <w:r w:rsidRPr="0077613A">
              <w:rPr>
                <w:rStyle w:val="Hyperlink"/>
                <w:rFonts w:ascii="Arial" w:hAnsi="Arial" w:cs="Arial"/>
                <w:sz w:val="22"/>
                <w:szCs w:val="22"/>
              </w:rPr>
              <w:t>Source 2: Late life attachment.</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_Toc628525972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4</w:t>
            </w:r>
            <w:r w:rsidRPr="0077613A">
              <w:rPr>
                <w:rFonts w:ascii="Arial" w:hAnsi="Arial" w:cs="Arial"/>
                <w:sz w:val="22"/>
                <w:szCs w:val="22"/>
              </w:rPr>
              <w:fldChar w:fldCharType="end"/>
            </w:r>
          </w:hyperlink>
        </w:p>
        <w:p w14:paraId="122F983B" w14:textId="77777777" w:rsidR="008D27AD" w:rsidRPr="0077613A" w:rsidRDefault="008D27AD" w:rsidP="008D27AD">
          <w:pPr>
            <w:pStyle w:val="TOC2"/>
            <w:tabs>
              <w:tab w:val="right" w:leader="dot" w:pos="9360"/>
            </w:tabs>
            <w:rPr>
              <w:rStyle w:val="Hyperlink"/>
              <w:rFonts w:ascii="Arial" w:hAnsi="Arial" w:cs="Arial"/>
              <w:sz w:val="22"/>
              <w:szCs w:val="22"/>
            </w:rPr>
          </w:pPr>
          <w:hyperlink w:anchor="_Toc1501200958">
            <w:r w:rsidRPr="0077613A">
              <w:rPr>
                <w:rStyle w:val="Hyperlink"/>
                <w:rFonts w:ascii="Arial" w:hAnsi="Arial" w:cs="Arial"/>
                <w:sz w:val="22"/>
                <w:szCs w:val="22"/>
              </w:rPr>
              <w:t>Source 3: Significant action and wellbeing.</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_Toc1501200958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4</w:t>
            </w:r>
            <w:r w:rsidRPr="0077613A">
              <w:rPr>
                <w:rFonts w:ascii="Arial" w:hAnsi="Arial" w:cs="Arial"/>
                <w:sz w:val="22"/>
                <w:szCs w:val="22"/>
              </w:rPr>
              <w:fldChar w:fldCharType="end"/>
            </w:r>
          </w:hyperlink>
        </w:p>
        <w:p w14:paraId="46EFCB73" w14:textId="77777777" w:rsidR="008D27AD" w:rsidRPr="0077613A" w:rsidRDefault="008D27AD" w:rsidP="008D27AD">
          <w:pPr>
            <w:pStyle w:val="TOC2"/>
            <w:tabs>
              <w:tab w:val="right" w:leader="dot" w:pos="9360"/>
            </w:tabs>
            <w:rPr>
              <w:rStyle w:val="Hyperlink"/>
              <w:rFonts w:ascii="Arial" w:hAnsi="Arial" w:cs="Arial"/>
              <w:sz w:val="22"/>
              <w:szCs w:val="22"/>
            </w:rPr>
          </w:pPr>
          <w:hyperlink w:anchor="_Toc2003451297">
            <w:r w:rsidRPr="0077613A">
              <w:rPr>
                <w:rStyle w:val="Hyperlink"/>
                <w:rFonts w:ascii="Arial" w:hAnsi="Arial" w:cs="Arial"/>
                <w:sz w:val="22"/>
                <w:szCs w:val="22"/>
              </w:rPr>
              <w:t>Source 4: Later life positive development.</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_Toc2003451297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5</w:t>
            </w:r>
            <w:r w:rsidRPr="0077613A">
              <w:rPr>
                <w:rFonts w:ascii="Arial" w:hAnsi="Arial" w:cs="Arial"/>
                <w:sz w:val="22"/>
                <w:szCs w:val="22"/>
              </w:rPr>
              <w:fldChar w:fldCharType="end"/>
            </w:r>
          </w:hyperlink>
        </w:p>
        <w:p w14:paraId="785CE792" w14:textId="77777777" w:rsidR="008D27AD" w:rsidRPr="0077613A" w:rsidRDefault="008D27AD" w:rsidP="008D27AD">
          <w:pPr>
            <w:pStyle w:val="TOC1"/>
            <w:tabs>
              <w:tab w:val="right" w:leader="dot" w:pos="9360"/>
            </w:tabs>
            <w:rPr>
              <w:rStyle w:val="Hyperlink"/>
              <w:rFonts w:ascii="Arial" w:hAnsi="Arial" w:cs="Arial"/>
              <w:sz w:val="22"/>
              <w:szCs w:val="22"/>
            </w:rPr>
          </w:pPr>
          <w:hyperlink w:anchor="_Toc723181907">
            <w:r w:rsidRPr="0077613A">
              <w:rPr>
                <w:rStyle w:val="Hyperlink"/>
                <w:rFonts w:ascii="Arial" w:hAnsi="Arial" w:cs="Arial"/>
                <w:sz w:val="22"/>
                <w:szCs w:val="22"/>
              </w:rPr>
              <w:t>Part B: Brief Report.</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_Toc723181907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6</w:t>
            </w:r>
            <w:r w:rsidRPr="0077613A">
              <w:rPr>
                <w:rFonts w:ascii="Arial" w:hAnsi="Arial" w:cs="Arial"/>
                <w:sz w:val="22"/>
                <w:szCs w:val="22"/>
              </w:rPr>
              <w:fldChar w:fldCharType="end"/>
            </w:r>
          </w:hyperlink>
        </w:p>
        <w:p w14:paraId="1F2CC25A" w14:textId="77777777" w:rsidR="008D27AD" w:rsidRPr="0077613A" w:rsidRDefault="008D27AD" w:rsidP="008D27AD">
          <w:pPr>
            <w:pStyle w:val="TOC1"/>
            <w:tabs>
              <w:tab w:val="right" w:leader="dot" w:pos="9360"/>
            </w:tabs>
            <w:rPr>
              <w:rStyle w:val="Hyperlink"/>
              <w:rFonts w:ascii="Arial" w:hAnsi="Arial" w:cs="Arial"/>
              <w:sz w:val="22"/>
              <w:szCs w:val="22"/>
            </w:rPr>
          </w:pPr>
          <w:hyperlink w:anchor="_Toc1789234361">
            <w:r w:rsidRPr="0077613A">
              <w:rPr>
                <w:rStyle w:val="Hyperlink"/>
                <w:rFonts w:ascii="Arial" w:hAnsi="Arial" w:cs="Arial"/>
                <w:sz w:val="22"/>
                <w:szCs w:val="22"/>
              </w:rPr>
              <w:t>Introduction</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_Toc1789234361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6</w:t>
            </w:r>
            <w:r w:rsidRPr="0077613A">
              <w:rPr>
                <w:rFonts w:ascii="Arial" w:hAnsi="Arial" w:cs="Arial"/>
                <w:sz w:val="22"/>
                <w:szCs w:val="22"/>
              </w:rPr>
              <w:fldChar w:fldCharType="end"/>
            </w:r>
          </w:hyperlink>
        </w:p>
        <w:p w14:paraId="1328C958" w14:textId="77777777" w:rsidR="008D27AD" w:rsidRPr="0077613A" w:rsidRDefault="008D27AD" w:rsidP="008D27AD">
          <w:pPr>
            <w:pStyle w:val="TOC1"/>
            <w:tabs>
              <w:tab w:val="right" w:leader="dot" w:pos="9360"/>
            </w:tabs>
            <w:rPr>
              <w:rStyle w:val="Hyperlink"/>
              <w:rFonts w:ascii="Arial" w:hAnsi="Arial" w:cs="Arial"/>
              <w:sz w:val="22"/>
              <w:szCs w:val="22"/>
            </w:rPr>
          </w:pPr>
          <w:hyperlink w:anchor="_Toc993615345">
            <w:r w:rsidRPr="0077613A">
              <w:rPr>
                <w:rStyle w:val="Hyperlink"/>
                <w:rFonts w:ascii="Arial" w:hAnsi="Arial" w:cs="Arial"/>
                <w:sz w:val="22"/>
                <w:szCs w:val="22"/>
              </w:rPr>
              <w:t>The practical implementation of the theory.</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_Toc993615345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6</w:t>
            </w:r>
            <w:r w:rsidRPr="0077613A">
              <w:rPr>
                <w:rFonts w:ascii="Arial" w:hAnsi="Arial" w:cs="Arial"/>
                <w:sz w:val="22"/>
                <w:szCs w:val="22"/>
              </w:rPr>
              <w:fldChar w:fldCharType="end"/>
            </w:r>
          </w:hyperlink>
        </w:p>
        <w:p w14:paraId="1EC0F5DC" w14:textId="77777777" w:rsidR="008D27AD" w:rsidRPr="0077613A" w:rsidRDefault="008D27AD" w:rsidP="008D27AD">
          <w:pPr>
            <w:pStyle w:val="TOC1"/>
            <w:tabs>
              <w:tab w:val="right" w:leader="dot" w:pos="9360"/>
            </w:tabs>
            <w:rPr>
              <w:rStyle w:val="Hyperlink"/>
              <w:rFonts w:ascii="Arial" w:hAnsi="Arial" w:cs="Arial"/>
              <w:sz w:val="22"/>
              <w:szCs w:val="22"/>
            </w:rPr>
          </w:pPr>
          <w:hyperlink w:anchor="_Toc337049035">
            <w:r w:rsidRPr="0077613A">
              <w:rPr>
                <w:rStyle w:val="Hyperlink"/>
                <w:rFonts w:ascii="Arial" w:hAnsi="Arial" w:cs="Arial"/>
                <w:sz w:val="22"/>
                <w:szCs w:val="22"/>
              </w:rPr>
              <w:t>Real-world example</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_Toc337049035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7</w:t>
            </w:r>
            <w:r w:rsidRPr="0077613A">
              <w:rPr>
                <w:rFonts w:ascii="Arial" w:hAnsi="Arial" w:cs="Arial"/>
                <w:sz w:val="22"/>
                <w:szCs w:val="22"/>
              </w:rPr>
              <w:fldChar w:fldCharType="end"/>
            </w:r>
          </w:hyperlink>
        </w:p>
        <w:p w14:paraId="6BA4B7EF" w14:textId="77777777" w:rsidR="008D27AD" w:rsidRPr="0077613A" w:rsidRDefault="008D27AD" w:rsidP="008D27AD">
          <w:pPr>
            <w:pStyle w:val="TOC1"/>
            <w:tabs>
              <w:tab w:val="right" w:leader="dot" w:pos="9360"/>
            </w:tabs>
            <w:rPr>
              <w:rStyle w:val="Hyperlink"/>
              <w:rFonts w:ascii="Arial" w:hAnsi="Arial" w:cs="Arial"/>
              <w:sz w:val="22"/>
              <w:szCs w:val="22"/>
            </w:rPr>
          </w:pPr>
          <w:hyperlink w:anchor="_Toc105854871">
            <w:r w:rsidRPr="0077613A">
              <w:rPr>
                <w:rStyle w:val="Hyperlink"/>
                <w:rFonts w:ascii="Arial" w:hAnsi="Arial" w:cs="Arial"/>
                <w:sz w:val="22"/>
                <w:szCs w:val="22"/>
              </w:rPr>
              <w:t>One weakness and the way to overcome it.</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_Toc105854871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7</w:t>
            </w:r>
            <w:r w:rsidRPr="0077613A">
              <w:rPr>
                <w:rFonts w:ascii="Arial" w:hAnsi="Arial" w:cs="Arial"/>
                <w:sz w:val="22"/>
                <w:szCs w:val="22"/>
              </w:rPr>
              <w:fldChar w:fldCharType="end"/>
            </w:r>
          </w:hyperlink>
        </w:p>
        <w:p w14:paraId="293142D0" w14:textId="77777777" w:rsidR="008D27AD" w:rsidRPr="0077613A" w:rsidRDefault="008D27AD" w:rsidP="008D27AD">
          <w:pPr>
            <w:pStyle w:val="TOC1"/>
            <w:tabs>
              <w:tab w:val="right" w:leader="dot" w:pos="9360"/>
            </w:tabs>
            <w:rPr>
              <w:rStyle w:val="Hyperlink"/>
              <w:rFonts w:ascii="Arial" w:hAnsi="Arial" w:cs="Arial"/>
              <w:sz w:val="22"/>
              <w:szCs w:val="22"/>
            </w:rPr>
          </w:pPr>
          <w:hyperlink w:anchor="_Toc1341161532">
            <w:r w:rsidRPr="0077613A">
              <w:rPr>
                <w:rStyle w:val="Hyperlink"/>
                <w:rFonts w:ascii="Arial" w:hAnsi="Arial" w:cs="Arial"/>
                <w:sz w:val="22"/>
                <w:szCs w:val="22"/>
              </w:rPr>
              <w:t>Conclusion</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_Toc1341161532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8</w:t>
            </w:r>
            <w:r w:rsidRPr="0077613A">
              <w:rPr>
                <w:rFonts w:ascii="Arial" w:hAnsi="Arial" w:cs="Arial"/>
                <w:sz w:val="22"/>
                <w:szCs w:val="22"/>
              </w:rPr>
              <w:fldChar w:fldCharType="end"/>
            </w:r>
          </w:hyperlink>
        </w:p>
        <w:p w14:paraId="61DCEA1F" w14:textId="77777777" w:rsidR="008D27AD" w:rsidRPr="0077613A" w:rsidRDefault="008D27AD" w:rsidP="008D27AD">
          <w:pPr>
            <w:pStyle w:val="TOC2"/>
            <w:tabs>
              <w:tab w:val="right" w:leader="dot" w:pos="9360"/>
            </w:tabs>
            <w:rPr>
              <w:rStyle w:val="Hyperlink"/>
              <w:rFonts w:ascii="Arial" w:hAnsi="Arial" w:cs="Arial"/>
              <w:sz w:val="22"/>
              <w:szCs w:val="22"/>
            </w:rPr>
          </w:pPr>
          <w:hyperlink w:anchor="_Toc1254022717">
            <w:r w:rsidRPr="0077613A">
              <w:rPr>
                <w:rStyle w:val="Hyperlink"/>
                <w:rFonts w:ascii="Arial" w:hAnsi="Arial" w:cs="Arial"/>
                <w:sz w:val="22"/>
                <w:szCs w:val="22"/>
              </w:rPr>
              <w:t>References:</w:t>
            </w:r>
            <w:r w:rsidRPr="0077613A">
              <w:rPr>
                <w:rFonts w:ascii="Arial" w:hAnsi="Arial" w:cs="Arial"/>
                <w:sz w:val="22"/>
                <w:szCs w:val="22"/>
              </w:rPr>
              <w:tab/>
            </w:r>
            <w:r w:rsidRPr="0077613A">
              <w:rPr>
                <w:rFonts w:ascii="Arial" w:hAnsi="Arial" w:cs="Arial"/>
                <w:sz w:val="22"/>
                <w:szCs w:val="22"/>
              </w:rPr>
              <w:fldChar w:fldCharType="begin"/>
            </w:r>
            <w:r w:rsidRPr="0077613A">
              <w:rPr>
                <w:rFonts w:ascii="Arial" w:hAnsi="Arial" w:cs="Arial"/>
                <w:sz w:val="22"/>
                <w:szCs w:val="22"/>
              </w:rPr>
              <w:instrText>PAGEREF _Toc1254022717 \h</w:instrText>
            </w:r>
            <w:r w:rsidRPr="0077613A">
              <w:rPr>
                <w:rFonts w:ascii="Arial" w:hAnsi="Arial" w:cs="Arial"/>
                <w:sz w:val="22"/>
                <w:szCs w:val="22"/>
              </w:rPr>
            </w:r>
            <w:r w:rsidRPr="0077613A">
              <w:rPr>
                <w:rFonts w:ascii="Arial" w:hAnsi="Arial" w:cs="Arial"/>
                <w:sz w:val="22"/>
                <w:szCs w:val="22"/>
              </w:rPr>
              <w:fldChar w:fldCharType="separate"/>
            </w:r>
            <w:r w:rsidRPr="0077613A">
              <w:rPr>
                <w:rStyle w:val="Hyperlink"/>
                <w:rFonts w:ascii="Arial" w:hAnsi="Arial" w:cs="Arial"/>
                <w:sz w:val="22"/>
                <w:szCs w:val="22"/>
              </w:rPr>
              <w:t>8</w:t>
            </w:r>
            <w:r w:rsidRPr="0077613A">
              <w:rPr>
                <w:rFonts w:ascii="Arial" w:hAnsi="Arial" w:cs="Arial"/>
                <w:sz w:val="22"/>
                <w:szCs w:val="22"/>
              </w:rPr>
              <w:fldChar w:fldCharType="end"/>
            </w:r>
          </w:hyperlink>
          <w:r w:rsidRPr="0077613A">
            <w:rPr>
              <w:rFonts w:ascii="Arial" w:hAnsi="Arial" w:cs="Arial"/>
              <w:sz w:val="22"/>
              <w:szCs w:val="22"/>
            </w:rPr>
            <w:fldChar w:fldCharType="end"/>
          </w:r>
        </w:p>
      </w:sdtContent>
    </w:sdt>
    <w:p w14:paraId="730E88D1" w14:textId="77777777" w:rsidR="008D27AD" w:rsidRPr="0077613A" w:rsidRDefault="008D27AD" w:rsidP="008D27AD">
      <w:pPr>
        <w:rPr>
          <w:rFonts w:ascii="Arial" w:hAnsi="Arial" w:cs="Arial"/>
          <w:sz w:val="22"/>
          <w:szCs w:val="22"/>
        </w:rPr>
      </w:pPr>
    </w:p>
    <w:p w14:paraId="0FA3A6CD" w14:textId="77777777" w:rsidR="008D27AD" w:rsidRPr="0077613A" w:rsidRDefault="008D27AD" w:rsidP="008D27AD">
      <w:pPr>
        <w:rPr>
          <w:rFonts w:ascii="Arial" w:hAnsi="Arial" w:cs="Arial"/>
          <w:sz w:val="22"/>
          <w:szCs w:val="22"/>
        </w:rPr>
      </w:pPr>
    </w:p>
    <w:p w14:paraId="1442B71B"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br w:type="page"/>
      </w:r>
    </w:p>
    <w:p w14:paraId="5E7735DD" w14:textId="77777777" w:rsidR="008D27AD" w:rsidRPr="0077613A" w:rsidRDefault="008D27AD" w:rsidP="008D27AD">
      <w:pPr>
        <w:spacing w:line="360" w:lineRule="auto"/>
        <w:rPr>
          <w:rFonts w:ascii="Arial" w:eastAsia="Arial" w:hAnsi="Arial" w:cs="Arial"/>
          <w:sz w:val="22"/>
          <w:szCs w:val="22"/>
        </w:rPr>
      </w:pPr>
    </w:p>
    <w:p w14:paraId="1E5A3BD3" w14:textId="728560EF" w:rsidR="008D27AD" w:rsidRPr="0077613A" w:rsidRDefault="008D27AD" w:rsidP="008D27AD">
      <w:pPr>
        <w:spacing w:line="360" w:lineRule="auto"/>
        <w:rPr>
          <w:rStyle w:val="Heading1Char"/>
          <w:rFonts w:ascii="Arial" w:eastAsia="Arial" w:hAnsi="Arial" w:cs="Arial"/>
          <w:sz w:val="22"/>
          <w:szCs w:val="22"/>
        </w:rPr>
      </w:pPr>
      <w:r w:rsidRPr="0077613A">
        <w:rPr>
          <w:rStyle w:val="Heading1Char"/>
          <w:rFonts w:ascii="Arial" w:eastAsia="Arial" w:hAnsi="Arial" w:cs="Arial"/>
          <w:sz w:val="22"/>
          <w:szCs w:val="22"/>
        </w:rPr>
        <w:t>Part A: Annotated bibliography.</w:t>
      </w:r>
    </w:p>
    <w:p w14:paraId="06B5CDA5" w14:textId="77777777" w:rsidR="008D27AD" w:rsidRPr="0077613A" w:rsidRDefault="008D27AD" w:rsidP="008D27AD">
      <w:pPr>
        <w:pStyle w:val="Heading2"/>
        <w:spacing w:line="360" w:lineRule="auto"/>
        <w:rPr>
          <w:rFonts w:ascii="Arial" w:eastAsia="Arial" w:hAnsi="Arial" w:cs="Arial"/>
          <w:sz w:val="22"/>
          <w:szCs w:val="22"/>
        </w:rPr>
      </w:pPr>
      <w:bookmarkStart w:id="0" w:name="_Toc1450125803"/>
      <w:r w:rsidRPr="0077613A">
        <w:rPr>
          <w:rFonts w:ascii="Arial" w:eastAsia="Arial" w:hAnsi="Arial" w:cs="Arial"/>
          <w:sz w:val="22"/>
          <w:szCs w:val="22"/>
        </w:rPr>
        <w:t>Source 1: Erikson and Ego integrity in residential care.</w:t>
      </w:r>
      <w:bookmarkEnd w:id="0"/>
    </w:p>
    <w:p w14:paraId="079EEB11"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Full reference</w:t>
      </w:r>
    </w:p>
    <w:p w14:paraId="76ACA086"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 Dezutter, J., Toussaint, L. and Dewitte, L. (2020) ‘Finding a balance between integrity and despair: A challenging task for older adults in residential care’, </w:t>
      </w:r>
      <w:r w:rsidRPr="0077613A">
        <w:rPr>
          <w:rFonts w:ascii="Arial" w:eastAsia="Arial" w:hAnsi="Arial" w:cs="Arial"/>
          <w:i/>
          <w:iCs/>
          <w:sz w:val="22"/>
          <w:szCs w:val="22"/>
        </w:rPr>
        <w:t>Journal of Adult Development</w:t>
      </w:r>
      <w:r w:rsidRPr="0077613A">
        <w:rPr>
          <w:rFonts w:ascii="Arial" w:eastAsia="Arial" w:hAnsi="Arial" w:cs="Arial"/>
          <w:sz w:val="22"/>
          <w:szCs w:val="22"/>
        </w:rPr>
        <w:t xml:space="preserve">, 27, pp. 169–178. Available at: </w:t>
      </w:r>
      <w:hyperlink r:id="rId4">
        <w:r w:rsidRPr="0077613A">
          <w:rPr>
            <w:rStyle w:val="Hyperlink"/>
            <w:rFonts w:ascii="Arial" w:eastAsia="Arial" w:hAnsi="Arial" w:cs="Arial"/>
            <w:sz w:val="22"/>
            <w:szCs w:val="22"/>
          </w:rPr>
          <w:t>https://link.springer.com/a</w:t>
        </w:r>
        <w:r w:rsidRPr="0077613A">
          <w:rPr>
            <w:rStyle w:val="Hyperlink"/>
            <w:rFonts w:ascii="Arial" w:eastAsia="Arial" w:hAnsi="Arial" w:cs="Arial"/>
            <w:sz w:val="22"/>
            <w:szCs w:val="22"/>
          </w:rPr>
          <w:t>r</w:t>
        </w:r>
        <w:r w:rsidRPr="0077613A">
          <w:rPr>
            <w:rStyle w:val="Hyperlink"/>
            <w:rFonts w:ascii="Arial" w:eastAsia="Arial" w:hAnsi="Arial" w:cs="Arial"/>
            <w:sz w:val="22"/>
            <w:szCs w:val="22"/>
          </w:rPr>
          <w:t>ticle/10.</w:t>
        </w:r>
        <w:r w:rsidRPr="0077613A">
          <w:rPr>
            <w:rStyle w:val="Hyperlink"/>
            <w:rFonts w:ascii="Arial" w:eastAsia="Arial" w:hAnsi="Arial" w:cs="Arial"/>
            <w:sz w:val="22"/>
            <w:szCs w:val="22"/>
          </w:rPr>
          <w:t>1</w:t>
        </w:r>
        <w:r w:rsidRPr="0077613A">
          <w:rPr>
            <w:rStyle w:val="Hyperlink"/>
            <w:rFonts w:ascii="Arial" w:eastAsia="Arial" w:hAnsi="Arial" w:cs="Arial"/>
            <w:sz w:val="22"/>
            <w:szCs w:val="22"/>
          </w:rPr>
          <w:t>007/s10804-019-09332-1</w:t>
        </w:r>
      </w:hyperlink>
    </w:p>
    <w:p w14:paraId="57971B1B"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Overview of the main arguments/findings.</w:t>
      </w:r>
    </w:p>
    <w:p w14:paraId="5AF7C056"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This paper uses the theory of Erikson of ego integrity versus despair to elderly individuals in residential homes. The authors insist that later life wellbeing cannot be reduced to just the question of being happy but rather having a sense of having a meaningful, valuable and coherent life. Their argument implies that those residents who can reflect positively on their life experiences have higher chances of leading an integrity of life, and those who dwell solely on regret, loss and unresolved distress may end up being in despair. The article is practical since it connects directly the psychological development with the facts of residential living where factors like loss of independence, bereavement and relocation may influence identity and affect emotional wellbeing.</w:t>
      </w:r>
    </w:p>
    <w:p w14:paraId="6D9A81CD"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Critical comment</w:t>
      </w:r>
    </w:p>
    <w:p w14:paraId="5B727827"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The source is very applicable in health and social care since it presents a clear psychological understanding of why some older adults have an easy time settling in care homes whereas others have a problem. It facilitates person-centred practice because it demonstrates that emotional care is equally important as physical care. Nevertheless, Erikson model is not always precise enough by itself, hence, the professionals must resort to some practical approaches like the life story work, reminiscence and relationship-based care that would help them to translate the theory into practice.</w:t>
      </w:r>
    </w:p>
    <w:p w14:paraId="5178528C"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 </w:t>
      </w:r>
    </w:p>
    <w:p w14:paraId="03E5DCDA" w14:textId="77777777" w:rsidR="008D27AD" w:rsidRPr="0077613A" w:rsidRDefault="008D27AD" w:rsidP="008D27AD">
      <w:pPr>
        <w:pStyle w:val="Heading2"/>
        <w:spacing w:line="360" w:lineRule="auto"/>
        <w:rPr>
          <w:rFonts w:ascii="Arial" w:eastAsia="Arial" w:hAnsi="Arial" w:cs="Arial"/>
          <w:sz w:val="22"/>
          <w:szCs w:val="22"/>
        </w:rPr>
      </w:pPr>
      <w:bookmarkStart w:id="1" w:name="_Toc628525972"/>
    </w:p>
    <w:p w14:paraId="1B7BD12E" w14:textId="77777777" w:rsidR="008D27AD" w:rsidRPr="0077613A" w:rsidRDefault="008D27AD" w:rsidP="008D27AD">
      <w:pPr>
        <w:pStyle w:val="Heading2"/>
        <w:spacing w:line="360" w:lineRule="auto"/>
        <w:rPr>
          <w:rFonts w:ascii="Arial" w:eastAsia="Arial" w:hAnsi="Arial" w:cs="Arial"/>
          <w:sz w:val="22"/>
          <w:szCs w:val="22"/>
        </w:rPr>
      </w:pPr>
    </w:p>
    <w:p w14:paraId="1003B1A9" w14:textId="24563D56" w:rsidR="008D27AD" w:rsidRPr="0077613A" w:rsidRDefault="008D27AD" w:rsidP="008D27AD">
      <w:pPr>
        <w:pStyle w:val="Heading2"/>
        <w:spacing w:line="360" w:lineRule="auto"/>
        <w:rPr>
          <w:rFonts w:ascii="Arial" w:eastAsia="Arial" w:hAnsi="Arial" w:cs="Arial"/>
          <w:sz w:val="22"/>
          <w:szCs w:val="22"/>
        </w:rPr>
      </w:pPr>
      <w:r w:rsidRPr="0077613A">
        <w:rPr>
          <w:rFonts w:ascii="Arial" w:eastAsia="Arial" w:hAnsi="Arial" w:cs="Arial"/>
          <w:sz w:val="22"/>
          <w:szCs w:val="22"/>
        </w:rPr>
        <w:t>Source 2: Late life attachment.</w:t>
      </w:r>
      <w:bookmarkEnd w:id="1"/>
    </w:p>
    <w:p w14:paraId="78C349FA"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Full reference</w:t>
      </w:r>
    </w:p>
    <w:p w14:paraId="76F9F4C0"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 Bradley, J.M. and Cafferty, T.P. (2001) ‘Attachment among older adults: Current issues and directions for future research’, </w:t>
      </w:r>
      <w:r w:rsidRPr="0077613A">
        <w:rPr>
          <w:rFonts w:ascii="Arial" w:eastAsia="Arial" w:hAnsi="Arial" w:cs="Arial"/>
          <w:i/>
          <w:iCs/>
          <w:sz w:val="22"/>
          <w:szCs w:val="22"/>
        </w:rPr>
        <w:t>Attachment &amp; Human Development</w:t>
      </w:r>
      <w:r w:rsidRPr="0077613A">
        <w:rPr>
          <w:rFonts w:ascii="Arial" w:eastAsia="Arial" w:hAnsi="Arial" w:cs="Arial"/>
          <w:sz w:val="22"/>
          <w:szCs w:val="22"/>
        </w:rPr>
        <w:t xml:space="preserve">, 3(2), pp. 200–221. </w:t>
      </w:r>
    </w:p>
    <w:p w14:paraId="6E2F7065"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Overview of the main arguments/findings.</w:t>
      </w:r>
    </w:p>
    <w:p w14:paraId="2CF7BC44"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Bradley and Cafferty address the issue of attachment theory relevant to adulthood. According to them, age does not annul the attachment needs; it can be modified to be more significant in illnesses, dependency, bereavement and institutional care. The elderly are usually dependent on intimate relationships to feel safe, appreciated, and emotionally stable. The article demonstrates that the attachment patterns can influence the reaction of older people to the care personnel, family involvement, and living arrangements changes.</w:t>
      </w:r>
    </w:p>
    <w:p w14:paraId="36FE53FF"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Critical comment</w:t>
      </w:r>
    </w:p>
    <w:p w14:paraId="55E92890" w14:textId="3231EB69"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The source can be applied in practice in a care home since it assists the staff members to realize why behaviors that might otherwise be perceived as a hard or demanding behavior. Or anxiety, withdrawal or distress could be a manifestation of unmet emotional security needs as opposed to non-compliance. One of the constraints is that the theory of attachment was initially constructed based on children and thus when it is applied to older adults, one must be careful to interpret it. Nonetheless, it has its value in terms of advocating relationship-focused caring.</w:t>
      </w:r>
    </w:p>
    <w:p w14:paraId="5FCEBFDA" w14:textId="77777777" w:rsidR="0077613A" w:rsidRPr="0077613A" w:rsidRDefault="0077613A" w:rsidP="008D27AD">
      <w:pPr>
        <w:pStyle w:val="Heading2"/>
        <w:spacing w:line="360" w:lineRule="auto"/>
        <w:rPr>
          <w:rFonts w:ascii="Arial" w:eastAsia="Arial" w:hAnsi="Arial" w:cs="Arial"/>
          <w:sz w:val="22"/>
          <w:szCs w:val="22"/>
        </w:rPr>
      </w:pPr>
      <w:bookmarkStart w:id="2" w:name="_Toc1501200958"/>
    </w:p>
    <w:p w14:paraId="6CC60EBA" w14:textId="31F359F4" w:rsidR="008D27AD" w:rsidRPr="0077613A" w:rsidRDefault="008D27AD" w:rsidP="008D27AD">
      <w:pPr>
        <w:pStyle w:val="Heading2"/>
        <w:spacing w:line="360" w:lineRule="auto"/>
        <w:rPr>
          <w:rFonts w:ascii="Arial" w:eastAsia="Arial" w:hAnsi="Arial" w:cs="Arial"/>
          <w:sz w:val="22"/>
          <w:szCs w:val="22"/>
        </w:rPr>
      </w:pPr>
      <w:r w:rsidRPr="0077613A">
        <w:rPr>
          <w:rFonts w:ascii="Arial" w:eastAsia="Arial" w:hAnsi="Arial" w:cs="Arial"/>
          <w:sz w:val="22"/>
          <w:szCs w:val="22"/>
        </w:rPr>
        <w:t>Source 3: Significant action and wellbeing.</w:t>
      </w:r>
      <w:bookmarkEnd w:id="2"/>
    </w:p>
    <w:p w14:paraId="052FDD6D"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Full reference</w:t>
      </w:r>
    </w:p>
    <w:p w14:paraId="184E48A3"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Nyman, S.R. and Szymczynska, P. (2016) ‘Meaningful activities for improving the wellbeing of people with dementia: Beyond mere pleasure to meeting fundamental psychological needs’, </w:t>
      </w:r>
      <w:r w:rsidRPr="0077613A">
        <w:rPr>
          <w:rFonts w:ascii="Arial" w:eastAsia="Arial" w:hAnsi="Arial" w:cs="Arial"/>
          <w:i/>
          <w:iCs/>
          <w:sz w:val="22"/>
          <w:szCs w:val="22"/>
        </w:rPr>
        <w:t>Perspectives in Public Health</w:t>
      </w:r>
      <w:r w:rsidRPr="0077613A">
        <w:rPr>
          <w:rFonts w:ascii="Arial" w:eastAsia="Arial" w:hAnsi="Arial" w:cs="Arial"/>
          <w:sz w:val="22"/>
          <w:szCs w:val="22"/>
        </w:rPr>
        <w:t xml:space="preserve">, 136(2), pp. 99–107. </w:t>
      </w:r>
    </w:p>
    <w:p w14:paraId="0E4544DF"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Overview of the main arguments/findings.</w:t>
      </w:r>
    </w:p>
    <w:p w14:paraId="126FE692"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According to Nyman and Szymczynska, meaningful activity in old age cannot be considered easy entertainment. Rather, they should fulfill more profound psychological needs like identity, </w:t>
      </w:r>
      <w:r w:rsidRPr="0077613A">
        <w:rPr>
          <w:rFonts w:ascii="Arial" w:eastAsia="Arial" w:hAnsi="Arial" w:cs="Arial"/>
          <w:sz w:val="22"/>
          <w:szCs w:val="22"/>
        </w:rPr>
        <w:lastRenderedPageBreak/>
        <w:t>belonging, purpose, and autonomy. People with dementia are the particular focus of the article, although its broader application can be extended to older people in residential facilities. The activities which relate residents to past roles, interests and relationships have more chances of enhancing wellbeing as compared to generic group activities.</w:t>
      </w:r>
    </w:p>
    <w:p w14:paraId="69ED346C"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Critical comment</w:t>
      </w:r>
    </w:p>
    <w:p w14:paraId="4C00F4B7"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The significance of this source is that it takes care of the aspect of routine task execution and challenges the staff to think at the psychological level. This is particularly applicable to the theory by Erikson, as meaningful activities can aid in identity and assist the residents in preserving the feeling of value. Its limitation is that activity-based care can prove challenging in under-resource environments where there is no sufficient staff time. It does, however, provide useful guidance as to how to enhance wellbeing in daily care home practice.</w:t>
      </w:r>
    </w:p>
    <w:p w14:paraId="5BB8F662" w14:textId="77777777" w:rsidR="008D27AD" w:rsidRPr="0077613A" w:rsidRDefault="008D27AD" w:rsidP="008D27AD">
      <w:pPr>
        <w:pStyle w:val="Heading2"/>
        <w:spacing w:line="360" w:lineRule="auto"/>
        <w:rPr>
          <w:rFonts w:ascii="Arial" w:eastAsia="Arial" w:hAnsi="Arial" w:cs="Arial"/>
          <w:sz w:val="22"/>
          <w:szCs w:val="22"/>
        </w:rPr>
      </w:pPr>
      <w:bookmarkStart w:id="3" w:name="_Toc2003451297"/>
      <w:r w:rsidRPr="0077613A">
        <w:rPr>
          <w:rFonts w:ascii="Arial" w:eastAsia="Arial" w:hAnsi="Arial" w:cs="Arial"/>
          <w:sz w:val="22"/>
          <w:szCs w:val="22"/>
        </w:rPr>
        <w:t>Source 4: Later life positive development.</w:t>
      </w:r>
      <w:bookmarkEnd w:id="3"/>
    </w:p>
    <w:p w14:paraId="61D0E8A3"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Full reference</w:t>
      </w:r>
    </w:p>
    <w:p w14:paraId="2679A9A8"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Crăciun, I.C. (2023). Fostering</w:t>
      </w:r>
      <w:r w:rsidRPr="0077613A">
        <w:rPr>
          <w:rFonts w:ascii="Arial" w:eastAsia="Arial" w:hAnsi="Arial" w:cs="Arial"/>
          <w:i/>
          <w:iCs/>
          <w:sz w:val="22"/>
          <w:szCs w:val="22"/>
        </w:rPr>
        <w:t xml:space="preserve"> Development in Midlife and Older Age: A Positive Psychology Perspective</w:t>
      </w:r>
      <w:r w:rsidRPr="0077613A">
        <w:rPr>
          <w:rFonts w:ascii="Arial" w:eastAsia="Arial" w:hAnsi="Arial" w:cs="Arial"/>
          <w:sz w:val="22"/>
          <w:szCs w:val="22"/>
        </w:rPr>
        <w:t xml:space="preserve">. Cham: Springer. Available at: </w:t>
      </w:r>
      <w:hyperlink r:id="rId5">
        <w:r w:rsidRPr="0077613A">
          <w:rPr>
            <w:rStyle w:val="Hyperlink"/>
            <w:rFonts w:ascii="Arial" w:eastAsia="Arial" w:hAnsi="Arial" w:cs="Arial"/>
            <w:sz w:val="22"/>
            <w:szCs w:val="22"/>
          </w:rPr>
          <w:t>https://link.springer.com/content/pdf/10.1007/978-3-031-24449-0.pdf</w:t>
        </w:r>
      </w:hyperlink>
    </w:p>
    <w:p w14:paraId="246E4FD9"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Overview of the main arguments/findings.</w:t>
      </w:r>
    </w:p>
    <w:p w14:paraId="36FA0C0D"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Craciun suggests ageing as a phase in which there is growth, adaptation and psychological development. The book uses positive psychology to illustrate how wellbeing can be supported by older age instead of focusing solely on the decrease. This view is helpful since it questions the assumptions of deficit regarding older adults and prompts professionals to identify the capacities in addition to needs.</w:t>
      </w:r>
    </w:p>
    <w:p w14:paraId="31AD2EDB"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Critical comment</w:t>
      </w:r>
    </w:p>
    <w:p w14:paraId="5BEB631F" w14:textId="7C545243"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This source is quite pertinent to the world of health and social care since it argues in favor of a strength-based approach, which should be vital when dealing with older adults in the care settings. It would allow practitioners to evade too medicalised perspectives of ageing. Nevertheless, it is not possible to use positive psychology to overlook such actual issues as loneliness, grief, or cognitive decline. It has highest values when used with realistic and person centred</w:t>
      </w:r>
      <w:r w:rsidR="006D35B1">
        <w:rPr>
          <w:rFonts w:ascii="Arial" w:eastAsia="Arial" w:hAnsi="Arial" w:cs="Arial"/>
          <w:sz w:val="22"/>
          <w:szCs w:val="22"/>
        </w:rPr>
        <w:t xml:space="preserve"> </w:t>
      </w:r>
      <w:r w:rsidRPr="0077613A">
        <w:rPr>
          <w:rFonts w:ascii="Arial" w:eastAsia="Arial" w:hAnsi="Arial" w:cs="Arial"/>
          <w:sz w:val="22"/>
          <w:szCs w:val="22"/>
        </w:rPr>
        <w:t>support.</w:t>
      </w:r>
    </w:p>
    <w:p w14:paraId="704674C0" w14:textId="77777777" w:rsidR="008D27AD" w:rsidRPr="0077613A" w:rsidRDefault="008D27AD" w:rsidP="008D27AD">
      <w:pPr>
        <w:pStyle w:val="Heading1"/>
        <w:spacing w:line="360" w:lineRule="auto"/>
        <w:rPr>
          <w:rFonts w:ascii="Arial" w:eastAsia="Arial" w:hAnsi="Arial" w:cs="Arial"/>
          <w:sz w:val="22"/>
          <w:szCs w:val="22"/>
        </w:rPr>
      </w:pPr>
      <w:bookmarkStart w:id="4" w:name="_Toc723181907"/>
      <w:r w:rsidRPr="0077613A">
        <w:rPr>
          <w:rFonts w:ascii="Arial" w:eastAsia="Arial" w:hAnsi="Arial" w:cs="Arial"/>
          <w:sz w:val="22"/>
          <w:szCs w:val="22"/>
        </w:rPr>
        <w:lastRenderedPageBreak/>
        <w:t>Part B: Brief Report.</w:t>
      </w:r>
      <w:bookmarkEnd w:id="4"/>
    </w:p>
    <w:p w14:paraId="59F9D772" w14:textId="1A8783F6" w:rsidR="008D27AD" w:rsidRPr="0077613A" w:rsidRDefault="008D27AD" w:rsidP="008D27AD">
      <w:pPr>
        <w:spacing w:line="360" w:lineRule="auto"/>
        <w:rPr>
          <w:rFonts w:ascii="Arial" w:eastAsia="Arial" w:hAnsi="Arial" w:cs="Arial"/>
          <w:b/>
          <w:bCs/>
          <w:sz w:val="22"/>
          <w:szCs w:val="22"/>
          <w:u w:val="single"/>
        </w:rPr>
      </w:pPr>
      <w:r w:rsidRPr="0077613A">
        <w:rPr>
          <w:rFonts w:ascii="Arial" w:eastAsia="Arial" w:hAnsi="Arial" w:cs="Arial"/>
          <w:b/>
          <w:bCs/>
          <w:sz w:val="22"/>
          <w:szCs w:val="22"/>
          <w:u w:val="single"/>
        </w:rPr>
        <w:t>The application of the Erikson theory in enhancing psychological wellbeing in an older adult’s care home.</w:t>
      </w:r>
    </w:p>
    <w:p w14:paraId="60CB0741" w14:textId="77777777" w:rsidR="008D27AD" w:rsidRPr="0077613A" w:rsidRDefault="008D27AD" w:rsidP="008D27AD">
      <w:pPr>
        <w:pStyle w:val="Heading1"/>
        <w:spacing w:line="360" w:lineRule="auto"/>
        <w:rPr>
          <w:rFonts w:ascii="Arial" w:eastAsia="Arial" w:hAnsi="Arial" w:cs="Arial"/>
          <w:sz w:val="22"/>
          <w:szCs w:val="22"/>
        </w:rPr>
      </w:pPr>
      <w:bookmarkStart w:id="5" w:name="_Toc1789234361"/>
      <w:r w:rsidRPr="0077613A">
        <w:rPr>
          <w:rFonts w:ascii="Arial" w:eastAsia="Arial" w:hAnsi="Arial" w:cs="Arial"/>
          <w:sz w:val="22"/>
          <w:szCs w:val="22"/>
        </w:rPr>
        <w:t>Introduction</w:t>
      </w:r>
      <w:bookmarkEnd w:id="5"/>
    </w:p>
    <w:p w14:paraId="67E23675"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The elderly in residential care are also prone to significant life transitions, such as decreased independence, morbidity, loss and separation with life routines. These experiences may have an impact on mood and identity. The psychosocial theory proposed by Erikson can be applied in this context, </w:t>
      </w:r>
      <w:proofErr w:type="gramStart"/>
      <w:r w:rsidRPr="0077613A">
        <w:rPr>
          <w:rFonts w:ascii="Arial" w:eastAsia="Arial" w:hAnsi="Arial" w:cs="Arial"/>
          <w:sz w:val="22"/>
          <w:szCs w:val="22"/>
        </w:rPr>
        <w:t>in particular,</w:t>
      </w:r>
      <w:proofErr w:type="gramEnd"/>
      <w:r w:rsidRPr="0077613A">
        <w:rPr>
          <w:rFonts w:ascii="Arial" w:eastAsia="Arial" w:hAnsi="Arial" w:cs="Arial"/>
          <w:sz w:val="22"/>
          <w:szCs w:val="22"/>
        </w:rPr>
        <w:t xml:space="preserve"> the last stage of development, which is ego integrity versus despair. Erikson believes that older adults will enjoy a wellbeing when they are able to look back on their life with acceptance, sense of meaning and wholeness rather than with regrets and hopelessness (Dezutter, Toussaint and Dewitte, 2020). In the case of health and social care professionals, the theory provides a viable model of assisting residents both psychologically and physically.</w:t>
      </w:r>
    </w:p>
    <w:p w14:paraId="6C500B48" w14:textId="77777777" w:rsidR="008D27AD" w:rsidRPr="0077613A" w:rsidRDefault="008D27AD" w:rsidP="008D27AD">
      <w:pPr>
        <w:pStyle w:val="Heading1"/>
        <w:spacing w:line="360" w:lineRule="auto"/>
        <w:rPr>
          <w:rFonts w:ascii="Arial" w:eastAsia="Arial" w:hAnsi="Arial" w:cs="Arial"/>
          <w:sz w:val="22"/>
          <w:szCs w:val="22"/>
        </w:rPr>
      </w:pPr>
      <w:bookmarkStart w:id="6" w:name="_Toc993615345"/>
      <w:r w:rsidRPr="0077613A">
        <w:rPr>
          <w:rFonts w:ascii="Arial" w:eastAsia="Arial" w:hAnsi="Arial" w:cs="Arial"/>
          <w:sz w:val="22"/>
          <w:szCs w:val="22"/>
        </w:rPr>
        <w:t>The practical implementation of the theory.</w:t>
      </w:r>
      <w:bookmarkEnd w:id="6"/>
    </w:p>
    <w:p w14:paraId="55CDAEC2"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 xml:space="preserve">The Erikson theory can be used in care homes by applying methods that make the residents retain identity, dignity, and meaning. An effective approach is that of life review work where staff members invite the residents to discuss key life events, accomplishments, roles and relationships. This will be aided </w:t>
      </w:r>
      <w:proofErr w:type="gramStart"/>
      <w:r w:rsidRPr="0077613A">
        <w:rPr>
          <w:rFonts w:ascii="Arial" w:eastAsia="Arial" w:hAnsi="Arial" w:cs="Arial"/>
          <w:sz w:val="22"/>
          <w:szCs w:val="22"/>
        </w:rPr>
        <w:t>by the use of</w:t>
      </w:r>
      <w:proofErr w:type="gramEnd"/>
      <w:r w:rsidRPr="0077613A">
        <w:rPr>
          <w:rFonts w:ascii="Arial" w:eastAsia="Arial" w:hAnsi="Arial" w:cs="Arial"/>
          <w:sz w:val="22"/>
          <w:szCs w:val="22"/>
        </w:rPr>
        <w:t xml:space="preserve"> memory books, photographs, family discussions, and reminiscence sessions. This can assist the residents to feel that their life is not wasted, and their experiences are taken into consideration by other people (Johansson, 2002).</w:t>
      </w:r>
    </w:p>
    <w:p w14:paraId="4EB62E01"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The second one is that meaningful activities instead of general occupations should be utilized. Activities must relate to the history and interests of a resident, which can include gardening, music, religion, or assisting in simple daily activities. This helps to support autonomy and self-worth, which are the pillars of the psychological wellbeing of later life (Nyman and Szymczynska, 2016). Staff must also maintain consistent and respectful communication with the staff since emotional security and trusting relations are also valued in old adulthood (Bradley and Cafferty, 2001).</w:t>
      </w:r>
    </w:p>
    <w:p w14:paraId="700A87D4" w14:textId="77777777" w:rsidR="004F79F6" w:rsidRPr="0077613A" w:rsidRDefault="004F79F6" w:rsidP="008D27AD">
      <w:pPr>
        <w:pStyle w:val="Heading1"/>
        <w:spacing w:line="360" w:lineRule="auto"/>
        <w:rPr>
          <w:rFonts w:ascii="Arial" w:eastAsia="Arial" w:hAnsi="Arial" w:cs="Arial"/>
          <w:sz w:val="22"/>
          <w:szCs w:val="22"/>
        </w:rPr>
      </w:pPr>
      <w:bookmarkStart w:id="7" w:name="_Toc337049035"/>
    </w:p>
    <w:p w14:paraId="3E0FBAEC" w14:textId="2FBFE6EB" w:rsidR="008D27AD" w:rsidRPr="0077613A" w:rsidRDefault="008D27AD" w:rsidP="008D27AD">
      <w:pPr>
        <w:pStyle w:val="Heading1"/>
        <w:spacing w:line="360" w:lineRule="auto"/>
        <w:rPr>
          <w:rFonts w:ascii="Arial" w:eastAsia="Arial" w:hAnsi="Arial" w:cs="Arial"/>
          <w:sz w:val="22"/>
          <w:szCs w:val="22"/>
        </w:rPr>
      </w:pPr>
      <w:r w:rsidRPr="0077613A">
        <w:rPr>
          <w:rFonts w:ascii="Arial" w:eastAsia="Arial" w:hAnsi="Arial" w:cs="Arial"/>
          <w:sz w:val="22"/>
          <w:szCs w:val="22"/>
        </w:rPr>
        <w:t>Real-world example</w:t>
      </w:r>
      <w:bookmarkEnd w:id="7"/>
    </w:p>
    <w:p w14:paraId="7C82D269"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A real-life scenario would be when an 84-year-old resident changes into withdrawn since she moved into a care home after the death of her husband. She does not want to participate in groups and states that she is merely waiting to die. Based on the Erikson theory, employees would be able to recognize the presence of despair associated with loss, displacement, and lack of meaning. One of the key workers may initiate weekly reminiscence sessions that are brief (not more than 10 minutes) to invite family members to come and share photographs and ask the resident to participate in a small gardening exercise since she had liked gardening. In the long run, these interventions can assist in re-establishing identity, enhance social bonds and elevate mood through strengthening the belief that her life has a purpose and meaning.</w:t>
      </w:r>
    </w:p>
    <w:p w14:paraId="41CF0ED0" w14:textId="77777777" w:rsidR="008D27AD" w:rsidRPr="0077613A" w:rsidRDefault="008D27AD" w:rsidP="008D27AD">
      <w:pPr>
        <w:pStyle w:val="Heading1"/>
        <w:spacing w:line="360" w:lineRule="auto"/>
        <w:rPr>
          <w:rFonts w:ascii="Arial" w:eastAsia="Arial" w:hAnsi="Arial" w:cs="Arial"/>
          <w:sz w:val="22"/>
          <w:szCs w:val="22"/>
        </w:rPr>
      </w:pPr>
      <w:bookmarkStart w:id="8" w:name="_Toc105854871"/>
      <w:r w:rsidRPr="0077613A">
        <w:rPr>
          <w:rFonts w:ascii="Arial" w:eastAsia="Arial" w:hAnsi="Arial" w:cs="Arial"/>
          <w:sz w:val="22"/>
          <w:szCs w:val="22"/>
        </w:rPr>
        <w:t>One weakness and the way to overcome it.</w:t>
      </w:r>
      <w:bookmarkEnd w:id="8"/>
    </w:p>
    <w:p w14:paraId="3F782764"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The first obstacle is that employees in care facilities usually do not have enough time and can pay primary attention to physical care. This may reduce psychological support to second place. One good approach is to make Erikson-informed care become ordinary work and not the additional one. The short-term discussions of life history, preferences and achievements can be part of personal care, mealtimes and key-worker meetings, as examples. The use of person-centred communication and life story work training would also be more realistic and sustainable in terms of staff (Crăciun, 2023; Whiting, 2025).</w:t>
      </w:r>
    </w:p>
    <w:p w14:paraId="7F8BFB65" w14:textId="77777777" w:rsidR="008D27AD" w:rsidRPr="0077613A" w:rsidRDefault="008D27AD" w:rsidP="008D27AD">
      <w:pPr>
        <w:pStyle w:val="Heading1"/>
        <w:spacing w:line="360" w:lineRule="auto"/>
        <w:rPr>
          <w:rFonts w:ascii="Arial" w:eastAsia="Arial" w:hAnsi="Arial" w:cs="Arial"/>
          <w:sz w:val="22"/>
          <w:szCs w:val="22"/>
        </w:rPr>
      </w:pPr>
      <w:bookmarkStart w:id="9" w:name="_Toc1341161532"/>
      <w:r w:rsidRPr="0077613A">
        <w:rPr>
          <w:rFonts w:ascii="Arial" w:eastAsia="Arial" w:hAnsi="Arial" w:cs="Arial"/>
          <w:sz w:val="22"/>
          <w:szCs w:val="22"/>
        </w:rPr>
        <w:t>Conclusion</w:t>
      </w:r>
      <w:bookmarkEnd w:id="9"/>
    </w:p>
    <w:p w14:paraId="38384A40"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The theory by Erikson is very relevant to older adults in residential care as it describes the connection between emotional wellbeing in old age and meaning, identity and acceptance. In the case of health and social care professionals, the theory promotes more person-centred care via reminiscence, meaningful activity, and supportive relations. This may not be easy due to the pressure of time, but incorporation of psychological support in the routine of care can assist the residents to be brought nearer to integrity rather than despair.</w:t>
      </w:r>
    </w:p>
    <w:p w14:paraId="62855D21" w14:textId="77777777" w:rsidR="008D27AD" w:rsidRPr="0077613A" w:rsidRDefault="008D27AD" w:rsidP="008D27AD">
      <w:pPr>
        <w:spacing w:line="360" w:lineRule="auto"/>
        <w:rPr>
          <w:rFonts w:ascii="Arial" w:eastAsia="Arial" w:hAnsi="Arial" w:cs="Arial"/>
          <w:sz w:val="22"/>
          <w:szCs w:val="22"/>
        </w:rPr>
      </w:pPr>
      <w:r w:rsidRPr="0077613A">
        <w:rPr>
          <w:rFonts w:ascii="Arial" w:eastAsia="Arial" w:hAnsi="Arial" w:cs="Arial"/>
          <w:sz w:val="22"/>
          <w:szCs w:val="22"/>
        </w:rPr>
        <w:t>.</w:t>
      </w:r>
    </w:p>
    <w:p w14:paraId="672D954B" w14:textId="77777777" w:rsidR="008D27AD" w:rsidRPr="0077613A" w:rsidRDefault="008D27AD" w:rsidP="008D27AD">
      <w:pPr>
        <w:pStyle w:val="Heading2"/>
        <w:spacing w:line="360" w:lineRule="auto"/>
        <w:rPr>
          <w:rFonts w:ascii="Arial" w:eastAsia="Arial" w:hAnsi="Arial" w:cs="Arial"/>
          <w:sz w:val="22"/>
          <w:szCs w:val="22"/>
        </w:rPr>
      </w:pPr>
    </w:p>
    <w:p w14:paraId="1EB9CB18" w14:textId="5F09D4A3" w:rsidR="008D27AD" w:rsidRPr="0077613A" w:rsidRDefault="008D27AD" w:rsidP="008D27AD">
      <w:pPr>
        <w:pStyle w:val="Heading2"/>
        <w:spacing w:line="360" w:lineRule="auto"/>
        <w:rPr>
          <w:rFonts w:ascii="Arial" w:eastAsia="Arial" w:hAnsi="Arial" w:cs="Arial"/>
          <w:sz w:val="22"/>
          <w:szCs w:val="22"/>
        </w:rPr>
      </w:pPr>
      <w:r w:rsidRPr="0077613A">
        <w:rPr>
          <w:rFonts w:ascii="Arial" w:eastAsia="Arial" w:hAnsi="Arial" w:cs="Arial"/>
          <w:sz w:val="22"/>
          <w:szCs w:val="22"/>
        </w:rPr>
        <w:t>References:</w:t>
      </w:r>
    </w:p>
    <w:p w14:paraId="58B12B30" w14:textId="77777777"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Bradley, J.M. and Cafferty, T.P. (2001) ‘Attachment among older adults: Current issues and directions for future research’, </w:t>
      </w:r>
      <w:r w:rsidRPr="0077613A">
        <w:rPr>
          <w:rFonts w:ascii="Arial" w:eastAsia="Arial" w:hAnsi="Arial" w:cs="Arial"/>
          <w:i/>
          <w:iCs/>
          <w:sz w:val="22"/>
          <w:szCs w:val="22"/>
        </w:rPr>
        <w:t>Attachment &amp; Human Development</w:t>
      </w:r>
      <w:r w:rsidRPr="0077613A">
        <w:rPr>
          <w:rFonts w:ascii="Arial" w:eastAsia="Arial" w:hAnsi="Arial" w:cs="Arial"/>
          <w:sz w:val="22"/>
          <w:szCs w:val="22"/>
        </w:rPr>
        <w:t xml:space="preserve">, 3(2), pp. 200–221. Available at: </w:t>
      </w:r>
      <w:hyperlink r:id="rId6">
        <w:r w:rsidRPr="0077613A">
          <w:rPr>
            <w:rStyle w:val="Hyperlink"/>
            <w:rFonts w:ascii="Arial" w:eastAsia="Arial" w:hAnsi="Arial" w:cs="Arial"/>
            <w:sz w:val="22"/>
            <w:szCs w:val="22"/>
          </w:rPr>
          <w:t>https://doi.org/10.1080/14616730110096810</w:t>
        </w:r>
      </w:hyperlink>
    </w:p>
    <w:p w14:paraId="1FD2B79E" w14:textId="77777777"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Crăciun, I.C. (2023) </w:t>
      </w:r>
      <w:r w:rsidRPr="0077613A">
        <w:rPr>
          <w:rFonts w:ascii="Arial" w:eastAsia="Arial" w:hAnsi="Arial" w:cs="Arial"/>
          <w:i/>
          <w:iCs/>
          <w:sz w:val="22"/>
          <w:szCs w:val="22"/>
        </w:rPr>
        <w:t>Fostering Development in Midlife and Older Age: A Positive Psychology Perspective</w:t>
      </w:r>
      <w:r w:rsidRPr="0077613A">
        <w:rPr>
          <w:rFonts w:ascii="Arial" w:eastAsia="Arial" w:hAnsi="Arial" w:cs="Arial"/>
          <w:sz w:val="22"/>
          <w:szCs w:val="22"/>
        </w:rPr>
        <w:t xml:space="preserve">. Cham: Springer. Available at: </w:t>
      </w:r>
      <w:hyperlink r:id="rId7">
        <w:r w:rsidRPr="0077613A">
          <w:rPr>
            <w:rStyle w:val="Hyperlink"/>
            <w:rFonts w:ascii="Arial" w:eastAsia="Arial" w:hAnsi="Arial" w:cs="Arial"/>
            <w:sz w:val="22"/>
            <w:szCs w:val="22"/>
          </w:rPr>
          <w:t>https://link.springer.com/content/pdf/10.1007/978-3-031-24449-0.pdf</w:t>
        </w:r>
      </w:hyperlink>
    </w:p>
    <w:p w14:paraId="71DAE071" w14:textId="77777777"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Dezutter, J., Toussaint, L. and Dewitte, L. (2020) ‘Finding a balance between integrity and despair: A challenging task for older adults in residential care’, </w:t>
      </w:r>
      <w:r w:rsidRPr="0077613A">
        <w:rPr>
          <w:rFonts w:ascii="Arial" w:eastAsia="Arial" w:hAnsi="Arial" w:cs="Arial"/>
          <w:i/>
          <w:iCs/>
          <w:sz w:val="22"/>
          <w:szCs w:val="22"/>
        </w:rPr>
        <w:t>Journal of Adult Development</w:t>
      </w:r>
      <w:r w:rsidRPr="0077613A">
        <w:rPr>
          <w:rFonts w:ascii="Arial" w:eastAsia="Arial" w:hAnsi="Arial" w:cs="Arial"/>
          <w:sz w:val="22"/>
          <w:szCs w:val="22"/>
        </w:rPr>
        <w:t xml:space="preserve">, 27, pp. 169–178. Available at: </w:t>
      </w:r>
      <w:hyperlink r:id="rId8">
        <w:r w:rsidRPr="0077613A">
          <w:rPr>
            <w:rStyle w:val="Hyperlink"/>
            <w:rFonts w:ascii="Arial" w:eastAsia="Arial" w:hAnsi="Arial" w:cs="Arial"/>
            <w:sz w:val="22"/>
            <w:szCs w:val="22"/>
          </w:rPr>
          <w:t>https://link.springer.com/article/10.1007/s10804-019-09332-1</w:t>
        </w:r>
      </w:hyperlink>
    </w:p>
    <w:p w14:paraId="74E14A28" w14:textId="62E62C09"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Johansson, C. (2002) ‘Integrity versus despair: An </w:t>
      </w:r>
      <w:r w:rsidR="006E1D61" w:rsidRPr="0077613A">
        <w:rPr>
          <w:rFonts w:ascii="Arial" w:eastAsia="Arial" w:hAnsi="Arial" w:cs="Arial"/>
          <w:sz w:val="22"/>
          <w:szCs w:val="22"/>
        </w:rPr>
        <w:t xml:space="preserve">Erikson </w:t>
      </w:r>
      <w:proofErr w:type="gramStart"/>
      <w:r w:rsidR="006E1D61" w:rsidRPr="0077613A">
        <w:rPr>
          <w:rFonts w:ascii="Arial" w:eastAsia="Arial" w:hAnsi="Arial" w:cs="Arial"/>
          <w:sz w:val="22"/>
          <w:szCs w:val="22"/>
        </w:rPr>
        <w:t>an</w:t>
      </w:r>
      <w:proofErr w:type="gramEnd"/>
      <w:r w:rsidRPr="0077613A">
        <w:rPr>
          <w:rFonts w:ascii="Arial" w:eastAsia="Arial" w:hAnsi="Arial" w:cs="Arial"/>
          <w:sz w:val="22"/>
          <w:szCs w:val="22"/>
        </w:rPr>
        <w:t xml:space="preserve"> framework for geriatric rehabilitation’, </w:t>
      </w:r>
      <w:r w:rsidRPr="0077613A">
        <w:rPr>
          <w:rFonts w:ascii="Arial" w:eastAsia="Arial" w:hAnsi="Arial" w:cs="Arial"/>
          <w:i/>
          <w:iCs/>
          <w:sz w:val="22"/>
          <w:szCs w:val="22"/>
        </w:rPr>
        <w:t>Topics in Geriatric Rehabilitation</w:t>
      </w:r>
      <w:r w:rsidRPr="0077613A">
        <w:rPr>
          <w:rFonts w:ascii="Arial" w:eastAsia="Arial" w:hAnsi="Arial" w:cs="Arial"/>
          <w:sz w:val="22"/>
          <w:szCs w:val="22"/>
        </w:rPr>
        <w:t xml:space="preserve">, 18(3). Available at: </w:t>
      </w:r>
      <w:hyperlink r:id="rId9">
        <w:r w:rsidRPr="0077613A">
          <w:rPr>
            <w:rStyle w:val="Hyperlink"/>
            <w:rFonts w:ascii="Arial" w:eastAsia="Arial" w:hAnsi="Arial" w:cs="Arial"/>
            <w:sz w:val="22"/>
            <w:szCs w:val="22"/>
          </w:rPr>
          <w:t>https://journals.lww.com/topicsingeriatricrehabilitation/fulltext/2002/03000/integrity_versus_despair__an_eriksonian_framework.3.aspx</w:t>
        </w:r>
      </w:hyperlink>
    </w:p>
    <w:p w14:paraId="01E6CB29" w14:textId="77777777"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Nyman, S.R. and Szymczynska, P. (2016) ‘Meaningful activities for improving the wellbeing of people with dementia: Beyond mere pleasure to meeting fundamental psychological needs’, </w:t>
      </w:r>
      <w:r w:rsidRPr="0077613A">
        <w:rPr>
          <w:rFonts w:ascii="Arial" w:eastAsia="Arial" w:hAnsi="Arial" w:cs="Arial"/>
          <w:i/>
          <w:iCs/>
          <w:sz w:val="22"/>
          <w:szCs w:val="22"/>
        </w:rPr>
        <w:t>Perspectives in Public Health</w:t>
      </w:r>
      <w:r w:rsidRPr="0077613A">
        <w:rPr>
          <w:rFonts w:ascii="Arial" w:eastAsia="Arial" w:hAnsi="Arial" w:cs="Arial"/>
          <w:sz w:val="22"/>
          <w:szCs w:val="22"/>
        </w:rPr>
        <w:t xml:space="preserve">, 136(2), pp. 99–107. Available at: </w:t>
      </w:r>
      <w:hyperlink r:id="rId10">
        <w:r w:rsidRPr="0077613A">
          <w:rPr>
            <w:rStyle w:val="Hyperlink"/>
            <w:rFonts w:ascii="Arial" w:eastAsia="Arial" w:hAnsi="Arial" w:cs="Arial"/>
            <w:sz w:val="22"/>
            <w:szCs w:val="22"/>
          </w:rPr>
          <w:t>https://journals.sagepub.com/doi/abs/10.1177/1757913915626193</w:t>
        </w:r>
      </w:hyperlink>
    </w:p>
    <w:p w14:paraId="0E0C834B" w14:textId="77777777"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Whiting, R. (2025) ‘Evaluating the relevance of attachment theory in child-elder interactions in an intergenerational nursery </w:t>
      </w:r>
      <w:proofErr w:type="spellStart"/>
      <w:r w:rsidRPr="0077613A">
        <w:rPr>
          <w:rFonts w:ascii="Arial" w:eastAsia="Arial" w:hAnsi="Arial" w:cs="Arial"/>
          <w:sz w:val="22"/>
          <w:szCs w:val="22"/>
        </w:rPr>
        <w:t>programme</w:t>
      </w:r>
      <w:proofErr w:type="spellEnd"/>
      <w:r w:rsidRPr="0077613A">
        <w:rPr>
          <w:rFonts w:ascii="Arial" w:eastAsia="Arial" w:hAnsi="Arial" w:cs="Arial"/>
          <w:sz w:val="22"/>
          <w:szCs w:val="22"/>
        </w:rPr>
        <w:t xml:space="preserve">’. Available at: </w:t>
      </w:r>
      <w:hyperlink r:id="rId11">
        <w:r w:rsidRPr="0077613A">
          <w:rPr>
            <w:rStyle w:val="Hyperlink"/>
            <w:rFonts w:ascii="Arial" w:eastAsia="Arial" w:hAnsi="Arial" w:cs="Arial"/>
            <w:sz w:val="22"/>
            <w:szCs w:val="22"/>
          </w:rPr>
          <w:t>https://uel-repository.worktribe.com/Ou</w:t>
        </w:r>
        <w:r w:rsidRPr="0077613A">
          <w:rPr>
            <w:rStyle w:val="Hyperlink"/>
            <w:rFonts w:ascii="Arial" w:eastAsia="Arial" w:hAnsi="Arial" w:cs="Arial"/>
            <w:sz w:val="22"/>
            <w:szCs w:val="22"/>
          </w:rPr>
          <w:t>t</w:t>
        </w:r>
        <w:r w:rsidRPr="0077613A">
          <w:rPr>
            <w:rStyle w:val="Hyperlink"/>
            <w:rFonts w:ascii="Arial" w:eastAsia="Arial" w:hAnsi="Arial" w:cs="Arial"/>
            <w:sz w:val="22"/>
            <w:szCs w:val="22"/>
          </w:rPr>
          <w:t>putFile/503296</w:t>
        </w:r>
      </w:hyperlink>
    </w:p>
    <w:p w14:paraId="11158BD9" w14:textId="77777777" w:rsidR="008D27AD" w:rsidRPr="0077613A" w:rsidRDefault="008D27AD" w:rsidP="008D27AD">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Coleman, P.G. and O’Hanlon, A. (2018) ‘Current research on development and adaptation in advanced old age’, in </w:t>
      </w:r>
      <w:r w:rsidRPr="0077613A">
        <w:rPr>
          <w:rFonts w:ascii="Arial" w:eastAsia="Arial" w:hAnsi="Arial" w:cs="Arial"/>
          <w:i/>
          <w:iCs/>
          <w:sz w:val="22"/>
          <w:szCs w:val="22"/>
        </w:rPr>
        <w:t>Aging and Development</w:t>
      </w:r>
      <w:r w:rsidRPr="0077613A">
        <w:rPr>
          <w:rFonts w:ascii="Arial" w:eastAsia="Arial" w:hAnsi="Arial" w:cs="Arial"/>
          <w:sz w:val="22"/>
          <w:szCs w:val="22"/>
        </w:rPr>
        <w:t xml:space="preserve">. Abingdon: Routledge. Available at: </w:t>
      </w:r>
      <w:hyperlink r:id="rId12">
        <w:r w:rsidRPr="0077613A">
          <w:rPr>
            <w:rStyle w:val="Hyperlink"/>
            <w:rFonts w:ascii="Arial" w:eastAsia="Arial" w:hAnsi="Arial" w:cs="Arial"/>
            <w:sz w:val="22"/>
            <w:szCs w:val="22"/>
          </w:rPr>
          <w:t>https://www.taylorfrancis.com/chapters/edit/10.4324/9780203783665-10/current-research-development-adaptation-advanced-old-age-peter-coleman-ann-hanlon</w:t>
        </w:r>
      </w:hyperlink>
    </w:p>
    <w:p w14:paraId="15059244" w14:textId="681C656D" w:rsidR="00360990" w:rsidRPr="0077613A" w:rsidRDefault="008D27AD" w:rsidP="0077613A">
      <w:pPr>
        <w:spacing w:before="240" w:after="240" w:line="360" w:lineRule="auto"/>
        <w:rPr>
          <w:rFonts w:ascii="Arial" w:eastAsia="Arial" w:hAnsi="Arial" w:cs="Arial"/>
          <w:sz w:val="22"/>
          <w:szCs w:val="22"/>
        </w:rPr>
      </w:pPr>
      <w:r w:rsidRPr="0077613A">
        <w:rPr>
          <w:rFonts w:ascii="Arial" w:eastAsia="Arial" w:hAnsi="Arial" w:cs="Arial"/>
          <w:sz w:val="22"/>
          <w:szCs w:val="22"/>
        </w:rPr>
        <w:t xml:space="preserve">Torn Stam, L. (2005) </w:t>
      </w:r>
      <w:r w:rsidRPr="0077613A">
        <w:rPr>
          <w:rFonts w:ascii="Arial" w:eastAsia="Arial" w:hAnsi="Arial" w:cs="Arial"/>
          <w:i/>
          <w:iCs/>
          <w:sz w:val="22"/>
          <w:szCs w:val="22"/>
        </w:rPr>
        <w:t>Gero transcendence: A Developmental Theory of Positive Aging</w:t>
      </w:r>
      <w:r w:rsidRPr="0077613A">
        <w:rPr>
          <w:rFonts w:ascii="Arial" w:eastAsia="Arial" w:hAnsi="Arial" w:cs="Arial"/>
          <w:sz w:val="22"/>
          <w:szCs w:val="22"/>
        </w:rPr>
        <w:t xml:space="preserve">. New York: Springer. Available at: </w:t>
      </w:r>
      <w:hyperlink r:id="rId13">
        <w:r w:rsidRPr="0077613A">
          <w:rPr>
            <w:rStyle w:val="Hyperlink"/>
            <w:rFonts w:ascii="Arial" w:eastAsia="Arial" w:hAnsi="Arial" w:cs="Arial"/>
            <w:sz w:val="22"/>
            <w:szCs w:val="22"/>
          </w:rPr>
          <w:t>https://books.google.com/books?id=J8871LEGDagC</w:t>
        </w:r>
      </w:hyperlink>
    </w:p>
    <w:sectPr w:rsidR="00360990" w:rsidRPr="0077613A" w:rsidSect="008D27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7AD"/>
    <w:rsid w:val="0004345C"/>
    <w:rsid w:val="003557E0"/>
    <w:rsid w:val="00360990"/>
    <w:rsid w:val="004F79F6"/>
    <w:rsid w:val="00560123"/>
    <w:rsid w:val="006D35B1"/>
    <w:rsid w:val="006E1D61"/>
    <w:rsid w:val="0077613A"/>
    <w:rsid w:val="008D27AD"/>
    <w:rsid w:val="00A37FE5"/>
    <w:rsid w:val="00A96B39"/>
    <w:rsid w:val="00BB3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F44BB"/>
  <w15:chartTrackingRefBased/>
  <w15:docId w15:val="{4EF739BB-D59F-DF4D-AE49-484CA952F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7AD"/>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8D27A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8D27A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8D27AD"/>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8D27AD"/>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8D27AD"/>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8D27AD"/>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8D27AD"/>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8D27AD"/>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8D27AD"/>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7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27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7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7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7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7AD"/>
    <w:rPr>
      <w:rFonts w:eastAsiaTheme="majorEastAsia" w:cstheme="majorBidi"/>
      <w:color w:val="272727" w:themeColor="text1" w:themeTint="D8"/>
    </w:rPr>
  </w:style>
  <w:style w:type="paragraph" w:styleId="Title">
    <w:name w:val="Title"/>
    <w:basedOn w:val="Normal"/>
    <w:next w:val="Normal"/>
    <w:link w:val="TitleChar"/>
    <w:uiPriority w:val="10"/>
    <w:qFormat/>
    <w:rsid w:val="008D27AD"/>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8D2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7AD"/>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8D2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7AD"/>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8D27AD"/>
    <w:rPr>
      <w:i/>
      <w:iCs/>
      <w:color w:val="404040" w:themeColor="text1" w:themeTint="BF"/>
    </w:rPr>
  </w:style>
  <w:style w:type="paragraph" w:styleId="ListParagraph">
    <w:name w:val="List Paragraph"/>
    <w:basedOn w:val="Normal"/>
    <w:uiPriority w:val="34"/>
    <w:qFormat/>
    <w:rsid w:val="008D27AD"/>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8D27AD"/>
    <w:rPr>
      <w:i/>
      <w:iCs/>
      <w:color w:val="0F4761" w:themeColor="accent1" w:themeShade="BF"/>
    </w:rPr>
  </w:style>
  <w:style w:type="paragraph" w:styleId="IntenseQuote">
    <w:name w:val="Intense Quote"/>
    <w:basedOn w:val="Normal"/>
    <w:next w:val="Normal"/>
    <w:link w:val="IntenseQuoteChar"/>
    <w:uiPriority w:val="30"/>
    <w:qFormat/>
    <w:rsid w:val="008D27A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8D27AD"/>
    <w:rPr>
      <w:i/>
      <w:iCs/>
      <w:color w:val="0F4761" w:themeColor="accent1" w:themeShade="BF"/>
    </w:rPr>
  </w:style>
  <w:style w:type="character" w:styleId="IntenseReference">
    <w:name w:val="Intense Reference"/>
    <w:basedOn w:val="DefaultParagraphFont"/>
    <w:uiPriority w:val="32"/>
    <w:qFormat/>
    <w:rsid w:val="008D27AD"/>
    <w:rPr>
      <w:b/>
      <w:bCs/>
      <w:smallCaps/>
      <w:color w:val="0F4761" w:themeColor="accent1" w:themeShade="BF"/>
      <w:spacing w:val="5"/>
    </w:rPr>
  </w:style>
  <w:style w:type="character" w:styleId="Hyperlink">
    <w:name w:val="Hyperlink"/>
    <w:basedOn w:val="DefaultParagraphFont"/>
    <w:uiPriority w:val="99"/>
    <w:unhideWhenUsed/>
    <w:rsid w:val="008D27AD"/>
    <w:rPr>
      <w:color w:val="467886"/>
      <w:u w:val="single"/>
    </w:rPr>
  </w:style>
  <w:style w:type="paragraph" w:styleId="TOC2">
    <w:name w:val="toc 2"/>
    <w:basedOn w:val="Normal"/>
    <w:next w:val="Normal"/>
    <w:uiPriority w:val="39"/>
    <w:unhideWhenUsed/>
    <w:rsid w:val="008D27AD"/>
    <w:pPr>
      <w:spacing w:after="100"/>
      <w:ind w:left="220"/>
    </w:pPr>
  </w:style>
  <w:style w:type="paragraph" w:styleId="TOC1">
    <w:name w:val="toc 1"/>
    <w:basedOn w:val="Normal"/>
    <w:next w:val="Normal"/>
    <w:uiPriority w:val="39"/>
    <w:unhideWhenUsed/>
    <w:rsid w:val="008D27AD"/>
    <w:pPr>
      <w:spacing w:after="100"/>
    </w:pPr>
  </w:style>
  <w:style w:type="paragraph" w:customStyle="1" w:styleId="s3">
    <w:name w:val="s3"/>
    <w:basedOn w:val="Normal"/>
    <w:rsid w:val="008D27AD"/>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s2">
    <w:name w:val="s2"/>
    <w:basedOn w:val="DefaultParagraphFont"/>
    <w:rsid w:val="008D27AD"/>
  </w:style>
  <w:style w:type="character" w:customStyle="1" w:styleId="apple-converted-space">
    <w:name w:val="apple-converted-space"/>
    <w:basedOn w:val="DefaultParagraphFont"/>
    <w:rsid w:val="008D27AD"/>
  </w:style>
  <w:style w:type="character" w:styleId="FollowedHyperlink">
    <w:name w:val="FollowedHyperlink"/>
    <w:basedOn w:val="DefaultParagraphFont"/>
    <w:uiPriority w:val="99"/>
    <w:semiHidden/>
    <w:unhideWhenUsed/>
    <w:rsid w:val="008D27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804-019-09332-1" TargetMode="External"/><Relationship Id="rId13" Type="http://schemas.openxmlformats.org/officeDocument/2006/relationships/hyperlink" Target="https://books.google.com/books?id=J8871LEGDagC" TargetMode="External"/><Relationship Id="rId3" Type="http://schemas.openxmlformats.org/officeDocument/2006/relationships/webSettings" Target="webSettings.xml"/><Relationship Id="rId7" Type="http://schemas.openxmlformats.org/officeDocument/2006/relationships/hyperlink" Target="https://link.springer.com/content/pdf/10.1007/978-3-031-24449-0.pdf" TargetMode="External"/><Relationship Id="rId12" Type="http://schemas.openxmlformats.org/officeDocument/2006/relationships/hyperlink" Target="https://www.taylorfrancis.com/chapters/edit/10.4324/9780203783665-10/current-research-development-adaptation-advanced-old-age-peter-coleman-ann-hanl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4616730110096810" TargetMode="External"/><Relationship Id="rId11" Type="http://schemas.openxmlformats.org/officeDocument/2006/relationships/hyperlink" Target="https://uel-repository.worktribe.com/OutputFile/503296" TargetMode="External"/><Relationship Id="rId5" Type="http://schemas.openxmlformats.org/officeDocument/2006/relationships/hyperlink" Target="https://link.springer.com/content/pdf/10.1007/978-3-031-24449-0.pdf" TargetMode="External"/><Relationship Id="rId15" Type="http://schemas.openxmlformats.org/officeDocument/2006/relationships/theme" Target="theme/theme1.xml"/><Relationship Id="rId10" Type="http://schemas.openxmlformats.org/officeDocument/2006/relationships/hyperlink" Target="https://journals.sagepub.com/doi/abs/10.1177/1757913915626193" TargetMode="External"/><Relationship Id="rId4" Type="http://schemas.openxmlformats.org/officeDocument/2006/relationships/hyperlink" Target="https://link.springer.com/article/10.1007/s10804-019-09332-1" TargetMode="External"/><Relationship Id="rId9" Type="http://schemas.openxmlformats.org/officeDocument/2006/relationships/hyperlink" Target="https://journals.lww.com/topicsingeriatricrehabilitation/fulltext/2002/03000/integrity_versus_despair__an_eriksonian_framework.3.asp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7</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Farhiya Adam</dc:creator>
  <cp:keywords/>
  <dc:description/>
  <cp:lastModifiedBy>Farhiya Adam</cp:lastModifiedBy>
  <cp:revision>3</cp:revision>
  <dcterms:created xsi:type="dcterms:W3CDTF">2026-03-30T21:35:00Z</dcterms:created>
  <dcterms:modified xsi:type="dcterms:W3CDTF">2026-03-31T20:03:00Z</dcterms:modified>
</cp:coreProperties>
</file>