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60421502"/>
        <w:docPartObj>
          <w:docPartGallery w:val="Cover Pages"/>
          <w:docPartUnique/>
        </w:docPartObj>
      </w:sdtPr>
      <w:sdtEndPr>
        <w:rPr>
          <w:rFonts w:eastAsiaTheme="minorHAnsi"/>
          <w:color w:val="auto"/>
          <w:lang w:val="en-GB"/>
        </w:rPr>
      </w:sdtEndPr>
      <w:sdtContent>
        <w:p w14:paraId="7E5BF8B0" w14:textId="691FE5E1" w:rsidR="00565D94" w:rsidRDefault="00565D94">
          <w:pPr>
            <w:pStyle w:val="NoSpacing"/>
            <w:spacing w:before="1540" w:after="240"/>
            <w:jc w:val="center"/>
            <w:rPr>
              <w:color w:val="4472C4" w:themeColor="accent1"/>
            </w:rPr>
          </w:pPr>
          <w:r>
            <w:rPr>
              <w:noProof/>
              <w:color w:val="4472C4" w:themeColor="accent1"/>
            </w:rPr>
            <w:drawing>
              <wp:inline distT="0" distB="0" distL="0" distR="0" wp14:anchorId="0F575867" wp14:editId="24E72B4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5C9647047B049469A818FF952CC836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9606C61" w14:textId="67841262" w:rsidR="00565D94" w:rsidRDefault="00565D9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legal process</w:t>
              </w:r>
            </w:p>
          </w:sdtContent>
        </w:sdt>
        <w:sdt>
          <w:sdtPr>
            <w:rPr>
              <w:color w:val="4472C4" w:themeColor="accent1"/>
              <w:sz w:val="28"/>
              <w:szCs w:val="28"/>
            </w:rPr>
            <w:alias w:val="Subtitle"/>
            <w:tag w:val=""/>
            <w:id w:val="328029620"/>
            <w:placeholder>
              <w:docPart w:val="EC15333D5C6140318D1F5F6299314D21"/>
            </w:placeholder>
            <w:dataBinding w:prefixMappings="xmlns:ns0='http://purl.org/dc/elements/1.1/' xmlns:ns1='http://schemas.openxmlformats.org/package/2006/metadata/core-properties' " w:xpath="/ns1:coreProperties[1]/ns0:subject[1]" w:storeItemID="{6C3C8BC8-F283-45AE-878A-BAB7291924A1}"/>
            <w:text/>
          </w:sdtPr>
          <w:sdtContent>
            <w:p w14:paraId="732A8334" w14:textId="44C56118" w:rsidR="00565D94" w:rsidRDefault="00565D94">
              <w:pPr>
                <w:pStyle w:val="NoSpacing"/>
                <w:jc w:val="center"/>
                <w:rPr>
                  <w:color w:val="4472C4" w:themeColor="accent1"/>
                  <w:sz w:val="28"/>
                  <w:szCs w:val="28"/>
                </w:rPr>
              </w:pPr>
              <w:r>
                <w:rPr>
                  <w:color w:val="4472C4" w:themeColor="accent1"/>
                  <w:sz w:val="28"/>
                  <w:szCs w:val="28"/>
                </w:rPr>
                <w:t>BM</w:t>
              </w:r>
              <w:r w:rsidR="00B26436">
                <w:rPr>
                  <w:color w:val="4472C4" w:themeColor="accent1"/>
                  <w:sz w:val="28"/>
                  <w:szCs w:val="28"/>
                </w:rPr>
                <w:t>PL4005</w:t>
              </w:r>
            </w:p>
          </w:sdtContent>
        </w:sdt>
        <w:p w14:paraId="40F8440C" w14:textId="791D2E28" w:rsidR="00565D94" w:rsidRDefault="00565D9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375188A" wp14:editId="4E3B51B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A6CD44A" w14:textId="366A8819" w:rsidR="00565D94" w:rsidRDefault="00565D94">
                                    <w:pPr>
                                      <w:pStyle w:val="NoSpacing"/>
                                      <w:spacing w:after="40"/>
                                      <w:jc w:val="center"/>
                                      <w:rPr>
                                        <w:caps/>
                                        <w:color w:val="4472C4" w:themeColor="accent1"/>
                                        <w:sz w:val="28"/>
                                        <w:szCs w:val="28"/>
                                      </w:rPr>
                                    </w:pPr>
                                    <w:r>
                                      <w:rPr>
                                        <w:caps/>
                                        <w:color w:val="4472C4" w:themeColor="accent1"/>
                                        <w:sz w:val="28"/>
                                        <w:szCs w:val="28"/>
                                      </w:rPr>
                                      <w:t>Completed by</w:t>
                                    </w:r>
                                  </w:p>
                                </w:sdtContent>
                              </w:sdt>
                              <w:p w14:paraId="4C18E7E9" w14:textId="59D6A9C7" w:rsidR="00565D94" w:rsidRDefault="00565D9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nazim amin</w:t>
                                    </w:r>
                                  </w:sdtContent>
                                </w:sdt>
                              </w:p>
                              <w:p w14:paraId="7285A4FE" w14:textId="37EC38C2" w:rsidR="00565D94" w:rsidRDefault="00565D9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ASSIGNMENT 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375188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A6CD44A" w14:textId="366A8819" w:rsidR="00565D94" w:rsidRDefault="00565D94">
                              <w:pPr>
                                <w:pStyle w:val="NoSpacing"/>
                                <w:spacing w:after="40"/>
                                <w:jc w:val="center"/>
                                <w:rPr>
                                  <w:caps/>
                                  <w:color w:val="4472C4" w:themeColor="accent1"/>
                                  <w:sz w:val="28"/>
                                  <w:szCs w:val="28"/>
                                </w:rPr>
                              </w:pPr>
                              <w:r>
                                <w:rPr>
                                  <w:caps/>
                                  <w:color w:val="4472C4" w:themeColor="accent1"/>
                                  <w:sz w:val="28"/>
                                  <w:szCs w:val="28"/>
                                </w:rPr>
                                <w:t>Completed by</w:t>
                              </w:r>
                            </w:p>
                          </w:sdtContent>
                        </w:sdt>
                        <w:p w14:paraId="4C18E7E9" w14:textId="59D6A9C7" w:rsidR="00565D94" w:rsidRDefault="00565D9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nazim amin</w:t>
                              </w:r>
                            </w:sdtContent>
                          </w:sdt>
                        </w:p>
                        <w:p w14:paraId="7285A4FE" w14:textId="37EC38C2" w:rsidR="00565D94" w:rsidRDefault="00565D9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ASSIGNMENT 2.</w:t>
                              </w:r>
                            </w:sdtContent>
                          </w:sdt>
                        </w:p>
                      </w:txbxContent>
                    </v:textbox>
                    <w10:wrap anchorx="margin" anchory="page"/>
                  </v:shape>
                </w:pict>
              </mc:Fallback>
            </mc:AlternateContent>
          </w:r>
          <w:r>
            <w:rPr>
              <w:noProof/>
              <w:color w:val="4472C4" w:themeColor="accent1"/>
            </w:rPr>
            <w:drawing>
              <wp:inline distT="0" distB="0" distL="0" distR="0" wp14:anchorId="54BB467A" wp14:editId="2F8BA47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4A66D9" w14:textId="328C0816" w:rsidR="00565D94" w:rsidRDefault="00565D94">
          <w:r>
            <w:br w:type="page"/>
          </w:r>
        </w:p>
      </w:sdtContent>
    </w:sdt>
    <w:p w14:paraId="7B30B0C6" w14:textId="45D4DA84" w:rsidR="00702E38" w:rsidRDefault="00565D94">
      <w:pPr>
        <w:rPr>
          <w:rFonts w:ascii="Arial" w:hAnsi="Arial" w:cs="Arial"/>
          <w:b/>
          <w:bCs/>
          <w:sz w:val="20"/>
          <w:szCs w:val="20"/>
          <w:u w:val="single"/>
        </w:rPr>
      </w:pPr>
      <w:r>
        <w:rPr>
          <w:rFonts w:ascii="Arial" w:hAnsi="Arial" w:cs="Arial"/>
          <w:b/>
          <w:bCs/>
          <w:sz w:val="20"/>
          <w:szCs w:val="20"/>
          <w:u w:val="single"/>
        </w:rPr>
        <w:lastRenderedPageBreak/>
        <w:t>Assignment title:  It</w:t>
      </w:r>
      <w:r w:rsidR="005E3DC6">
        <w:rPr>
          <w:rFonts w:ascii="Arial" w:hAnsi="Arial" w:cs="Arial"/>
          <w:b/>
          <w:bCs/>
          <w:sz w:val="20"/>
          <w:szCs w:val="20"/>
          <w:u w:val="single"/>
        </w:rPr>
        <w:t xml:space="preserve"> may be argued that the principle of statutory interpretation diminishes the status of legislation as the primary source of law in the U.K Discuss:</w:t>
      </w:r>
    </w:p>
    <w:p w14:paraId="11CFD332" w14:textId="06A17506" w:rsidR="005E3DC6" w:rsidRDefault="005E3DC6">
      <w:pPr>
        <w:rPr>
          <w:rFonts w:ascii="Arial" w:hAnsi="Arial" w:cs="Arial"/>
          <w:b/>
          <w:bCs/>
          <w:sz w:val="20"/>
          <w:szCs w:val="20"/>
          <w:u w:val="single"/>
        </w:rPr>
      </w:pPr>
    </w:p>
    <w:p w14:paraId="7B130958" w14:textId="67AC42FE" w:rsidR="005E3DC6" w:rsidRDefault="005E3DC6">
      <w:pPr>
        <w:rPr>
          <w:rFonts w:ascii="Arial" w:hAnsi="Arial" w:cs="Arial"/>
          <w:b/>
          <w:bCs/>
          <w:sz w:val="20"/>
          <w:szCs w:val="20"/>
          <w:u w:val="single"/>
        </w:rPr>
      </w:pPr>
      <w:r>
        <w:rPr>
          <w:rFonts w:ascii="Arial" w:hAnsi="Arial" w:cs="Arial"/>
          <w:b/>
          <w:bCs/>
          <w:sz w:val="20"/>
          <w:szCs w:val="20"/>
          <w:u w:val="single"/>
        </w:rPr>
        <w:t>Introduction.</w:t>
      </w:r>
    </w:p>
    <w:p w14:paraId="5692EB01" w14:textId="5D4E724F" w:rsidR="005E3DC6" w:rsidRDefault="005E3DC6">
      <w:pPr>
        <w:rPr>
          <w:rFonts w:ascii="Arial" w:hAnsi="Arial" w:cs="Arial"/>
          <w:b/>
          <w:bCs/>
          <w:sz w:val="20"/>
          <w:szCs w:val="20"/>
          <w:u w:val="single"/>
        </w:rPr>
      </w:pPr>
    </w:p>
    <w:p w14:paraId="2574A2A6" w14:textId="3B151FA7" w:rsidR="005B6644" w:rsidRPr="005B6644" w:rsidRDefault="005B6644" w:rsidP="005B6644">
      <w:pPr>
        <w:rPr>
          <w:rFonts w:ascii="Arial" w:hAnsi="Arial" w:cs="Arial"/>
          <w:sz w:val="18"/>
          <w:szCs w:val="18"/>
        </w:rPr>
      </w:pPr>
      <w:r w:rsidRPr="005B6644">
        <w:rPr>
          <w:rFonts w:ascii="Arial" w:hAnsi="Arial" w:cs="Arial"/>
          <w:sz w:val="18"/>
          <w:szCs w:val="18"/>
        </w:rPr>
        <w:t xml:space="preserve">As the language used in parliamentary legislation can be vague, confusing or have a variety of interpretations, interpretation of the law is necessary. For example, the 1991 Dangerous Dogs Act required legislative interpretation due to disputes over the definition of "breed" and "breed". It is no longer clear whether "Go-Peds" should be classified as scooters or cars </w:t>
      </w:r>
      <w:proofErr w:type="gramStart"/>
      <w:r w:rsidRPr="005B6644">
        <w:rPr>
          <w:rFonts w:ascii="Arial" w:hAnsi="Arial" w:cs="Arial"/>
          <w:sz w:val="18"/>
          <w:szCs w:val="18"/>
        </w:rPr>
        <w:t>in light of</w:t>
      </w:r>
      <w:proofErr w:type="gramEnd"/>
      <w:r w:rsidRPr="005B6644">
        <w:rPr>
          <w:rFonts w:ascii="Arial" w:hAnsi="Arial" w:cs="Arial"/>
          <w:sz w:val="18"/>
          <w:szCs w:val="18"/>
        </w:rPr>
        <w:t xml:space="preserve"> recent lawsuits such as the 2000 </w:t>
      </w:r>
      <w:r w:rsidRPr="005B6644">
        <w:rPr>
          <w:rFonts w:ascii="Arial" w:hAnsi="Arial" w:cs="Arial"/>
          <w:sz w:val="18"/>
          <w:szCs w:val="18"/>
        </w:rPr>
        <w:t>York’s</w:t>
      </w:r>
      <w:r w:rsidRPr="005B6644">
        <w:rPr>
          <w:rFonts w:ascii="Arial" w:hAnsi="Arial" w:cs="Arial"/>
          <w:sz w:val="18"/>
          <w:szCs w:val="18"/>
        </w:rPr>
        <w:t xml:space="preserve"> v. Saddington case. One of the key points in Brock v DPP was (1993). There is also a need for legal explanations as the meaning of words can change over time. The meaning of a word in law can have a significant effect on the outcome of a trial and that is why the interpretation of law is so important.</w:t>
      </w:r>
    </w:p>
    <w:p w14:paraId="06907BDF" w14:textId="77777777" w:rsidR="005B6644" w:rsidRPr="005B6644" w:rsidRDefault="005B6644" w:rsidP="005B6644">
      <w:pPr>
        <w:rPr>
          <w:rFonts w:ascii="Arial" w:hAnsi="Arial" w:cs="Arial"/>
          <w:sz w:val="18"/>
          <w:szCs w:val="18"/>
        </w:rPr>
      </w:pPr>
      <w:r w:rsidRPr="005B6644">
        <w:rPr>
          <w:rFonts w:ascii="Arial" w:hAnsi="Arial" w:cs="Arial"/>
          <w:sz w:val="18"/>
          <w:szCs w:val="18"/>
        </w:rPr>
        <w:t xml:space="preserve">The interpretation of the law is based on both external and internal tools that help courts better understand the law in question. Long headings that are short enough to give a satisfactory explanation of the law, as well as chapter headings, are considered internal aids. Preface, headings and appendices and short headline. External assistance can help interpret the law of the Althing, but it is not part of the law itself. External aids are things like Hansard, a public record of all meetings, </w:t>
      </w:r>
      <w:proofErr w:type="gramStart"/>
      <w:r w:rsidRPr="005B6644">
        <w:rPr>
          <w:rFonts w:ascii="Arial" w:hAnsi="Arial" w:cs="Arial"/>
          <w:sz w:val="18"/>
          <w:szCs w:val="18"/>
        </w:rPr>
        <w:t>dictionaries</w:t>
      </w:r>
      <w:proofErr w:type="gramEnd"/>
      <w:r w:rsidRPr="005B6644">
        <w:rPr>
          <w:rFonts w:ascii="Arial" w:hAnsi="Arial" w:cs="Arial"/>
          <w:sz w:val="18"/>
          <w:szCs w:val="18"/>
        </w:rPr>
        <w:t xml:space="preserve"> and international conventions, which are rules or directives that have been adopted into English law by the governments of other countries.</w:t>
      </w:r>
    </w:p>
    <w:p w14:paraId="77ABC68A" w14:textId="77777777" w:rsidR="005B6644" w:rsidRDefault="005B6644" w:rsidP="005B6644">
      <w:pPr>
        <w:pStyle w:val="Heading1"/>
        <w:ind w:firstLine="0"/>
        <w:jc w:val="left"/>
        <w:rPr>
          <w:rFonts w:ascii="Arial" w:hAnsi="Arial" w:cs="Arial"/>
          <w:sz w:val="18"/>
          <w:szCs w:val="18"/>
          <w:u w:val="single"/>
        </w:rPr>
      </w:pPr>
    </w:p>
    <w:p w14:paraId="3985ADBB" w14:textId="3F59EB7C" w:rsidR="005B6644" w:rsidRDefault="005B6644" w:rsidP="005B6644">
      <w:pPr>
        <w:pStyle w:val="Heading1"/>
        <w:ind w:firstLine="0"/>
        <w:jc w:val="left"/>
        <w:rPr>
          <w:rFonts w:ascii="Arial" w:hAnsi="Arial" w:cs="Arial"/>
          <w:sz w:val="18"/>
          <w:szCs w:val="18"/>
          <w:u w:val="single"/>
        </w:rPr>
      </w:pPr>
      <w:r w:rsidRPr="005B6644">
        <w:rPr>
          <w:rFonts w:ascii="Arial" w:hAnsi="Arial" w:cs="Arial"/>
          <w:sz w:val="18"/>
          <w:szCs w:val="18"/>
          <w:u w:val="single"/>
        </w:rPr>
        <w:t xml:space="preserve"> </w:t>
      </w:r>
      <w:r w:rsidRPr="005B6644">
        <w:rPr>
          <w:rFonts w:ascii="Arial" w:hAnsi="Arial" w:cs="Arial"/>
          <w:sz w:val="20"/>
          <w:szCs w:val="20"/>
          <w:u w:val="single"/>
        </w:rPr>
        <w:t>The Rule of Literal Interpretation</w:t>
      </w:r>
      <w:r w:rsidRPr="005B6644">
        <w:rPr>
          <w:rFonts w:ascii="Arial" w:hAnsi="Arial" w:cs="Arial"/>
          <w:sz w:val="18"/>
          <w:szCs w:val="18"/>
          <w:u w:val="single"/>
        </w:rPr>
        <w:t>.</w:t>
      </w:r>
      <w:r>
        <w:rPr>
          <w:rFonts w:ascii="Arial" w:hAnsi="Arial" w:cs="Arial"/>
          <w:sz w:val="18"/>
          <w:szCs w:val="18"/>
          <w:u w:val="single"/>
        </w:rPr>
        <w:t xml:space="preserve">   </w:t>
      </w:r>
    </w:p>
    <w:p w14:paraId="7843E529" w14:textId="7F5A78C9" w:rsidR="005B6644" w:rsidRPr="005B6644" w:rsidRDefault="005B6644" w:rsidP="005B6644">
      <w:pPr>
        <w:rPr>
          <w:rFonts w:ascii="Arial" w:hAnsi="Arial" w:cs="Arial"/>
          <w:sz w:val="18"/>
          <w:szCs w:val="18"/>
        </w:rPr>
      </w:pPr>
      <w:r w:rsidRPr="005B6644">
        <w:rPr>
          <w:rFonts w:ascii="Arial" w:hAnsi="Arial" w:cs="Arial"/>
          <w:sz w:val="18"/>
          <w:szCs w:val="18"/>
        </w:rPr>
        <w:t xml:space="preserve">Courts that have adopted the "ritual principle" will give the words a literal meaning, no matter how ridiculous and unrealistic it may sound. In the R V Judge of London City Court (1982), Lord Escher noted the following regarding a literal approach: “You must respect the law no matter what, even if you find it ridiculous. whether the legislature is involved in the absurdity and not the courts themselves. Defendant </w:t>
      </w:r>
      <w:r w:rsidR="00621E3D" w:rsidRPr="005B6644">
        <w:rPr>
          <w:rFonts w:ascii="Arial" w:hAnsi="Arial" w:cs="Arial"/>
          <w:sz w:val="18"/>
          <w:szCs w:val="18"/>
        </w:rPr>
        <w:t>Whitely</w:t>
      </w:r>
      <w:r w:rsidRPr="005B6644">
        <w:rPr>
          <w:rFonts w:ascii="Arial" w:hAnsi="Arial" w:cs="Arial"/>
          <w:sz w:val="18"/>
          <w:szCs w:val="18"/>
        </w:rPr>
        <w:t xml:space="preserve"> was accused of having been "to the suffrage of an individual" under the chapter of law in </w:t>
      </w:r>
      <w:r w:rsidR="00621E3D" w:rsidRPr="005B6644">
        <w:rPr>
          <w:rFonts w:ascii="Arial" w:hAnsi="Arial" w:cs="Arial"/>
          <w:sz w:val="18"/>
          <w:szCs w:val="18"/>
        </w:rPr>
        <w:t>Whitely</w:t>
      </w:r>
      <w:r w:rsidRPr="005B6644">
        <w:rPr>
          <w:rFonts w:ascii="Arial" w:hAnsi="Arial" w:cs="Arial"/>
          <w:sz w:val="18"/>
          <w:szCs w:val="18"/>
        </w:rPr>
        <w:t xml:space="preserve"> v. Chappell (1868). He was still listed as a voter on the electoral roll, despite his death. The jury found the defendant innocent as the word "vote" was interpreted literally. Another important case involving the murder of a railway worker while performing maintenance work, especially when lubricating a railway switch, is London and the North Eastern Railway v. Berryman (1946). His widow demanded compensation from the railway company under the Fatal Accident Act, which stipulated </w:t>
      </w:r>
      <w:proofErr w:type="gramStart"/>
      <w:r w:rsidRPr="005B6644">
        <w:rPr>
          <w:rFonts w:ascii="Arial" w:hAnsi="Arial" w:cs="Arial"/>
          <w:sz w:val="18"/>
          <w:szCs w:val="18"/>
        </w:rPr>
        <w:t>that workers</w:t>
      </w:r>
      <w:proofErr w:type="gramEnd"/>
      <w:r w:rsidRPr="005B6644">
        <w:rPr>
          <w:rFonts w:ascii="Arial" w:hAnsi="Arial" w:cs="Arial"/>
          <w:sz w:val="18"/>
          <w:szCs w:val="18"/>
        </w:rPr>
        <w:t xml:space="preserve"> on or near the railway line should be provided with benefits in order to replace or repair it. The claim was dismissed because the court interpreted "re-installation" and "repair" as precluding lubrication of railway switches.</w:t>
      </w:r>
    </w:p>
    <w:p w14:paraId="158B6F93" w14:textId="23A68EFA" w:rsidR="005B6644" w:rsidRDefault="005B6644" w:rsidP="005B6644">
      <w:pPr>
        <w:rPr>
          <w:rFonts w:ascii="Arial" w:hAnsi="Arial" w:cs="Arial"/>
          <w:sz w:val="18"/>
          <w:szCs w:val="18"/>
        </w:rPr>
      </w:pPr>
      <w:r w:rsidRPr="005B6644">
        <w:rPr>
          <w:rFonts w:ascii="Arial" w:hAnsi="Arial" w:cs="Arial"/>
          <w:sz w:val="18"/>
          <w:szCs w:val="18"/>
        </w:rPr>
        <w:t xml:space="preserve">The letter rule is </w:t>
      </w:r>
      <w:r w:rsidR="00621E3D" w:rsidRPr="005B6644">
        <w:rPr>
          <w:rFonts w:ascii="Arial" w:hAnsi="Arial" w:cs="Arial"/>
          <w:sz w:val="18"/>
          <w:szCs w:val="18"/>
        </w:rPr>
        <w:t>favourable</w:t>
      </w:r>
      <w:r w:rsidRPr="005B6644">
        <w:rPr>
          <w:rFonts w:ascii="Arial" w:hAnsi="Arial" w:cs="Arial"/>
          <w:sz w:val="18"/>
          <w:szCs w:val="18"/>
        </w:rPr>
        <w:t>, for example, because the Althingi entrusts the courts with complying with the language of the Althingi. An elected body, not appointed judges, has the power to legislate as long as a literal standard is met. The use of a literal rule also ensures that the law is understood as it is written, which allows citizens to know exactly how the courts will read the law. It is difficult to put all the reasons that Althingi has specified in all the laws of the Althingi. There are certain options that are unfair and pointless if you stick to the literal rule. The law would be vague if a literal rule were applied where words could be interpreted in different ways.</w:t>
      </w:r>
    </w:p>
    <w:p w14:paraId="47C7DF8A" w14:textId="77777777" w:rsidR="00621E3D" w:rsidRPr="00621E3D" w:rsidRDefault="00621E3D" w:rsidP="005B6644">
      <w:pPr>
        <w:rPr>
          <w:rFonts w:ascii="Arial" w:hAnsi="Arial" w:cs="Arial"/>
          <w:sz w:val="18"/>
          <w:szCs w:val="18"/>
        </w:rPr>
      </w:pPr>
    </w:p>
    <w:p w14:paraId="2FBDC1BA" w14:textId="58DF361F" w:rsidR="00621E3D" w:rsidRDefault="00621E3D" w:rsidP="00621E3D">
      <w:pPr>
        <w:pStyle w:val="Heading1"/>
        <w:ind w:firstLine="0"/>
        <w:jc w:val="left"/>
        <w:rPr>
          <w:rFonts w:ascii="Arial" w:hAnsi="Arial" w:cs="Arial"/>
          <w:sz w:val="20"/>
          <w:szCs w:val="20"/>
          <w:u w:val="single"/>
        </w:rPr>
      </w:pPr>
      <w:r w:rsidRPr="00621E3D">
        <w:rPr>
          <w:rFonts w:ascii="Arial" w:hAnsi="Arial" w:cs="Arial"/>
          <w:sz w:val="20"/>
          <w:szCs w:val="20"/>
          <w:u w:val="single"/>
        </w:rPr>
        <w:t>The Law of the Land</w:t>
      </w:r>
    </w:p>
    <w:p w14:paraId="3445B19E" w14:textId="2AEEA826" w:rsidR="00621E3D" w:rsidRDefault="00621E3D" w:rsidP="00621E3D">
      <w:pPr>
        <w:rPr>
          <w:rFonts w:ascii="Arial" w:hAnsi="Arial" w:cs="Arial"/>
          <w:sz w:val="18"/>
          <w:szCs w:val="18"/>
        </w:rPr>
      </w:pPr>
      <w:r w:rsidRPr="00621E3D">
        <w:rPr>
          <w:rFonts w:ascii="Arial" w:hAnsi="Arial" w:cs="Arial"/>
          <w:sz w:val="18"/>
          <w:szCs w:val="18"/>
        </w:rPr>
        <w:t xml:space="preserve">The Golden Guide is a new interpretation of a literal rule called the Golden Rule. With a literal rule of interpretation, if the court is faced with an interpretation that could lead to a ridiculous verdict, the golden rule is used. Restrictive Interpretation of the Golden Rule: Lord Reid's Commentary in Jones v. DPP (1962) "As a basic principle of all laws, it is forbidden to deviate from the literal meaning of a legal provision. If a word or phrase has many meanings, the only option is to choose one of them. "R v Allen, Inc. is an example of a case that used the Golden Rule (1872). while your spouse was still alive, you were breaking the law. In the case of Re-Sigsworth (1935), the son killed his mother, who left no will before her death, and so this was an example of the "golden rule". Despite the fact that the </w:t>
      </w:r>
      <w:r w:rsidRPr="00621E3D">
        <w:rPr>
          <w:rFonts w:ascii="Arial" w:hAnsi="Arial" w:cs="Arial"/>
          <w:sz w:val="18"/>
          <w:szCs w:val="18"/>
        </w:rPr>
        <w:t>behaviour</w:t>
      </w:r>
      <w:r w:rsidRPr="00621E3D">
        <w:rPr>
          <w:rFonts w:ascii="Arial" w:hAnsi="Arial" w:cs="Arial"/>
          <w:sz w:val="18"/>
          <w:szCs w:val="18"/>
        </w:rPr>
        <w:t xml:space="preserve"> itself was simple and unequivocal, the court refused to allow the son to profit from his crime by inheriting his mother's </w:t>
      </w:r>
      <w:r w:rsidRPr="00621E3D">
        <w:rPr>
          <w:rFonts w:ascii="Arial" w:hAnsi="Arial" w:cs="Arial"/>
          <w:sz w:val="18"/>
          <w:szCs w:val="18"/>
        </w:rPr>
        <w:t>problems. The</w:t>
      </w:r>
      <w:r w:rsidRPr="00621E3D">
        <w:rPr>
          <w:rFonts w:ascii="Arial" w:hAnsi="Arial" w:cs="Arial"/>
          <w:sz w:val="18"/>
          <w:szCs w:val="18"/>
        </w:rPr>
        <w:t xml:space="preserve"> Golden Rule, with a few exceptions, is fully compliant with legal restrictions. The golden rule can also be used as a solution if the letter rule does not work</w:t>
      </w:r>
      <w:r>
        <w:rPr>
          <w:rFonts w:ascii="Arial" w:hAnsi="Arial" w:cs="Arial"/>
          <w:sz w:val="18"/>
          <w:szCs w:val="18"/>
        </w:rPr>
        <w:t xml:space="preserve"> </w:t>
      </w:r>
      <w:r w:rsidRPr="00621E3D">
        <w:rPr>
          <w:rFonts w:ascii="Arial" w:hAnsi="Arial" w:cs="Arial"/>
          <w:sz w:val="18"/>
          <w:szCs w:val="18"/>
        </w:rPr>
        <w:t>as</w:t>
      </w:r>
      <w:r>
        <w:rPr>
          <w:rFonts w:ascii="Arial" w:hAnsi="Arial" w:cs="Arial"/>
          <w:sz w:val="18"/>
          <w:szCs w:val="18"/>
        </w:rPr>
        <w:t xml:space="preserve"> </w:t>
      </w:r>
      <w:r w:rsidRPr="00621E3D">
        <w:rPr>
          <w:rFonts w:ascii="Arial" w:hAnsi="Arial" w:cs="Arial"/>
          <w:sz w:val="18"/>
          <w:szCs w:val="18"/>
        </w:rPr>
        <w:lastRenderedPageBreak/>
        <w:t>wording in law has more than one meaning, courts can use the golden rule to determine which interpretation is most appropriate. The use of a literal rule can lead to unnatural consequences; when the golden rule is applied, reasonable conclusions can be drawn. The golden rule is often misunderstood due to its limited use. As a result, it is impossible to predict when the courts will use it, which makes some areas of the law unclear.</w:t>
      </w:r>
    </w:p>
    <w:p w14:paraId="20B583D6" w14:textId="6E8F6DE6" w:rsidR="00621E3D" w:rsidRPr="00672F47" w:rsidRDefault="00621E3D" w:rsidP="00621E3D">
      <w:pPr>
        <w:rPr>
          <w:rFonts w:ascii="Arial" w:hAnsi="Arial" w:cs="Arial"/>
          <w:sz w:val="20"/>
          <w:szCs w:val="20"/>
          <w:u w:val="single"/>
        </w:rPr>
      </w:pPr>
    </w:p>
    <w:p w14:paraId="69708D45" w14:textId="77777777" w:rsidR="00672F47" w:rsidRPr="00672F47" w:rsidRDefault="00672F47" w:rsidP="00672F47">
      <w:pPr>
        <w:pStyle w:val="Heading1"/>
        <w:ind w:firstLine="0"/>
        <w:jc w:val="left"/>
        <w:rPr>
          <w:rFonts w:ascii="Arial" w:hAnsi="Arial" w:cs="Arial"/>
          <w:sz w:val="20"/>
          <w:szCs w:val="20"/>
          <w:u w:val="single"/>
        </w:rPr>
      </w:pPr>
      <w:r w:rsidRPr="00672F47">
        <w:rPr>
          <w:rFonts w:ascii="Arial" w:hAnsi="Arial" w:cs="Arial"/>
          <w:sz w:val="20"/>
          <w:szCs w:val="20"/>
          <w:u w:val="single"/>
        </w:rPr>
        <w:t>The Rule Against Harmful Behavior</w:t>
      </w:r>
    </w:p>
    <w:p w14:paraId="680B6DE5" w14:textId="77777777" w:rsidR="00672F47" w:rsidRPr="00FA0732" w:rsidRDefault="00672F47" w:rsidP="00672F47">
      <w:pPr>
        <w:rPr>
          <w:rFonts w:ascii="Arial" w:hAnsi="Arial" w:cs="Arial"/>
          <w:sz w:val="18"/>
          <w:szCs w:val="18"/>
        </w:rPr>
      </w:pPr>
      <w:r w:rsidRPr="00FA0732">
        <w:rPr>
          <w:rFonts w:ascii="Arial" w:hAnsi="Arial" w:cs="Arial"/>
          <w:sz w:val="18"/>
          <w:szCs w:val="18"/>
        </w:rPr>
        <w:t xml:space="preserve">The prank rule gives judges a little more leeway than the other two rules. According to Haydon, the courts will have to go back to the current law to find out what purpose the new parliamentary law was to serve to fill the void. This is known as the Rule of Mischief (1584). An ordinary prostitute who stays or is harassed on the streets or in public places for the purpose of prostitution is a violation of the Act on Street Offenses from 1959, which states in the first paragraph. The injury rule was used in Smith v. Hughes (1960) to interpret this provision. Six women were arrested on suspicion of crime while sitting on the balcony or windows on the first floor instead of outside. The women either shouted at the men or slammed their windows to try to get their attention. Each of the women claimed to be innocent because they were not on the street. Lord Parker's discoveries led him to condemn them all. "The damage that this law wants to do to me is being assessed. It is obvious to everyone that attempts have been made to clean the streets so that people can walk the streets without being touched or harassed by prostitutes. </w:t>
      </w:r>
      <w:proofErr w:type="gramStart"/>
      <w:r w:rsidRPr="00FA0732">
        <w:rPr>
          <w:rFonts w:ascii="Arial" w:hAnsi="Arial" w:cs="Arial"/>
          <w:sz w:val="18"/>
          <w:szCs w:val="18"/>
        </w:rPr>
        <w:t>as long as</w:t>
      </w:r>
      <w:proofErr w:type="gramEnd"/>
      <w:r w:rsidRPr="00FA0732">
        <w:rPr>
          <w:rFonts w:ascii="Arial" w:hAnsi="Arial" w:cs="Arial"/>
          <w:sz w:val="18"/>
          <w:szCs w:val="18"/>
        </w:rPr>
        <w:t xml:space="preserve"> the prostitute is seen by potential clients, from this point of view. </w:t>
      </w:r>
      <w:proofErr w:type="gramStart"/>
      <w:r w:rsidRPr="00FA0732">
        <w:rPr>
          <w:rFonts w:ascii="Arial" w:hAnsi="Arial" w:cs="Arial"/>
          <w:sz w:val="18"/>
          <w:szCs w:val="18"/>
        </w:rPr>
        <w:t>”A</w:t>
      </w:r>
      <w:proofErr w:type="gramEnd"/>
      <w:r w:rsidRPr="00FA0732">
        <w:rPr>
          <w:rFonts w:ascii="Arial" w:hAnsi="Arial" w:cs="Arial"/>
          <w:sz w:val="18"/>
          <w:szCs w:val="18"/>
        </w:rPr>
        <w:t xml:space="preserve"> taxi driver was prosecuted for“ working for rent on the street ”without permission in Eastbourne City Council v Stirling (2000), which applied the prank. Because his car was illegally parked at a taximeter at the train station, the driver denied guilt and said he had parked on private property and not on the street. Using Smith v. Hughes, the court found that drivers who park their cars in such a way that their service is obvious to pedestrians have practiced extortion from that business and have therefore been guilty of that charge.</w:t>
      </w:r>
    </w:p>
    <w:p w14:paraId="1983E899" w14:textId="1B6843E1" w:rsidR="00672F47" w:rsidRDefault="00672F47" w:rsidP="00672F47">
      <w:pPr>
        <w:rPr>
          <w:rFonts w:ascii="Arial" w:hAnsi="Arial" w:cs="Arial"/>
          <w:sz w:val="18"/>
          <w:szCs w:val="18"/>
        </w:rPr>
      </w:pPr>
      <w:r w:rsidRPr="00FA0732">
        <w:rPr>
          <w:rFonts w:ascii="Arial" w:hAnsi="Arial" w:cs="Arial"/>
          <w:sz w:val="18"/>
          <w:szCs w:val="18"/>
        </w:rPr>
        <w:t>The benefit of the damages rule is that judges can look back at previous legislation to see if any gaps in the coverage have been filled. Since 1969, the Judiciary Committee has recommended that the principle of damages be the private rule used in the interpretation of law. The possibility of legislation of individual courts and the tendency of judges to fill in the gaps left by legislators by applying their own legal interpretations are two of the main disadvantages of using the tort rule. Lawyers cannot give their clients good advice because of this rule as they have no idea how and when it will be applied or what effect it will have.</w:t>
      </w:r>
    </w:p>
    <w:p w14:paraId="0A00D2DA" w14:textId="5CA5ACF1" w:rsidR="00FA0732" w:rsidRDefault="00FA0732" w:rsidP="00672F47">
      <w:pPr>
        <w:rPr>
          <w:rFonts w:ascii="Arial" w:hAnsi="Arial" w:cs="Arial"/>
          <w:sz w:val="18"/>
          <w:szCs w:val="18"/>
        </w:rPr>
      </w:pPr>
    </w:p>
    <w:p w14:paraId="30E7789E" w14:textId="49437409" w:rsidR="00FA0732" w:rsidRDefault="00FA0732" w:rsidP="00FA0732">
      <w:pPr>
        <w:pStyle w:val="Heading1"/>
        <w:ind w:firstLine="0"/>
        <w:jc w:val="left"/>
        <w:rPr>
          <w:rFonts w:ascii="Arial" w:hAnsi="Arial" w:cs="Arial"/>
          <w:sz w:val="20"/>
          <w:szCs w:val="20"/>
          <w:u w:val="single"/>
        </w:rPr>
      </w:pPr>
      <w:r w:rsidRPr="00FA0732">
        <w:rPr>
          <w:rFonts w:ascii="Arial" w:hAnsi="Arial" w:cs="Arial"/>
          <w:sz w:val="20"/>
          <w:szCs w:val="20"/>
          <w:u w:val="single"/>
        </w:rPr>
        <w:t>Approaches with a Purpose</w:t>
      </w:r>
      <w:r>
        <w:rPr>
          <w:rFonts w:ascii="Arial" w:hAnsi="Arial" w:cs="Arial"/>
          <w:sz w:val="20"/>
          <w:szCs w:val="20"/>
          <w:u w:val="single"/>
        </w:rPr>
        <w:t>.</w:t>
      </w:r>
    </w:p>
    <w:p w14:paraId="4CC7675F" w14:textId="18862D1C" w:rsidR="00FA0732" w:rsidRPr="00FA0732" w:rsidRDefault="00FA0732" w:rsidP="00FA0732">
      <w:pPr>
        <w:rPr>
          <w:rFonts w:ascii="Arial" w:hAnsi="Arial" w:cs="Arial"/>
          <w:sz w:val="18"/>
          <w:szCs w:val="18"/>
        </w:rPr>
      </w:pPr>
      <w:r w:rsidRPr="00FA0732">
        <w:rPr>
          <w:rFonts w:ascii="Arial" w:hAnsi="Arial" w:cs="Arial"/>
          <w:sz w:val="18"/>
          <w:szCs w:val="18"/>
        </w:rPr>
        <w:t xml:space="preserve">If an act fills a vacuum, the judges look at what the Althingi intended to achieve by passing the law, rather than the vacuum it filled. Targeted approach: He said in Magore and St. </w:t>
      </w:r>
      <w:r w:rsidRPr="00FA0732">
        <w:rPr>
          <w:rFonts w:ascii="Arial" w:hAnsi="Arial" w:cs="Arial"/>
          <w:sz w:val="18"/>
          <w:szCs w:val="18"/>
        </w:rPr>
        <w:t>Mellon’s</w:t>
      </w:r>
      <w:r w:rsidRPr="00FA0732">
        <w:rPr>
          <w:rFonts w:ascii="Arial" w:hAnsi="Arial" w:cs="Arial"/>
          <w:sz w:val="18"/>
          <w:szCs w:val="18"/>
        </w:rPr>
        <w:t xml:space="preserve"> v Newport Corporation (1950): "We are sitting here to find out and implement the intent of Congress, and we do it better by filling in the blanks and giving meaning to the regulation. instead of opening it up to destructive scrutiny</w:t>
      </w:r>
      <w:r w:rsidRPr="00FA0732">
        <w:rPr>
          <w:rFonts w:ascii="Arial" w:hAnsi="Arial" w:cs="Arial"/>
          <w:sz w:val="18"/>
          <w:szCs w:val="18"/>
        </w:rPr>
        <w:t>.” This</w:t>
      </w:r>
      <w:r w:rsidRPr="00FA0732">
        <w:rPr>
          <w:rFonts w:ascii="Arial" w:hAnsi="Arial" w:cs="Arial"/>
          <w:sz w:val="18"/>
          <w:szCs w:val="18"/>
        </w:rPr>
        <w:t xml:space="preserve"> would be permissible if a literal rule were followed. The purpose of the Althingi was not to escalate violence, despite the fact that the man had committed two murders, according to the court's interpretation of the law. For an example, see Jones v. Tower Boot Company, Ltd. (1997). Mr. Jones suffered racial discrimination and violence while working for Tower Boots. Chapter 32 of the 1976 Act on Racial Relations states that "everything a person does while on the job shall be judged in this law as if it had happened while the person was in the job." This clearly contradicted this provision. Mr Jones was able to hold his employer responsible for his racial harassment, even though his colleagues were held responsible for the attacks, because the court took a so-called "targeted approach" and ruled that the employer should have known about the incident and should have taken steps </w:t>
      </w:r>
      <w:proofErr w:type="gramStart"/>
      <w:r w:rsidRPr="00FA0732">
        <w:rPr>
          <w:rFonts w:ascii="Arial" w:hAnsi="Arial" w:cs="Arial"/>
          <w:sz w:val="18"/>
          <w:szCs w:val="18"/>
        </w:rPr>
        <w:t>to:</w:t>
      </w:r>
      <w:proofErr w:type="gramEnd"/>
      <w:r w:rsidRPr="00FA0732">
        <w:rPr>
          <w:rFonts w:ascii="Arial" w:hAnsi="Arial" w:cs="Arial"/>
          <w:sz w:val="18"/>
          <w:szCs w:val="18"/>
        </w:rPr>
        <w:t xml:space="preserve"> protect their employees from all forms of racial harassment. "</w:t>
      </w:r>
    </w:p>
    <w:p w14:paraId="18D57571" w14:textId="2003B913" w:rsidR="00FA0732" w:rsidRDefault="00FA0732" w:rsidP="00FA0732">
      <w:pPr>
        <w:rPr>
          <w:rFonts w:ascii="Arial" w:hAnsi="Arial" w:cs="Arial"/>
          <w:sz w:val="18"/>
          <w:szCs w:val="18"/>
        </w:rPr>
      </w:pPr>
      <w:r w:rsidRPr="00FA0732">
        <w:rPr>
          <w:rFonts w:ascii="Arial" w:hAnsi="Arial" w:cs="Arial"/>
          <w:sz w:val="18"/>
          <w:szCs w:val="18"/>
        </w:rPr>
        <w:t>In the targeted approach, justice is achieved on a case-by-case basis, enabling judges to take a broader approach that may include additional scenarios not specifically provided for by law and allow for the use of new technologies. A systematic approach can lead to judicial review due to difficulties in determining the intent of the Assembly, but a broader approach can make the law vague and judges incapable of determining the actual intentions of the Assembly.</w:t>
      </w:r>
    </w:p>
    <w:p w14:paraId="49DFDEAD" w14:textId="77777777" w:rsidR="00FA0732" w:rsidRDefault="00FA0732" w:rsidP="00FA0732">
      <w:pPr>
        <w:rPr>
          <w:rFonts w:ascii="Arial" w:hAnsi="Arial" w:cs="Arial"/>
          <w:sz w:val="18"/>
          <w:szCs w:val="18"/>
        </w:rPr>
      </w:pPr>
    </w:p>
    <w:p w14:paraId="62911F26" w14:textId="6C71B1CE" w:rsidR="00FA0732" w:rsidRPr="00FA0732" w:rsidRDefault="00FA0732" w:rsidP="00FA0732">
      <w:pPr>
        <w:pStyle w:val="Heading1"/>
        <w:ind w:firstLine="0"/>
        <w:jc w:val="left"/>
        <w:rPr>
          <w:rFonts w:ascii="Arial" w:hAnsi="Arial" w:cs="Arial"/>
          <w:sz w:val="20"/>
          <w:szCs w:val="20"/>
          <w:u w:val="single"/>
        </w:rPr>
      </w:pPr>
      <w:r w:rsidRPr="00FA0732">
        <w:rPr>
          <w:rFonts w:ascii="Arial" w:hAnsi="Arial" w:cs="Arial"/>
          <w:sz w:val="20"/>
          <w:szCs w:val="20"/>
          <w:u w:val="single"/>
        </w:rPr>
        <w:lastRenderedPageBreak/>
        <w:t>The Purposive Approach and the Literal Rule</w:t>
      </w:r>
    </w:p>
    <w:p w14:paraId="468CE012" w14:textId="0CB7DDE5" w:rsidR="00FA0732" w:rsidRDefault="00FA0732" w:rsidP="00FA0732">
      <w:pPr>
        <w:rPr>
          <w:rFonts w:ascii="Arial" w:hAnsi="Arial" w:cs="Arial"/>
          <w:sz w:val="18"/>
          <w:szCs w:val="18"/>
        </w:rPr>
      </w:pPr>
      <w:r w:rsidRPr="00FA0732">
        <w:rPr>
          <w:rFonts w:ascii="Arial" w:hAnsi="Arial" w:cs="Arial"/>
          <w:sz w:val="18"/>
          <w:szCs w:val="18"/>
        </w:rPr>
        <w:t>You may understand both the advantages and disadvantages of the Literal Rule and the Purposive Approach by looking at both their advantages and downsides. For example, while the Literal Rule follows the Act of Parliament exactly as stated, it can result in severe verdicts in some situations. Individual justice can be achieved by the Purposive method, although this might lead to ambiguity in the law.</w:t>
      </w:r>
    </w:p>
    <w:p w14:paraId="04C85923" w14:textId="15103702" w:rsidR="00FA0732" w:rsidRDefault="00FA0732" w:rsidP="00FA0732">
      <w:pPr>
        <w:rPr>
          <w:rFonts w:ascii="Arial" w:hAnsi="Arial" w:cs="Arial"/>
          <w:sz w:val="18"/>
          <w:szCs w:val="18"/>
        </w:rPr>
      </w:pPr>
    </w:p>
    <w:p w14:paraId="281C3BC3" w14:textId="5955FFFE" w:rsidR="00FA0732" w:rsidRDefault="00FA0732" w:rsidP="00B422C4">
      <w:pPr>
        <w:pStyle w:val="Heading1"/>
        <w:ind w:firstLine="0"/>
        <w:jc w:val="left"/>
        <w:rPr>
          <w:rFonts w:ascii="Arial" w:hAnsi="Arial" w:cs="Arial"/>
          <w:sz w:val="20"/>
          <w:szCs w:val="20"/>
          <w:u w:val="single"/>
        </w:rPr>
      </w:pPr>
      <w:r w:rsidRPr="00B422C4">
        <w:rPr>
          <w:rFonts w:ascii="Arial" w:hAnsi="Arial" w:cs="Arial"/>
          <w:sz w:val="20"/>
          <w:szCs w:val="20"/>
          <w:u w:val="single"/>
        </w:rPr>
        <w:t>Conclusion</w:t>
      </w:r>
      <w:r w:rsidR="00B422C4">
        <w:rPr>
          <w:rFonts w:ascii="Arial" w:hAnsi="Arial" w:cs="Arial"/>
          <w:sz w:val="20"/>
          <w:szCs w:val="20"/>
          <w:u w:val="single"/>
        </w:rPr>
        <w:t>.</w:t>
      </w:r>
    </w:p>
    <w:p w14:paraId="5DDDF84A" w14:textId="6AF8FB12" w:rsidR="00B422C4" w:rsidRPr="00B422C4" w:rsidRDefault="00B422C4" w:rsidP="00B422C4">
      <w:pPr>
        <w:rPr>
          <w:rFonts w:ascii="Arial" w:hAnsi="Arial" w:cs="Arial"/>
          <w:sz w:val="18"/>
          <w:szCs w:val="18"/>
        </w:rPr>
      </w:pPr>
      <w:r w:rsidRPr="00B422C4">
        <w:rPr>
          <w:rFonts w:ascii="Arial" w:hAnsi="Arial" w:cs="Arial"/>
          <w:sz w:val="18"/>
          <w:szCs w:val="18"/>
        </w:rPr>
        <w:t xml:space="preserve">When interpreting a criminal conduct, many judges choose to use a variety of alternative ways, including the Literal Rule; the Golden Rule; Mischief Rule; and Purposive Approach. Judges who utilise the Purposive Approach to interpret acts are the ones who I believe are over-extending their authority since they are never going to know the genuine intentions of parliament. The Literal Rule, I believe, would better clarify the legislation and aid citizens in their understanding of it, as the Act would not have progressed from a bill to the Royal Ascent if Parliament's Intentions were not incorporated in it. Literal Rule can be better utilised in court proceedings when more statutes are </w:t>
      </w:r>
      <w:r w:rsidRPr="00B422C4">
        <w:rPr>
          <w:rFonts w:ascii="Arial" w:hAnsi="Arial" w:cs="Arial"/>
          <w:sz w:val="18"/>
          <w:szCs w:val="18"/>
        </w:rPr>
        <w:t>altered,</w:t>
      </w:r>
      <w:r w:rsidRPr="00B422C4">
        <w:rPr>
          <w:rFonts w:ascii="Arial" w:hAnsi="Arial" w:cs="Arial"/>
          <w:sz w:val="18"/>
          <w:szCs w:val="18"/>
        </w:rPr>
        <w:t xml:space="preserve"> and the language employed in them is revised.</w:t>
      </w:r>
    </w:p>
    <w:p w14:paraId="534A9A60" w14:textId="12C642CB" w:rsidR="00B422C4" w:rsidRDefault="00B422C4" w:rsidP="00B422C4">
      <w:pPr>
        <w:rPr>
          <w:lang w:val="en-US"/>
        </w:rPr>
      </w:pPr>
    </w:p>
    <w:p w14:paraId="4FBFFD98" w14:textId="7819E19B" w:rsidR="00B422C4" w:rsidRDefault="00B422C4" w:rsidP="00B422C4">
      <w:pPr>
        <w:pStyle w:val="Heading1"/>
        <w:ind w:firstLine="0"/>
        <w:jc w:val="left"/>
        <w:rPr>
          <w:rFonts w:ascii="Arial" w:hAnsi="Arial" w:cs="Arial"/>
          <w:sz w:val="20"/>
          <w:szCs w:val="20"/>
          <w:u w:val="single"/>
        </w:rPr>
      </w:pPr>
      <w:r w:rsidRPr="00B422C4">
        <w:rPr>
          <w:rFonts w:ascii="Arial" w:hAnsi="Arial" w:cs="Arial"/>
          <w:sz w:val="20"/>
          <w:szCs w:val="20"/>
          <w:u w:val="single"/>
        </w:rPr>
        <w:t>References</w:t>
      </w:r>
      <w:r>
        <w:rPr>
          <w:rFonts w:ascii="Arial" w:hAnsi="Arial" w:cs="Arial"/>
          <w:sz w:val="20"/>
          <w:szCs w:val="20"/>
          <w:u w:val="single"/>
        </w:rPr>
        <w:t>.</w:t>
      </w:r>
    </w:p>
    <w:p w14:paraId="5B48A89F" w14:textId="74B52820" w:rsidR="00B422C4" w:rsidRDefault="00B422C4" w:rsidP="00B422C4">
      <w:pPr>
        <w:rPr>
          <w:rFonts w:ascii="Arial" w:hAnsi="Arial" w:cs="Arial"/>
          <w:color w:val="222222"/>
          <w:sz w:val="18"/>
          <w:szCs w:val="18"/>
          <w:shd w:val="clear" w:color="auto" w:fill="FFFFFF"/>
        </w:rPr>
      </w:pPr>
      <w:r w:rsidRPr="00B422C4">
        <w:rPr>
          <w:rFonts w:ascii="Arial" w:hAnsi="Arial" w:cs="Arial"/>
          <w:color w:val="222222"/>
          <w:sz w:val="18"/>
          <w:szCs w:val="18"/>
          <w:shd w:val="clear" w:color="auto" w:fill="FFFFFF"/>
        </w:rPr>
        <w:t>Langford, R.T., 2021. Statutory Duties and Ratification: Untangling the Maze.</w:t>
      </w:r>
    </w:p>
    <w:p w14:paraId="64D157A6" w14:textId="77777777" w:rsidR="00B422C4" w:rsidRPr="00B422C4" w:rsidRDefault="00B422C4" w:rsidP="00B422C4">
      <w:pPr>
        <w:rPr>
          <w:rFonts w:ascii="Arial" w:hAnsi="Arial" w:cs="Arial"/>
          <w:color w:val="222222"/>
          <w:sz w:val="18"/>
          <w:szCs w:val="18"/>
          <w:shd w:val="clear" w:color="auto" w:fill="FFFFFF"/>
        </w:rPr>
      </w:pPr>
    </w:p>
    <w:p w14:paraId="0D79BBDC" w14:textId="4E1C573E" w:rsidR="00B422C4" w:rsidRDefault="00B422C4" w:rsidP="00B422C4">
      <w:pPr>
        <w:rPr>
          <w:rFonts w:ascii="Arial" w:hAnsi="Arial" w:cs="Arial"/>
          <w:color w:val="222222"/>
          <w:sz w:val="18"/>
          <w:szCs w:val="18"/>
          <w:shd w:val="clear" w:color="auto" w:fill="FFFFFF"/>
        </w:rPr>
      </w:pPr>
      <w:r w:rsidRPr="00B422C4">
        <w:rPr>
          <w:rFonts w:ascii="Arial" w:hAnsi="Arial" w:cs="Arial"/>
          <w:color w:val="222222"/>
          <w:sz w:val="18"/>
          <w:szCs w:val="18"/>
          <w:shd w:val="clear" w:color="auto" w:fill="FFFFFF"/>
        </w:rPr>
        <w:t>Watt, B., 2020. </w:t>
      </w:r>
      <w:r w:rsidRPr="00B422C4">
        <w:rPr>
          <w:rFonts w:ascii="Arial" w:hAnsi="Arial" w:cs="Arial"/>
          <w:i/>
          <w:iCs/>
          <w:color w:val="222222"/>
          <w:sz w:val="18"/>
          <w:szCs w:val="18"/>
          <w:shd w:val="clear" w:color="auto" w:fill="FFFFFF"/>
        </w:rPr>
        <w:t>UK Election Law: a critical examination</w:t>
      </w:r>
      <w:r w:rsidRPr="00B422C4">
        <w:rPr>
          <w:rFonts w:ascii="Arial" w:hAnsi="Arial" w:cs="Arial"/>
          <w:color w:val="222222"/>
          <w:sz w:val="18"/>
          <w:szCs w:val="18"/>
          <w:shd w:val="clear" w:color="auto" w:fill="FFFFFF"/>
        </w:rPr>
        <w:t>. Routledge-Cavendish.</w:t>
      </w:r>
    </w:p>
    <w:p w14:paraId="304BBA7E" w14:textId="77777777" w:rsidR="00B422C4" w:rsidRPr="00B422C4" w:rsidRDefault="00B422C4" w:rsidP="00B422C4">
      <w:pPr>
        <w:rPr>
          <w:rFonts w:ascii="Arial" w:hAnsi="Arial" w:cs="Arial"/>
          <w:color w:val="222222"/>
          <w:sz w:val="18"/>
          <w:szCs w:val="18"/>
          <w:shd w:val="clear" w:color="auto" w:fill="FFFFFF"/>
        </w:rPr>
      </w:pPr>
    </w:p>
    <w:p w14:paraId="34B9AB09" w14:textId="77777777" w:rsidR="00B422C4" w:rsidRDefault="00B422C4" w:rsidP="00B422C4">
      <w:pPr>
        <w:rPr>
          <w:rFonts w:ascii="Arial" w:hAnsi="Arial" w:cs="Arial"/>
          <w:color w:val="222222"/>
          <w:sz w:val="18"/>
          <w:szCs w:val="18"/>
          <w:shd w:val="clear" w:color="auto" w:fill="FFFFFF"/>
        </w:rPr>
      </w:pPr>
      <w:r w:rsidRPr="00B422C4">
        <w:rPr>
          <w:rFonts w:ascii="Arial" w:hAnsi="Arial" w:cs="Arial"/>
          <w:color w:val="222222"/>
          <w:sz w:val="18"/>
          <w:szCs w:val="18"/>
          <w:shd w:val="clear" w:color="auto" w:fill="FFFFFF"/>
        </w:rPr>
        <w:t>Connolly, M., 2018. Statutory interpretation, victimization under equality law, and its ‘on–</w:t>
      </w:r>
      <w:r w:rsidRPr="00B422C4">
        <w:rPr>
          <w:rFonts w:ascii="Arial" w:hAnsi="Arial" w:cs="Arial"/>
          <w:color w:val="222222"/>
          <w:sz w:val="18"/>
          <w:szCs w:val="18"/>
          <w:shd w:val="clear" w:color="auto" w:fill="FFFFFF"/>
        </w:rPr>
        <w:t>off ‘relationship</w:t>
      </w:r>
      <w:r w:rsidRPr="00B422C4">
        <w:rPr>
          <w:rFonts w:ascii="Arial" w:hAnsi="Arial" w:cs="Arial"/>
          <w:color w:val="222222"/>
          <w:sz w:val="18"/>
          <w:szCs w:val="18"/>
          <w:shd w:val="clear" w:color="auto" w:fill="FFFFFF"/>
        </w:rPr>
        <w:t xml:space="preserve"> with contempt of court. </w:t>
      </w:r>
      <w:r w:rsidRPr="00B422C4">
        <w:rPr>
          <w:rFonts w:ascii="Arial" w:hAnsi="Arial" w:cs="Arial"/>
          <w:i/>
          <w:iCs/>
          <w:color w:val="222222"/>
          <w:sz w:val="18"/>
          <w:szCs w:val="18"/>
          <w:shd w:val="clear" w:color="auto" w:fill="FFFFFF"/>
        </w:rPr>
        <w:t>Statute Law Review</w:t>
      </w:r>
      <w:r w:rsidRPr="00B422C4">
        <w:rPr>
          <w:rFonts w:ascii="Arial" w:hAnsi="Arial" w:cs="Arial"/>
          <w:color w:val="222222"/>
          <w:sz w:val="18"/>
          <w:szCs w:val="18"/>
          <w:shd w:val="clear" w:color="auto" w:fill="FFFFFF"/>
        </w:rPr>
        <w:t>, </w:t>
      </w:r>
      <w:r w:rsidRPr="00B422C4">
        <w:rPr>
          <w:rFonts w:ascii="Arial" w:hAnsi="Arial" w:cs="Arial"/>
          <w:i/>
          <w:iCs/>
          <w:color w:val="222222"/>
          <w:sz w:val="18"/>
          <w:szCs w:val="18"/>
          <w:shd w:val="clear" w:color="auto" w:fill="FFFFFF"/>
        </w:rPr>
        <w:t>39</w:t>
      </w:r>
      <w:r w:rsidRPr="00B422C4">
        <w:rPr>
          <w:rFonts w:ascii="Arial" w:hAnsi="Arial" w:cs="Arial"/>
          <w:color w:val="222222"/>
          <w:sz w:val="18"/>
          <w:szCs w:val="18"/>
          <w:shd w:val="clear" w:color="auto" w:fill="FFFFFF"/>
        </w:rPr>
        <w:t>(1), pp.72-90.</w:t>
      </w:r>
    </w:p>
    <w:p w14:paraId="17D1F95B" w14:textId="77777777" w:rsidR="00B422C4" w:rsidRDefault="00B422C4" w:rsidP="00B422C4">
      <w:pPr>
        <w:rPr>
          <w:rFonts w:ascii="Arial" w:hAnsi="Arial" w:cs="Arial"/>
          <w:color w:val="222222"/>
          <w:sz w:val="18"/>
          <w:szCs w:val="18"/>
          <w:shd w:val="clear" w:color="auto" w:fill="FFFFFF"/>
        </w:rPr>
      </w:pPr>
    </w:p>
    <w:p w14:paraId="3D55CE98" w14:textId="6D57E096" w:rsidR="00B422C4" w:rsidRDefault="00B422C4" w:rsidP="00B422C4">
      <w:pPr>
        <w:rPr>
          <w:rFonts w:ascii="Arial" w:hAnsi="Arial" w:cs="Arial"/>
          <w:color w:val="222222"/>
          <w:sz w:val="18"/>
          <w:szCs w:val="18"/>
          <w:shd w:val="clear" w:color="auto" w:fill="FFFFFF"/>
        </w:rPr>
      </w:pPr>
      <w:r w:rsidRPr="00B422C4">
        <w:rPr>
          <w:rFonts w:ascii="Arial" w:hAnsi="Arial" w:cs="Arial"/>
          <w:color w:val="222222"/>
          <w:sz w:val="18"/>
          <w:szCs w:val="18"/>
          <w:shd w:val="clear" w:color="auto" w:fill="FFFFFF"/>
        </w:rPr>
        <w:t>Walton, D., Sartor, G. and Macagno, F., 2018. Statutory interpretation as argumentation. In </w:t>
      </w:r>
      <w:r w:rsidRPr="00B422C4">
        <w:rPr>
          <w:rFonts w:ascii="Arial" w:hAnsi="Arial" w:cs="Arial"/>
          <w:i/>
          <w:iCs/>
          <w:color w:val="222222"/>
          <w:sz w:val="18"/>
          <w:szCs w:val="18"/>
          <w:shd w:val="clear" w:color="auto" w:fill="FFFFFF"/>
        </w:rPr>
        <w:t>Handbook of legal reasoning and argumentation</w:t>
      </w:r>
      <w:r w:rsidRPr="00B422C4">
        <w:rPr>
          <w:rFonts w:ascii="Arial" w:hAnsi="Arial" w:cs="Arial"/>
          <w:color w:val="222222"/>
          <w:sz w:val="18"/>
          <w:szCs w:val="18"/>
          <w:shd w:val="clear" w:color="auto" w:fill="FFFFFF"/>
        </w:rPr>
        <w:t> (pp. 519-560). Springer, Dordrecht.</w:t>
      </w:r>
    </w:p>
    <w:p w14:paraId="5F4FD419" w14:textId="77777777" w:rsidR="00B422C4" w:rsidRPr="00B422C4" w:rsidRDefault="00B422C4" w:rsidP="00B422C4">
      <w:pPr>
        <w:rPr>
          <w:rFonts w:ascii="Arial" w:hAnsi="Arial" w:cs="Arial"/>
          <w:color w:val="222222"/>
          <w:sz w:val="18"/>
          <w:szCs w:val="18"/>
          <w:shd w:val="clear" w:color="auto" w:fill="FFFFFF"/>
        </w:rPr>
      </w:pPr>
    </w:p>
    <w:p w14:paraId="1FE3757D" w14:textId="40CC2D16" w:rsidR="00B422C4" w:rsidRDefault="00B422C4" w:rsidP="00B422C4">
      <w:pPr>
        <w:rPr>
          <w:rFonts w:ascii="Arial" w:hAnsi="Arial" w:cs="Arial"/>
          <w:color w:val="222222"/>
          <w:sz w:val="18"/>
          <w:szCs w:val="18"/>
          <w:shd w:val="clear" w:color="auto" w:fill="FFFFFF"/>
        </w:rPr>
      </w:pPr>
      <w:r w:rsidRPr="00B422C4">
        <w:rPr>
          <w:rFonts w:ascii="Arial" w:hAnsi="Arial" w:cs="Arial"/>
          <w:color w:val="222222"/>
          <w:sz w:val="18"/>
          <w:szCs w:val="18"/>
          <w:shd w:val="clear" w:color="auto" w:fill="FFFFFF"/>
        </w:rPr>
        <w:t xml:space="preserve">Gales, T. and Solan, L.M., 2019. Revisiting a classic problem in statutory interpretation: Is a minister a </w:t>
      </w:r>
      <w:r w:rsidRPr="00B422C4">
        <w:rPr>
          <w:rFonts w:ascii="Arial" w:hAnsi="Arial" w:cs="Arial"/>
          <w:color w:val="222222"/>
          <w:sz w:val="18"/>
          <w:szCs w:val="18"/>
          <w:shd w:val="clear" w:color="auto" w:fill="FFFFFF"/>
        </w:rPr>
        <w:t>labourer?</w:t>
      </w:r>
      <w:r w:rsidRPr="00B422C4">
        <w:rPr>
          <w:rFonts w:ascii="Arial" w:hAnsi="Arial" w:cs="Arial"/>
          <w:color w:val="222222"/>
          <w:sz w:val="18"/>
          <w:szCs w:val="18"/>
          <w:shd w:val="clear" w:color="auto" w:fill="FFFFFF"/>
        </w:rPr>
        <w:t> </w:t>
      </w:r>
      <w:r w:rsidRPr="00B422C4">
        <w:rPr>
          <w:rFonts w:ascii="Arial" w:hAnsi="Arial" w:cs="Arial"/>
          <w:i/>
          <w:iCs/>
          <w:color w:val="222222"/>
          <w:sz w:val="18"/>
          <w:szCs w:val="18"/>
          <w:shd w:val="clear" w:color="auto" w:fill="FFFFFF"/>
        </w:rPr>
        <w:t>Ga. St. UL Rev.</w:t>
      </w:r>
      <w:r w:rsidRPr="00B422C4">
        <w:rPr>
          <w:rFonts w:ascii="Arial" w:hAnsi="Arial" w:cs="Arial"/>
          <w:color w:val="222222"/>
          <w:sz w:val="18"/>
          <w:szCs w:val="18"/>
          <w:shd w:val="clear" w:color="auto" w:fill="FFFFFF"/>
        </w:rPr>
        <w:t>, </w:t>
      </w:r>
      <w:r w:rsidRPr="00B422C4">
        <w:rPr>
          <w:rFonts w:ascii="Arial" w:hAnsi="Arial" w:cs="Arial"/>
          <w:i/>
          <w:iCs/>
          <w:color w:val="222222"/>
          <w:sz w:val="18"/>
          <w:szCs w:val="18"/>
          <w:shd w:val="clear" w:color="auto" w:fill="FFFFFF"/>
        </w:rPr>
        <w:t>36</w:t>
      </w:r>
      <w:r w:rsidRPr="00B422C4">
        <w:rPr>
          <w:rFonts w:ascii="Arial" w:hAnsi="Arial" w:cs="Arial"/>
          <w:color w:val="222222"/>
          <w:sz w:val="18"/>
          <w:szCs w:val="18"/>
          <w:shd w:val="clear" w:color="auto" w:fill="FFFFFF"/>
        </w:rPr>
        <w:t>, p.491.</w:t>
      </w:r>
    </w:p>
    <w:p w14:paraId="3959FB66" w14:textId="77777777" w:rsidR="00B422C4" w:rsidRPr="00B422C4" w:rsidRDefault="00B422C4" w:rsidP="00B422C4">
      <w:pPr>
        <w:rPr>
          <w:rFonts w:ascii="Arial" w:hAnsi="Arial" w:cs="Arial"/>
          <w:color w:val="222222"/>
          <w:sz w:val="18"/>
          <w:szCs w:val="18"/>
          <w:shd w:val="clear" w:color="auto" w:fill="FFFFFF"/>
        </w:rPr>
      </w:pPr>
    </w:p>
    <w:p w14:paraId="741EEED6" w14:textId="29C3E3EC" w:rsidR="00B422C4" w:rsidRDefault="00B422C4" w:rsidP="00B422C4">
      <w:pPr>
        <w:rPr>
          <w:rFonts w:ascii="Arial" w:hAnsi="Arial" w:cs="Arial"/>
          <w:color w:val="222222"/>
          <w:sz w:val="18"/>
          <w:szCs w:val="18"/>
          <w:shd w:val="clear" w:color="auto" w:fill="FFFFFF"/>
        </w:rPr>
      </w:pPr>
      <w:r w:rsidRPr="00B422C4">
        <w:rPr>
          <w:rFonts w:ascii="Arial" w:hAnsi="Arial" w:cs="Arial"/>
          <w:color w:val="222222"/>
          <w:sz w:val="18"/>
          <w:szCs w:val="18"/>
          <w:shd w:val="clear" w:color="auto" w:fill="FFFFFF"/>
        </w:rPr>
        <w:t xml:space="preserve">Harris, A. and Walker, A., 2019. Interpretation of ‘unnatural </w:t>
      </w:r>
      <w:r w:rsidRPr="00B422C4">
        <w:rPr>
          <w:rFonts w:ascii="Arial" w:hAnsi="Arial" w:cs="Arial"/>
          <w:color w:val="222222"/>
          <w:sz w:val="18"/>
          <w:szCs w:val="18"/>
          <w:shd w:val="clear" w:color="auto" w:fill="FFFFFF"/>
        </w:rPr>
        <w:t>death ‘in</w:t>
      </w:r>
      <w:r w:rsidRPr="00B422C4">
        <w:rPr>
          <w:rFonts w:ascii="Arial" w:hAnsi="Arial" w:cs="Arial"/>
          <w:color w:val="222222"/>
          <w:sz w:val="18"/>
          <w:szCs w:val="18"/>
          <w:shd w:val="clear" w:color="auto" w:fill="FFFFFF"/>
        </w:rPr>
        <w:t xml:space="preserve"> coronial law: a review of the English legal process of decision making, statutory interpretation, and case law: the implications for medical cases and coronial consistency. </w:t>
      </w:r>
      <w:r w:rsidRPr="00B422C4">
        <w:rPr>
          <w:rFonts w:ascii="Arial" w:hAnsi="Arial" w:cs="Arial"/>
          <w:i/>
          <w:iCs/>
          <w:color w:val="222222"/>
          <w:sz w:val="18"/>
          <w:szCs w:val="18"/>
          <w:shd w:val="clear" w:color="auto" w:fill="FFFFFF"/>
        </w:rPr>
        <w:t>Medical Law Review</w:t>
      </w:r>
      <w:r w:rsidRPr="00B422C4">
        <w:rPr>
          <w:rFonts w:ascii="Arial" w:hAnsi="Arial" w:cs="Arial"/>
          <w:color w:val="222222"/>
          <w:sz w:val="18"/>
          <w:szCs w:val="18"/>
          <w:shd w:val="clear" w:color="auto" w:fill="FFFFFF"/>
        </w:rPr>
        <w:t>, </w:t>
      </w:r>
      <w:r w:rsidRPr="00B422C4">
        <w:rPr>
          <w:rFonts w:ascii="Arial" w:hAnsi="Arial" w:cs="Arial"/>
          <w:i/>
          <w:iCs/>
          <w:color w:val="222222"/>
          <w:sz w:val="18"/>
          <w:szCs w:val="18"/>
          <w:shd w:val="clear" w:color="auto" w:fill="FFFFFF"/>
        </w:rPr>
        <w:t>27</w:t>
      </w:r>
      <w:r w:rsidRPr="00B422C4">
        <w:rPr>
          <w:rFonts w:ascii="Arial" w:hAnsi="Arial" w:cs="Arial"/>
          <w:color w:val="222222"/>
          <w:sz w:val="18"/>
          <w:szCs w:val="18"/>
          <w:shd w:val="clear" w:color="auto" w:fill="FFFFFF"/>
        </w:rPr>
        <w:t>(1), pp.1-31.</w:t>
      </w:r>
    </w:p>
    <w:p w14:paraId="5B0B8BA8" w14:textId="77777777" w:rsidR="00B422C4" w:rsidRPr="00B422C4" w:rsidRDefault="00B422C4" w:rsidP="00B422C4">
      <w:pPr>
        <w:rPr>
          <w:rFonts w:ascii="Arial" w:hAnsi="Arial" w:cs="Arial"/>
          <w:color w:val="222222"/>
          <w:sz w:val="18"/>
          <w:szCs w:val="18"/>
          <w:shd w:val="clear" w:color="auto" w:fill="FFFFFF"/>
        </w:rPr>
      </w:pPr>
    </w:p>
    <w:p w14:paraId="61BD6AF2" w14:textId="64F98B57" w:rsidR="00B422C4" w:rsidRDefault="00B422C4" w:rsidP="00B422C4">
      <w:pPr>
        <w:rPr>
          <w:rFonts w:ascii="Arial" w:hAnsi="Arial" w:cs="Arial"/>
          <w:color w:val="222222"/>
          <w:sz w:val="18"/>
          <w:szCs w:val="18"/>
          <w:shd w:val="clear" w:color="auto" w:fill="FFFFFF"/>
        </w:rPr>
      </w:pPr>
      <w:r w:rsidRPr="00B422C4">
        <w:rPr>
          <w:rFonts w:ascii="Arial" w:hAnsi="Arial" w:cs="Arial"/>
          <w:color w:val="222222"/>
          <w:sz w:val="18"/>
          <w:szCs w:val="18"/>
          <w:shd w:val="clear" w:color="auto" w:fill="FFFFFF"/>
        </w:rPr>
        <w:t>Walton, D., Macagno, F. and Sartor, G., 2021. </w:t>
      </w:r>
      <w:r w:rsidRPr="00B422C4">
        <w:rPr>
          <w:rFonts w:ascii="Arial" w:hAnsi="Arial" w:cs="Arial"/>
          <w:i/>
          <w:iCs/>
          <w:color w:val="222222"/>
          <w:sz w:val="18"/>
          <w:szCs w:val="18"/>
          <w:shd w:val="clear" w:color="auto" w:fill="FFFFFF"/>
        </w:rPr>
        <w:t>Statutory interpretation: pragmatics and argumentation</w:t>
      </w:r>
      <w:r w:rsidRPr="00B422C4">
        <w:rPr>
          <w:rFonts w:ascii="Arial" w:hAnsi="Arial" w:cs="Arial"/>
          <w:color w:val="222222"/>
          <w:sz w:val="18"/>
          <w:szCs w:val="18"/>
          <w:shd w:val="clear" w:color="auto" w:fill="FFFFFF"/>
        </w:rPr>
        <w:t>. Cambridge University Press.</w:t>
      </w:r>
    </w:p>
    <w:p w14:paraId="5463643E" w14:textId="77777777" w:rsidR="00B422C4" w:rsidRPr="00B422C4" w:rsidRDefault="00B422C4" w:rsidP="00B422C4">
      <w:pPr>
        <w:rPr>
          <w:rFonts w:ascii="Arial" w:hAnsi="Arial" w:cs="Arial"/>
          <w:color w:val="222222"/>
          <w:sz w:val="18"/>
          <w:szCs w:val="18"/>
          <w:shd w:val="clear" w:color="auto" w:fill="FFFFFF"/>
        </w:rPr>
      </w:pPr>
    </w:p>
    <w:p w14:paraId="3ABCB2A3" w14:textId="77777777" w:rsidR="00B422C4" w:rsidRPr="00B422C4" w:rsidRDefault="00B422C4" w:rsidP="00B422C4">
      <w:pPr>
        <w:rPr>
          <w:rFonts w:ascii="Arial" w:hAnsi="Arial" w:cs="Arial"/>
          <w:sz w:val="18"/>
          <w:szCs w:val="18"/>
        </w:rPr>
      </w:pPr>
      <w:r w:rsidRPr="00B422C4">
        <w:rPr>
          <w:rFonts w:ascii="Arial" w:hAnsi="Arial" w:cs="Arial"/>
          <w:color w:val="222222"/>
          <w:sz w:val="18"/>
          <w:szCs w:val="18"/>
          <w:shd w:val="clear" w:color="auto" w:fill="FFFFFF"/>
        </w:rPr>
        <w:t>Langford, R.T., 2020. An Integrated Approach to Statutory Interpretation: Directors' Duties in the UK. </w:t>
      </w:r>
      <w:r w:rsidRPr="00B422C4">
        <w:rPr>
          <w:rFonts w:ascii="Arial" w:hAnsi="Arial" w:cs="Arial"/>
          <w:i/>
          <w:iCs/>
          <w:color w:val="222222"/>
          <w:sz w:val="18"/>
          <w:szCs w:val="18"/>
          <w:shd w:val="clear" w:color="auto" w:fill="FFFFFF"/>
        </w:rPr>
        <w:t>Statutory Interpretation in Private Law (Federation Press, 2019), U of Melbourne Legal Studies Research Paper</w:t>
      </w:r>
      <w:r w:rsidRPr="00B422C4">
        <w:rPr>
          <w:rFonts w:ascii="Arial" w:hAnsi="Arial" w:cs="Arial"/>
          <w:color w:val="222222"/>
          <w:sz w:val="18"/>
          <w:szCs w:val="18"/>
          <w:shd w:val="clear" w:color="auto" w:fill="FFFFFF"/>
        </w:rPr>
        <w:t>, (923).</w:t>
      </w:r>
    </w:p>
    <w:p w14:paraId="13F0F078" w14:textId="77777777" w:rsidR="00B422C4" w:rsidRPr="00B422C4" w:rsidRDefault="00B422C4" w:rsidP="00B422C4">
      <w:pPr>
        <w:rPr>
          <w:lang w:val="en-US"/>
        </w:rPr>
      </w:pPr>
    </w:p>
    <w:p w14:paraId="5AFD17DF" w14:textId="77777777" w:rsidR="00B422C4" w:rsidRPr="00B422C4" w:rsidRDefault="00B422C4" w:rsidP="00B422C4">
      <w:pPr>
        <w:rPr>
          <w:lang w:val="en-US"/>
        </w:rPr>
      </w:pPr>
    </w:p>
    <w:p w14:paraId="3813594F" w14:textId="77777777" w:rsidR="00B422C4" w:rsidRPr="00B422C4" w:rsidRDefault="00B422C4" w:rsidP="00B422C4">
      <w:pPr>
        <w:rPr>
          <w:lang w:val="en-US"/>
        </w:rPr>
      </w:pPr>
    </w:p>
    <w:p w14:paraId="2A1B1069" w14:textId="77777777" w:rsidR="00FA0732" w:rsidRPr="00FA0732" w:rsidRDefault="00FA0732" w:rsidP="00FA0732">
      <w:pPr>
        <w:rPr>
          <w:rFonts w:ascii="Arial" w:hAnsi="Arial" w:cs="Arial"/>
          <w:sz w:val="18"/>
          <w:szCs w:val="18"/>
        </w:rPr>
      </w:pPr>
    </w:p>
    <w:p w14:paraId="61CD2578" w14:textId="77777777" w:rsidR="00FA0732" w:rsidRPr="00FA0732" w:rsidRDefault="00FA0732" w:rsidP="00FA0732">
      <w:pPr>
        <w:rPr>
          <w:rFonts w:ascii="Arial" w:hAnsi="Arial" w:cs="Arial"/>
          <w:sz w:val="18"/>
          <w:szCs w:val="18"/>
        </w:rPr>
      </w:pPr>
    </w:p>
    <w:p w14:paraId="2FF69A67" w14:textId="77777777" w:rsidR="00FA0732" w:rsidRPr="00FA0732" w:rsidRDefault="00FA0732" w:rsidP="00FA0732">
      <w:pPr>
        <w:rPr>
          <w:lang w:val="en-US"/>
        </w:rPr>
      </w:pPr>
    </w:p>
    <w:p w14:paraId="5AE878C9" w14:textId="77777777" w:rsidR="00FA0732" w:rsidRPr="00FA0732" w:rsidRDefault="00FA0732" w:rsidP="00672F47">
      <w:pPr>
        <w:rPr>
          <w:rFonts w:ascii="Arial" w:hAnsi="Arial" w:cs="Arial"/>
          <w:sz w:val="18"/>
          <w:szCs w:val="18"/>
        </w:rPr>
      </w:pPr>
    </w:p>
    <w:p w14:paraId="0F78037F" w14:textId="77777777" w:rsidR="00621E3D" w:rsidRPr="00621E3D" w:rsidRDefault="00621E3D" w:rsidP="00621E3D">
      <w:pPr>
        <w:rPr>
          <w:rFonts w:ascii="Arial" w:hAnsi="Arial" w:cs="Arial"/>
          <w:sz w:val="18"/>
          <w:szCs w:val="18"/>
        </w:rPr>
      </w:pPr>
    </w:p>
    <w:p w14:paraId="062C1E01" w14:textId="77777777" w:rsidR="00621E3D" w:rsidRPr="00621E3D" w:rsidRDefault="00621E3D" w:rsidP="00621E3D">
      <w:pPr>
        <w:rPr>
          <w:lang w:val="en-US"/>
        </w:rPr>
      </w:pPr>
    </w:p>
    <w:p w14:paraId="32C08DBA" w14:textId="77777777" w:rsidR="005B6644" w:rsidRPr="005B6644" w:rsidRDefault="005B6644">
      <w:pPr>
        <w:rPr>
          <w:rFonts w:ascii="Arial" w:hAnsi="Arial" w:cs="Arial"/>
          <w:sz w:val="18"/>
          <w:szCs w:val="18"/>
        </w:rPr>
      </w:pPr>
    </w:p>
    <w:sectPr w:rsidR="005B6644" w:rsidRPr="005B6644" w:rsidSect="00565D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D94"/>
    <w:rsid w:val="00565D94"/>
    <w:rsid w:val="005B6644"/>
    <w:rsid w:val="005E3DC6"/>
    <w:rsid w:val="00621E3D"/>
    <w:rsid w:val="00672F47"/>
    <w:rsid w:val="00702E38"/>
    <w:rsid w:val="00B26436"/>
    <w:rsid w:val="00B422C4"/>
    <w:rsid w:val="00FA0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CC698"/>
  <w15:chartTrackingRefBased/>
  <w15:docId w15:val="{56A0070D-EB45-458A-8D6C-116A35046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644"/>
    <w:pPr>
      <w:keepNext/>
      <w:keepLines/>
      <w:spacing w:before="120" w:after="120" w:line="480" w:lineRule="auto"/>
      <w:ind w:firstLine="720"/>
      <w:jc w:val="center"/>
      <w:outlineLvl w:val="0"/>
    </w:pPr>
    <w:rPr>
      <w:rFonts w:ascii="Times New Roman" w:eastAsiaTheme="majorEastAsia" w:hAnsi="Times New Roman" w:cstheme="majorBidi"/>
      <w:b/>
      <w:sz w:val="24"/>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5D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5D94"/>
    <w:rPr>
      <w:rFonts w:eastAsiaTheme="minorEastAsia"/>
      <w:lang w:val="en-US"/>
    </w:rPr>
  </w:style>
  <w:style w:type="character" w:customStyle="1" w:styleId="Heading1Char">
    <w:name w:val="Heading 1 Char"/>
    <w:basedOn w:val="DefaultParagraphFont"/>
    <w:link w:val="Heading1"/>
    <w:uiPriority w:val="9"/>
    <w:rsid w:val="005B6644"/>
    <w:rPr>
      <w:rFonts w:ascii="Times New Roman" w:eastAsiaTheme="majorEastAsia" w:hAnsi="Times New Roman" w:cstheme="majorBidi"/>
      <w:b/>
      <w:sz w:val="24"/>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5C9647047B049469A818FF952CC836B"/>
        <w:category>
          <w:name w:val="General"/>
          <w:gallery w:val="placeholder"/>
        </w:category>
        <w:types>
          <w:type w:val="bbPlcHdr"/>
        </w:types>
        <w:behaviors>
          <w:behavior w:val="content"/>
        </w:behaviors>
        <w:guid w:val="{60DC4C24-AB44-492C-BB2E-0FD724A83E21}"/>
      </w:docPartPr>
      <w:docPartBody>
        <w:p w:rsidR="00000000" w:rsidRDefault="00D96CF6" w:rsidP="00D96CF6">
          <w:pPr>
            <w:pStyle w:val="D5C9647047B049469A818FF952CC836B"/>
          </w:pPr>
          <w:r>
            <w:rPr>
              <w:rFonts w:asciiTheme="majorHAnsi" w:eastAsiaTheme="majorEastAsia" w:hAnsiTheme="majorHAnsi" w:cstheme="majorBidi"/>
              <w:caps/>
              <w:color w:val="4472C4" w:themeColor="accent1"/>
              <w:sz w:val="80"/>
              <w:szCs w:val="80"/>
            </w:rPr>
            <w:t>[Document title]</w:t>
          </w:r>
        </w:p>
      </w:docPartBody>
    </w:docPart>
    <w:docPart>
      <w:docPartPr>
        <w:name w:val="EC15333D5C6140318D1F5F6299314D21"/>
        <w:category>
          <w:name w:val="General"/>
          <w:gallery w:val="placeholder"/>
        </w:category>
        <w:types>
          <w:type w:val="bbPlcHdr"/>
        </w:types>
        <w:behaviors>
          <w:behavior w:val="content"/>
        </w:behaviors>
        <w:guid w:val="{5F46E652-67C8-492F-BA95-F37CF3872D84}"/>
      </w:docPartPr>
      <w:docPartBody>
        <w:p w:rsidR="00000000" w:rsidRDefault="00D96CF6" w:rsidP="00D96CF6">
          <w:pPr>
            <w:pStyle w:val="EC15333D5C6140318D1F5F6299314D2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CF6"/>
    <w:rsid w:val="00D96CF6"/>
    <w:rsid w:val="00DE2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C9647047B049469A818FF952CC836B">
    <w:name w:val="D5C9647047B049469A818FF952CC836B"/>
    <w:rsid w:val="00D96CF6"/>
  </w:style>
  <w:style w:type="paragraph" w:customStyle="1" w:styleId="EC15333D5C6140318D1F5F6299314D21">
    <w:name w:val="EC15333D5C6140318D1F5F6299314D21"/>
    <w:rsid w:val="00D96C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Completed by</PublishDate>
  <Abstract/>
  <CompanyAddress>ASSIGNMENT 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5</Pages>
  <Words>1792</Words>
  <Characters>10218</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nazim amin</Company>
  <LinksUpToDate>false</LinksUpToDate>
  <CharactersWithSpaces>11987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dc:title>
  <dc:subject>BMPL4005</dc:subject>
  <dc:creator>na5imamin1@outlook.com</dc:creator>
  <cp:keywords/>
  <dc:description/>
  <cp:lastModifiedBy>na5imamin1@outlook.com</cp:lastModifiedBy>
  <cp:revision>1</cp:revision>
  <dcterms:created xsi:type="dcterms:W3CDTF">2022-05-05T10:57:00Z</dcterms:created>
  <dcterms:modified xsi:type="dcterms:W3CDTF">2022-05-05T11:38:00Z</dcterms:modified>
</cp:coreProperties>
</file>