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6638774"/>
        <w:docPartObj>
          <w:docPartGallery w:val="Cover Pages"/>
          <w:docPartUnique/>
        </w:docPartObj>
      </w:sdtPr>
      <w:sdtEndPr>
        <w:rPr>
          <w:lang w:val="en-GB"/>
        </w:rPr>
      </w:sdtEndPr>
      <w:sdtContent>
        <w:p w14:paraId="40E586F3" w14:textId="446C3109" w:rsidR="004433EB" w:rsidRDefault="00C72222">
          <w:r>
            <w:rPr>
              <w:noProof/>
            </w:rPr>
            <mc:AlternateContent>
              <mc:Choice Requires="wps">
                <w:drawing>
                  <wp:anchor distT="0" distB="0" distL="114300" distR="114300" simplePos="0" relativeHeight="251660288" behindDoc="0" locked="0" layoutInCell="1" allowOverlap="1" wp14:anchorId="02A016AB" wp14:editId="33ACA79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55934" cy="2392471"/>
                    <wp:effectExtent l="0" t="0" r="1905" b="8255"/>
                    <wp:wrapNone/>
                    <wp:docPr id="467" name="Rectangle 467"/>
                    <wp:cNvGraphicFramePr/>
                    <a:graphic xmlns:a="http://schemas.openxmlformats.org/drawingml/2006/main">
                      <a:graphicData uri="http://schemas.microsoft.com/office/word/2010/wordprocessingShape">
                        <wps:wsp>
                          <wps:cNvSpPr/>
                          <wps:spPr>
                            <a:xfrm>
                              <a:off x="0" y="0"/>
                              <a:ext cx="2855934" cy="2392471"/>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835CA6" w14:textId="2109DDE9" w:rsidR="004433EB" w:rsidRDefault="004433EB">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A016AB" id="Rectangle 467" o:spid="_x0000_s1026" style="position:absolute;margin-left:0;margin-top:0;width:224.9pt;height:188.4pt;z-index:251660288;visibility:visible;mso-wrap-style:square;mso-width-percent:0;mso-height-percent:0;mso-left-percent:455;mso-top-percent:25;mso-wrap-distance-left:9pt;mso-wrap-distance-top:0;mso-wrap-distance-right:9pt;mso-wrap-distance-bottom:0;mso-position-horizontal-relative:page;mso-position-vertical-relative:page;mso-width-percent: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" fillcolor="#44546a [3215]" stroked="f" strokeweight="1pt">
                    <v:textbox inset="14.4pt,14.4pt,14.4pt,28.8pt">
                      <w:txbxContent>
                        <w:p w14:paraId="3D835CA6" w14:textId="2109DDE9" w:rsidR="004433EB" w:rsidRDefault="004433EB">
                          <w:pPr>
                            <w:spacing w:before="240"/>
                            <w:jc w:val="center"/>
                            <w:rPr>
                              <w:color w:val="FFFFFF" w:themeColor="background1"/>
                            </w:rPr>
                          </w:pPr>
                        </w:p>
                      </w:txbxContent>
                    </v:textbox>
                    <w10:wrap anchorx="page" anchory="page"/>
                  </v:rect>
                </w:pict>
              </mc:Fallback>
            </mc:AlternateContent>
          </w:r>
          <w:r w:rsidR="004433EB">
            <w:rPr>
              <w:noProof/>
            </w:rPr>
            <mc:AlternateContent>
              <mc:Choice Requires="wps">
                <w:drawing>
                  <wp:anchor distT="0" distB="0" distL="114300" distR="114300" simplePos="0" relativeHeight="251663360" behindDoc="1" locked="0" layoutInCell="1" allowOverlap="1" wp14:anchorId="2A051A70" wp14:editId="0A26452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FF9AD1" w14:textId="77777777" w:rsidR="004433EB" w:rsidRDefault="004433E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051A7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7FF9AD1" w14:textId="77777777" w:rsidR="004433EB" w:rsidRDefault="004433EB"/>
                      </w:txbxContent>
                    </v:textbox>
                    <w10:wrap anchorx="page" anchory="page"/>
                  </v:rect>
                </w:pict>
              </mc:Fallback>
            </mc:AlternateContent>
          </w:r>
          <w:r w:rsidR="004433EB">
            <w:rPr>
              <w:noProof/>
            </w:rPr>
            <mc:AlternateContent>
              <mc:Choice Requires="wps">
                <w:drawing>
                  <wp:anchor distT="0" distB="0" distL="114300" distR="114300" simplePos="0" relativeHeight="251659264" behindDoc="0" locked="0" layoutInCell="1" allowOverlap="1" wp14:anchorId="51E9B0E9" wp14:editId="0D34C5F2">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80FA7D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4433EB">
            <w:rPr>
              <w:noProof/>
            </w:rPr>
            <mc:AlternateContent>
              <mc:Choice Requires="wps">
                <w:drawing>
                  <wp:anchor distT="0" distB="0" distL="114300" distR="114300" simplePos="0" relativeHeight="251662336" behindDoc="0" locked="0" layoutInCell="1" allowOverlap="1" wp14:anchorId="3C9A8C96" wp14:editId="10102EC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D569D7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004433EB">
            <w:rPr>
              <w:noProof/>
            </w:rPr>
            <mc:AlternateContent>
              <mc:Choice Requires="wps">
                <w:drawing>
                  <wp:anchor distT="0" distB="0" distL="114300" distR="114300" simplePos="0" relativeHeight="251661312" behindDoc="0" locked="0" layoutInCell="1" allowOverlap="1" wp14:anchorId="57DEA144" wp14:editId="12DD90E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65818708" w14:textId="77777777" w:rsidR="004433EB" w:rsidRPr="00C72222" w:rsidRDefault="004433EB" w:rsidP="004433EB">
                                <w:pPr>
                                  <w:spacing w:line="240" w:lineRule="auto"/>
                                  <w:rPr>
                                    <w:rFonts w:asciiTheme="majorHAnsi" w:eastAsiaTheme="majorEastAsia" w:hAnsiTheme="majorHAnsi" w:cstheme="majorBidi"/>
                                    <w:b/>
                                    <w:bCs/>
                                    <w:noProof/>
                                    <w:color w:val="4472C4" w:themeColor="accent1"/>
                                    <w:sz w:val="48"/>
                                    <w:szCs w:val="48"/>
                                  </w:rPr>
                                </w:pPr>
                                <w:r w:rsidRPr="00C72222">
                                  <w:rPr>
                                    <w:rFonts w:asciiTheme="majorHAnsi" w:eastAsiaTheme="majorEastAsia" w:hAnsiTheme="majorHAnsi" w:cstheme="majorBidi"/>
                                    <w:b/>
                                    <w:bCs/>
                                    <w:noProof/>
                                    <w:color w:val="4472C4" w:themeColor="accent1"/>
                                    <w:sz w:val="48"/>
                                    <w:szCs w:val="48"/>
                                  </w:rPr>
                                  <w:t>Community</w:t>
                                </w:r>
                                <w:r w:rsidRPr="00C72222">
                                  <w:rPr>
                                    <w:rFonts w:asciiTheme="majorHAnsi" w:eastAsiaTheme="majorEastAsia" w:hAnsiTheme="majorHAnsi" w:cstheme="majorBidi"/>
                                    <w:b/>
                                    <w:bCs/>
                                    <w:noProof/>
                                    <w:color w:val="4472C4" w:themeColor="accent1"/>
                                    <w:sz w:val="48"/>
                                    <w:szCs w:val="48"/>
                                  </w:rPr>
                                  <w:t xml:space="preserve"> </w:t>
                                </w:r>
                                <w:r w:rsidRPr="00C72222">
                                  <w:rPr>
                                    <w:rFonts w:asciiTheme="majorHAnsi" w:eastAsiaTheme="majorEastAsia" w:hAnsiTheme="majorHAnsi" w:cstheme="majorBidi"/>
                                    <w:b/>
                                    <w:bCs/>
                                    <w:noProof/>
                                    <w:color w:val="4472C4" w:themeColor="accent1"/>
                                    <w:sz w:val="48"/>
                                    <w:szCs w:val="48"/>
                                  </w:rPr>
                                  <w:t>engagement</w:t>
                                </w:r>
                              </w:p>
                              <w:p w14:paraId="7AC8BE40" w14:textId="7822AE31" w:rsidR="004433EB" w:rsidRPr="004433EB" w:rsidRDefault="004433EB" w:rsidP="004433EB">
                                <w:pPr>
                                  <w:spacing w:line="240" w:lineRule="auto"/>
                                  <w:rPr>
                                    <w:rFonts w:asciiTheme="majorHAnsi" w:eastAsiaTheme="majorEastAsia" w:hAnsiTheme="majorHAnsi" w:cstheme="majorBidi"/>
                                    <w:noProof/>
                                    <w:color w:val="4472C4" w:themeColor="accent1"/>
                                    <w:sz w:val="72"/>
                                    <w:szCs w:val="72"/>
                                  </w:rPr>
                                </w:pPr>
                                <w:r w:rsidRPr="004433EB">
                                  <w:rPr>
                                    <w:rFonts w:asciiTheme="majorHAnsi" w:eastAsiaTheme="majorEastAsia" w:hAnsiTheme="majorHAnsi" w:cstheme="majorBidi"/>
                                    <w:noProof/>
                                    <w:color w:val="4472C4" w:themeColor="accent1"/>
                                    <w:sz w:val="32"/>
                                    <w:szCs w:val="32"/>
                                  </w:rPr>
                                  <w:t>Assignment 1</w:t>
                                </w:r>
                              </w:p>
                              <w:p w14:paraId="02379943" w14:textId="0702655E" w:rsidR="004433EB" w:rsidRDefault="004433EB">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7DEA144"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65818708" w14:textId="77777777" w:rsidR="004433EB" w:rsidRPr="00C72222" w:rsidRDefault="004433EB" w:rsidP="004433EB">
                          <w:pPr>
                            <w:spacing w:line="240" w:lineRule="auto"/>
                            <w:rPr>
                              <w:rFonts w:asciiTheme="majorHAnsi" w:eastAsiaTheme="majorEastAsia" w:hAnsiTheme="majorHAnsi" w:cstheme="majorBidi"/>
                              <w:b/>
                              <w:bCs/>
                              <w:noProof/>
                              <w:color w:val="4472C4" w:themeColor="accent1"/>
                              <w:sz w:val="48"/>
                              <w:szCs w:val="48"/>
                            </w:rPr>
                          </w:pPr>
                          <w:r w:rsidRPr="00C72222">
                            <w:rPr>
                              <w:rFonts w:asciiTheme="majorHAnsi" w:eastAsiaTheme="majorEastAsia" w:hAnsiTheme="majorHAnsi" w:cstheme="majorBidi"/>
                              <w:b/>
                              <w:bCs/>
                              <w:noProof/>
                              <w:color w:val="4472C4" w:themeColor="accent1"/>
                              <w:sz w:val="48"/>
                              <w:szCs w:val="48"/>
                            </w:rPr>
                            <w:t>Community</w:t>
                          </w:r>
                          <w:r w:rsidRPr="00C72222">
                            <w:rPr>
                              <w:rFonts w:asciiTheme="majorHAnsi" w:eastAsiaTheme="majorEastAsia" w:hAnsiTheme="majorHAnsi" w:cstheme="majorBidi"/>
                              <w:b/>
                              <w:bCs/>
                              <w:noProof/>
                              <w:color w:val="4472C4" w:themeColor="accent1"/>
                              <w:sz w:val="48"/>
                              <w:szCs w:val="48"/>
                            </w:rPr>
                            <w:t xml:space="preserve"> </w:t>
                          </w:r>
                          <w:r w:rsidRPr="00C72222">
                            <w:rPr>
                              <w:rFonts w:asciiTheme="majorHAnsi" w:eastAsiaTheme="majorEastAsia" w:hAnsiTheme="majorHAnsi" w:cstheme="majorBidi"/>
                              <w:b/>
                              <w:bCs/>
                              <w:noProof/>
                              <w:color w:val="4472C4" w:themeColor="accent1"/>
                              <w:sz w:val="48"/>
                              <w:szCs w:val="48"/>
                            </w:rPr>
                            <w:t>engagement</w:t>
                          </w:r>
                        </w:p>
                        <w:p w14:paraId="7AC8BE40" w14:textId="7822AE31" w:rsidR="004433EB" w:rsidRPr="004433EB" w:rsidRDefault="004433EB" w:rsidP="004433EB">
                          <w:pPr>
                            <w:spacing w:line="240" w:lineRule="auto"/>
                            <w:rPr>
                              <w:rFonts w:asciiTheme="majorHAnsi" w:eastAsiaTheme="majorEastAsia" w:hAnsiTheme="majorHAnsi" w:cstheme="majorBidi"/>
                              <w:noProof/>
                              <w:color w:val="4472C4" w:themeColor="accent1"/>
                              <w:sz w:val="72"/>
                              <w:szCs w:val="72"/>
                            </w:rPr>
                          </w:pPr>
                          <w:r w:rsidRPr="004433EB">
                            <w:rPr>
                              <w:rFonts w:asciiTheme="majorHAnsi" w:eastAsiaTheme="majorEastAsia" w:hAnsiTheme="majorHAnsi" w:cstheme="majorBidi"/>
                              <w:noProof/>
                              <w:color w:val="4472C4" w:themeColor="accent1"/>
                              <w:sz w:val="32"/>
                              <w:szCs w:val="32"/>
                            </w:rPr>
                            <w:t>Assignment 1</w:t>
                          </w:r>
                        </w:p>
                        <w:p w14:paraId="02379943" w14:textId="0702655E" w:rsidR="004433EB" w:rsidRDefault="004433EB">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27E8DA07" w14:textId="7432EB42" w:rsidR="004433EB" w:rsidRDefault="004433EB">
          <w:pPr>
            <w:rPr>
              <w:lang w:val="en-GB"/>
            </w:rPr>
          </w:pPr>
          <w:r>
            <w:rPr>
              <w:noProof/>
            </w:rPr>
            <mc:AlternateContent>
              <mc:Choice Requires="wps">
                <w:drawing>
                  <wp:anchor distT="0" distB="0" distL="114300" distR="114300" simplePos="0" relativeHeight="251664384" behindDoc="0" locked="0" layoutInCell="1" allowOverlap="1" wp14:anchorId="4076E468" wp14:editId="26F0FE66">
                    <wp:simplePos x="0" y="0"/>
                    <wp:positionH relativeFrom="page">
                      <wp:posOffset>4939230</wp:posOffset>
                    </wp:positionH>
                    <wp:positionV relativeFrom="page">
                      <wp:posOffset>6099670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69E1A21" w14:textId="77777777" w:rsidR="004433EB" w:rsidRPr="004433EB" w:rsidRDefault="004433EB" w:rsidP="004433EB">
                                <w:pPr>
                                  <w:pStyle w:val="NoSpacing"/>
                                  <w:rPr>
                                    <w:noProof/>
                                    <w:color w:val="44546A" w:themeColor="text2"/>
                                  </w:rPr>
                                </w:pPr>
                                <w:r w:rsidRPr="004433EB">
                                  <w:rPr>
                                    <w:noProof/>
                                    <w:color w:val="44546A" w:themeColor="text2"/>
                                  </w:rPr>
                                  <w:t>Elitsa Ivanova</w:t>
                                </w:r>
                              </w:p>
                              <w:p w14:paraId="2A5D5C2D" w14:textId="77777777" w:rsidR="004433EB" w:rsidRPr="004433EB" w:rsidRDefault="004433EB" w:rsidP="004433EB">
                                <w:pPr>
                                  <w:pStyle w:val="NoSpacing"/>
                                  <w:rPr>
                                    <w:noProof/>
                                    <w:color w:val="44546A" w:themeColor="text2"/>
                                  </w:rPr>
                                </w:pPr>
                                <w:r w:rsidRPr="004433EB">
                                  <w:rPr>
                                    <w:noProof/>
                                    <w:color w:val="44546A" w:themeColor="text2"/>
                                  </w:rPr>
                                  <w:t>Student ID:2123375</w:t>
                                </w:r>
                              </w:p>
                              <w:p w14:paraId="5AA5EB4F" w14:textId="77777777" w:rsidR="004433EB" w:rsidRPr="004433EB" w:rsidRDefault="004433EB" w:rsidP="004433EB">
                                <w:pPr>
                                  <w:pStyle w:val="NoSpacing"/>
                                  <w:rPr>
                                    <w:noProof/>
                                    <w:color w:val="44546A" w:themeColor="text2"/>
                                  </w:rPr>
                                </w:pPr>
                                <w:r w:rsidRPr="004433EB">
                                  <w:rPr>
                                    <w:noProof/>
                                    <w:color w:val="44546A" w:themeColor="text2"/>
                                  </w:rPr>
                                  <w:t>Module code LCBB4002</w:t>
                                </w:r>
                              </w:p>
                              <w:p w14:paraId="44D74BE1" w14:textId="2A41220C" w:rsidR="004433EB" w:rsidRDefault="004433EB" w:rsidP="004433EB">
                                <w:pPr>
                                  <w:pStyle w:val="NoSpacing"/>
                                  <w:rPr>
                                    <w:noProof/>
                                    <w:color w:val="44546A" w:themeColor="text2"/>
                                  </w:rPr>
                                </w:pPr>
                                <w:r w:rsidRPr="004433EB">
                                  <w:rPr>
                                    <w:noProof/>
                                    <w:color w:val="44546A" w:themeColor="text2"/>
                                  </w:rPr>
                                  <w:t>Lecturer Anita Nan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076E468" id="Text Box 465" o:spid="_x0000_s1029" type="#_x0000_t202" style="position:absolute;margin-left:388.9pt;margin-top:480.3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" filled="f" stroked="f" strokeweight=".5pt">
                    <v:textbox style="mso-fit-shape-to-text:t">
                      <w:txbxContent>
                        <w:p w14:paraId="769E1A21" w14:textId="77777777" w:rsidR="004433EB" w:rsidRPr="004433EB" w:rsidRDefault="004433EB" w:rsidP="004433EB">
                          <w:pPr>
                            <w:pStyle w:val="NoSpacing"/>
                            <w:rPr>
                              <w:noProof/>
                              <w:color w:val="44546A" w:themeColor="text2"/>
                            </w:rPr>
                          </w:pPr>
                          <w:r w:rsidRPr="004433EB">
                            <w:rPr>
                              <w:noProof/>
                              <w:color w:val="44546A" w:themeColor="text2"/>
                            </w:rPr>
                            <w:t>Elitsa Ivanova</w:t>
                          </w:r>
                        </w:p>
                        <w:p w14:paraId="2A5D5C2D" w14:textId="77777777" w:rsidR="004433EB" w:rsidRPr="004433EB" w:rsidRDefault="004433EB" w:rsidP="004433EB">
                          <w:pPr>
                            <w:pStyle w:val="NoSpacing"/>
                            <w:rPr>
                              <w:noProof/>
                              <w:color w:val="44546A" w:themeColor="text2"/>
                            </w:rPr>
                          </w:pPr>
                          <w:r w:rsidRPr="004433EB">
                            <w:rPr>
                              <w:noProof/>
                              <w:color w:val="44546A" w:themeColor="text2"/>
                            </w:rPr>
                            <w:t>Student ID:2123375</w:t>
                          </w:r>
                        </w:p>
                        <w:p w14:paraId="5AA5EB4F" w14:textId="77777777" w:rsidR="004433EB" w:rsidRPr="004433EB" w:rsidRDefault="004433EB" w:rsidP="004433EB">
                          <w:pPr>
                            <w:pStyle w:val="NoSpacing"/>
                            <w:rPr>
                              <w:noProof/>
                              <w:color w:val="44546A" w:themeColor="text2"/>
                            </w:rPr>
                          </w:pPr>
                          <w:r w:rsidRPr="004433EB">
                            <w:rPr>
                              <w:noProof/>
                              <w:color w:val="44546A" w:themeColor="text2"/>
                            </w:rPr>
                            <w:t>Module code LCBB4002</w:t>
                          </w:r>
                        </w:p>
                        <w:p w14:paraId="44D74BE1" w14:textId="2A41220C" w:rsidR="004433EB" w:rsidRDefault="004433EB" w:rsidP="004433EB">
                          <w:pPr>
                            <w:pStyle w:val="NoSpacing"/>
                            <w:rPr>
                              <w:noProof/>
                              <w:color w:val="44546A" w:themeColor="text2"/>
                            </w:rPr>
                          </w:pPr>
                          <w:r w:rsidRPr="004433EB">
                            <w:rPr>
                              <w:noProof/>
                              <w:color w:val="44546A" w:themeColor="text2"/>
                            </w:rPr>
                            <w:t>Lecturer Anita Nan</w:t>
                          </w:r>
                        </w:p>
                      </w:txbxContent>
                    </v:textbox>
                    <w10:wrap type="square" anchorx="page" anchory="page"/>
                  </v:shape>
                </w:pict>
              </mc:Fallback>
            </mc:AlternateContent>
          </w:r>
          <w:r>
            <w:rPr>
              <w:lang w:val="en-GB"/>
            </w:rPr>
            <w:br w:type="page"/>
          </w:r>
        </w:p>
      </w:sdtContent>
    </w:sdt>
    <w:sdt>
      <w:sdtPr>
        <w:rPr>
          <w:lang w:val="en-GB"/>
        </w:rPr>
        <w:id w:val="616028660"/>
        <w:docPartObj>
          <w:docPartGallery w:val="Table of Contents"/>
          <w:docPartUnique/>
        </w:docPartObj>
      </w:sdtPr>
      <w:sdtEndPr>
        <w:rPr>
          <w:noProof/>
        </w:rPr>
      </w:sdtEndPr>
      <w:sdtContent>
        <w:p w14:paraId="422AA70D" w14:textId="2B010401" w:rsidR="004433EB" w:rsidRPr="004433EB" w:rsidRDefault="004433EB" w:rsidP="004433EB">
          <w:pPr>
            <w:keepNext/>
            <w:keepLines/>
            <w:spacing w:before="480" w:after="0" w:line="276" w:lineRule="auto"/>
            <w:rPr>
              <w:rFonts w:asciiTheme="majorHAnsi" w:eastAsiaTheme="majorEastAsia" w:hAnsiTheme="majorHAnsi" w:cstheme="majorBidi"/>
              <w:b/>
              <w:bCs/>
              <w:color w:val="2F5496" w:themeColor="accent1" w:themeShade="BF"/>
              <w:sz w:val="28"/>
              <w:szCs w:val="28"/>
              <w:lang w:eastAsia="ja-JP"/>
            </w:rPr>
          </w:pPr>
          <w:r w:rsidRPr="004433EB">
            <w:rPr>
              <w:rFonts w:asciiTheme="majorHAnsi" w:eastAsiaTheme="majorEastAsia" w:hAnsiTheme="majorHAnsi" w:cstheme="majorBidi"/>
              <w:b/>
              <w:bCs/>
              <w:color w:val="2F5496" w:themeColor="accent1" w:themeShade="BF"/>
              <w:sz w:val="28"/>
              <w:szCs w:val="28"/>
              <w:lang w:eastAsia="ja-JP"/>
            </w:rPr>
            <w:t>Contents</w:t>
          </w:r>
        </w:p>
        <w:p w14:paraId="7957692C" w14:textId="77777777" w:rsidR="004433EB" w:rsidRPr="004433EB" w:rsidRDefault="004433EB" w:rsidP="004433EB">
          <w:pPr>
            <w:rPr>
              <w:lang w:eastAsia="ja-JP"/>
            </w:rPr>
          </w:pPr>
        </w:p>
        <w:p w14:paraId="296AB9D1" w14:textId="77777777" w:rsidR="004433EB" w:rsidRPr="004433EB" w:rsidRDefault="004433EB" w:rsidP="004433EB">
          <w:pPr>
            <w:tabs>
              <w:tab w:val="right" w:leader="dot" w:pos="9016"/>
            </w:tabs>
            <w:spacing w:after="100"/>
            <w:rPr>
              <w:rFonts w:eastAsiaTheme="minorEastAsia"/>
              <w:noProof/>
              <w:lang w:val="en-GB" w:eastAsia="en-GB"/>
            </w:rPr>
          </w:pPr>
          <w:r w:rsidRPr="004433EB">
            <w:rPr>
              <w:lang w:val="en-GB"/>
            </w:rPr>
            <w:fldChar w:fldCharType="begin"/>
          </w:r>
          <w:r w:rsidRPr="004433EB">
            <w:rPr>
              <w:lang w:val="en-GB"/>
            </w:rPr>
            <w:instrText xml:space="preserve"> TOC \o "1-3" \h \z \u </w:instrText>
          </w:r>
          <w:r w:rsidRPr="004433EB">
            <w:rPr>
              <w:lang w:val="en-GB"/>
            </w:rPr>
            <w:fldChar w:fldCharType="separate"/>
          </w:r>
          <w:hyperlink w:anchor="_Toc113406223" w:history="1">
            <w:r w:rsidRPr="004433EB">
              <w:rPr>
                <w:noProof/>
                <w:color w:val="0563C1" w:themeColor="hyperlink"/>
                <w:u w:val="single"/>
                <w:lang w:val="en-GB"/>
              </w:rPr>
              <w:t>Introduction</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_Toc113406223 \h </w:instrText>
            </w:r>
            <w:r w:rsidRPr="004433EB">
              <w:rPr>
                <w:noProof/>
                <w:webHidden/>
                <w:lang w:val="en-GB"/>
              </w:rPr>
            </w:r>
            <w:r w:rsidRPr="004433EB">
              <w:rPr>
                <w:noProof/>
                <w:webHidden/>
                <w:lang w:val="en-GB"/>
              </w:rPr>
              <w:fldChar w:fldCharType="separate"/>
            </w:r>
            <w:r w:rsidRPr="004433EB">
              <w:rPr>
                <w:noProof/>
                <w:webHidden/>
                <w:lang w:val="en-GB"/>
              </w:rPr>
              <w:t>3</w:t>
            </w:r>
            <w:r w:rsidRPr="004433EB">
              <w:rPr>
                <w:noProof/>
                <w:webHidden/>
                <w:lang w:val="en-GB"/>
              </w:rPr>
              <w:fldChar w:fldCharType="end"/>
            </w:r>
          </w:hyperlink>
        </w:p>
        <w:p w14:paraId="7E675213" w14:textId="77777777" w:rsidR="004433EB" w:rsidRPr="004433EB" w:rsidRDefault="004433EB" w:rsidP="004433EB">
          <w:pPr>
            <w:tabs>
              <w:tab w:val="right" w:leader="dot" w:pos="9016"/>
            </w:tabs>
            <w:spacing w:after="100"/>
            <w:rPr>
              <w:rFonts w:eastAsiaTheme="minorEastAsia"/>
              <w:noProof/>
              <w:lang w:val="en-GB" w:eastAsia="en-GB"/>
            </w:rPr>
          </w:pPr>
          <w:hyperlink w:anchor="_Toc113406224" w:history="1">
            <w:r w:rsidRPr="004433EB">
              <w:rPr>
                <w:noProof/>
                <w:color w:val="0563C1" w:themeColor="hyperlink"/>
                <w:u w:val="single"/>
                <w:lang w:val="en-GB"/>
              </w:rPr>
              <w:t>Community Engagement</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_Toc113406224 \h </w:instrText>
            </w:r>
            <w:r w:rsidRPr="004433EB">
              <w:rPr>
                <w:noProof/>
                <w:webHidden/>
                <w:lang w:val="en-GB"/>
              </w:rPr>
            </w:r>
            <w:r w:rsidRPr="004433EB">
              <w:rPr>
                <w:noProof/>
                <w:webHidden/>
                <w:lang w:val="en-GB"/>
              </w:rPr>
              <w:fldChar w:fldCharType="separate"/>
            </w:r>
            <w:r w:rsidRPr="004433EB">
              <w:rPr>
                <w:noProof/>
                <w:webHidden/>
                <w:lang w:val="en-GB"/>
              </w:rPr>
              <w:t>4</w:t>
            </w:r>
            <w:r w:rsidRPr="004433EB">
              <w:rPr>
                <w:noProof/>
                <w:webHidden/>
                <w:lang w:val="en-GB"/>
              </w:rPr>
              <w:fldChar w:fldCharType="end"/>
            </w:r>
          </w:hyperlink>
        </w:p>
        <w:p w14:paraId="5CC4AA39" w14:textId="77777777" w:rsidR="004433EB" w:rsidRPr="004433EB" w:rsidRDefault="004433EB" w:rsidP="004433EB">
          <w:pPr>
            <w:tabs>
              <w:tab w:val="right" w:leader="dot" w:pos="9016"/>
            </w:tabs>
            <w:spacing w:after="100"/>
            <w:rPr>
              <w:rFonts w:eastAsiaTheme="minorEastAsia"/>
              <w:noProof/>
              <w:lang w:val="en-GB" w:eastAsia="en-GB"/>
            </w:rPr>
          </w:pPr>
          <w:hyperlink w:anchor="_Toc113406225" w:history="1">
            <w:r w:rsidRPr="004433EB">
              <w:rPr>
                <w:noProof/>
                <w:color w:val="0563C1" w:themeColor="hyperlink"/>
                <w:u w:val="single"/>
                <w:lang w:val="en-GB"/>
              </w:rPr>
              <w:t>Exploration on different ways to engage with community members effectively</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_Toc113406225 \h </w:instrText>
            </w:r>
            <w:r w:rsidRPr="004433EB">
              <w:rPr>
                <w:noProof/>
                <w:webHidden/>
                <w:lang w:val="en-GB"/>
              </w:rPr>
            </w:r>
            <w:r w:rsidRPr="004433EB">
              <w:rPr>
                <w:noProof/>
                <w:webHidden/>
                <w:lang w:val="en-GB"/>
              </w:rPr>
              <w:fldChar w:fldCharType="separate"/>
            </w:r>
            <w:r w:rsidRPr="004433EB">
              <w:rPr>
                <w:noProof/>
                <w:webHidden/>
                <w:lang w:val="en-GB"/>
              </w:rPr>
              <w:t>4</w:t>
            </w:r>
            <w:r w:rsidRPr="004433EB">
              <w:rPr>
                <w:noProof/>
                <w:webHidden/>
                <w:lang w:val="en-GB"/>
              </w:rPr>
              <w:fldChar w:fldCharType="end"/>
            </w:r>
          </w:hyperlink>
        </w:p>
        <w:p w14:paraId="7FC32857" w14:textId="77777777" w:rsidR="004433EB" w:rsidRPr="004433EB" w:rsidRDefault="004433EB" w:rsidP="004433EB">
          <w:pPr>
            <w:tabs>
              <w:tab w:val="right" w:leader="dot" w:pos="9016"/>
            </w:tabs>
            <w:spacing w:after="100"/>
            <w:rPr>
              <w:rFonts w:eastAsiaTheme="minorEastAsia"/>
              <w:noProof/>
              <w:lang w:val="en-GB" w:eastAsia="en-GB"/>
            </w:rPr>
          </w:pPr>
          <w:hyperlink w:anchor="_Toc113406226" w:history="1">
            <w:r w:rsidRPr="004433EB">
              <w:rPr>
                <w:noProof/>
                <w:color w:val="0563C1" w:themeColor="hyperlink"/>
                <w:u w:val="single"/>
                <w:lang w:val="en-GB"/>
              </w:rPr>
              <w:t>Community participation</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_Toc113406226 \h </w:instrText>
            </w:r>
            <w:r w:rsidRPr="004433EB">
              <w:rPr>
                <w:noProof/>
                <w:webHidden/>
                <w:lang w:val="en-GB"/>
              </w:rPr>
            </w:r>
            <w:r w:rsidRPr="004433EB">
              <w:rPr>
                <w:noProof/>
                <w:webHidden/>
                <w:lang w:val="en-GB"/>
              </w:rPr>
              <w:fldChar w:fldCharType="separate"/>
            </w:r>
            <w:r w:rsidRPr="004433EB">
              <w:rPr>
                <w:noProof/>
                <w:webHidden/>
                <w:lang w:val="en-GB"/>
              </w:rPr>
              <w:t>6</w:t>
            </w:r>
            <w:r w:rsidRPr="004433EB">
              <w:rPr>
                <w:noProof/>
                <w:webHidden/>
                <w:lang w:val="en-GB"/>
              </w:rPr>
              <w:fldChar w:fldCharType="end"/>
            </w:r>
          </w:hyperlink>
        </w:p>
        <w:p w14:paraId="7CEF976D" w14:textId="77777777" w:rsidR="004433EB" w:rsidRPr="004433EB" w:rsidRDefault="004433EB" w:rsidP="004433EB">
          <w:pPr>
            <w:tabs>
              <w:tab w:val="right" w:leader="dot" w:pos="9016"/>
            </w:tabs>
            <w:spacing w:after="100"/>
            <w:rPr>
              <w:rFonts w:eastAsiaTheme="minorEastAsia"/>
              <w:noProof/>
              <w:lang w:val="en-GB" w:eastAsia="en-GB"/>
            </w:rPr>
          </w:pPr>
          <w:hyperlink w:anchor="_Toc113406227" w:history="1">
            <w:r w:rsidRPr="004433EB">
              <w:rPr>
                <w:noProof/>
                <w:color w:val="0563C1" w:themeColor="hyperlink"/>
                <w:u w:val="single"/>
                <w:lang w:val="en-GB"/>
              </w:rPr>
              <w:t>Conclusion</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_Toc113406227 \h </w:instrText>
            </w:r>
            <w:r w:rsidRPr="004433EB">
              <w:rPr>
                <w:noProof/>
                <w:webHidden/>
                <w:lang w:val="en-GB"/>
              </w:rPr>
            </w:r>
            <w:r w:rsidRPr="004433EB">
              <w:rPr>
                <w:noProof/>
                <w:webHidden/>
                <w:lang w:val="en-GB"/>
              </w:rPr>
              <w:fldChar w:fldCharType="separate"/>
            </w:r>
            <w:r w:rsidRPr="004433EB">
              <w:rPr>
                <w:noProof/>
                <w:webHidden/>
                <w:lang w:val="en-GB"/>
              </w:rPr>
              <w:t>8</w:t>
            </w:r>
            <w:r w:rsidRPr="004433EB">
              <w:rPr>
                <w:noProof/>
                <w:webHidden/>
                <w:lang w:val="en-GB"/>
              </w:rPr>
              <w:fldChar w:fldCharType="end"/>
            </w:r>
          </w:hyperlink>
        </w:p>
        <w:p w14:paraId="0E911A53" w14:textId="77777777" w:rsidR="004433EB" w:rsidRPr="004433EB" w:rsidRDefault="004433EB" w:rsidP="004433EB">
          <w:pPr>
            <w:tabs>
              <w:tab w:val="right" w:leader="dot" w:pos="9016"/>
            </w:tabs>
            <w:spacing w:after="100"/>
            <w:rPr>
              <w:rFonts w:eastAsiaTheme="minorEastAsia"/>
              <w:noProof/>
              <w:lang w:val="en-GB" w:eastAsia="en-GB"/>
            </w:rPr>
          </w:pPr>
          <w:hyperlink w:anchor="_Toc113406228" w:history="1">
            <w:r w:rsidRPr="004433EB">
              <w:rPr>
                <w:noProof/>
                <w:color w:val="0563C1" w:themeColor="hyperlink"/>
                <w:u w:val="single"/>
                <w:lang w:val="en-GB"/>
              </w:rPr>
              <w:t>References</w:t>
            </w:r>
            <w:r w:rsidRPr="004433EB">
              <w:rPr>
                <w:noProof/>
                <w:webHidden/>
                <w:lang w:val="en-GB"/>
              </w:rPr>
              <w:tab/>
            </w:r>
            <w:r w:rsidRPr="004433EB">
              <w:rPr>
                <w:noProof/>
                <w:webHidden/>
                <w:lang w:val="en-GB"/>
              </w:rPr>
              <w:fldChar w:fldCharType="begin"/>
            </w:r>
            <w:r w:rsidRPr="004433EB">
              <w:rPr>
                <w:noProof/>
                <w:webHidden/>
                <w:lang w:val="en-GB"/>
              </w:rPr>
              <w:instrText xml:space="preserve"> PAGEREF _Toc113406228 \h </w:instrText>
            </w:r>
            <w:r w:rsidRPr="004433EB">
              <w:rPr>
                <w:noProof/>
                <w:webHidden/>
                <w:lang w:val="en-GB"/>
              </w:rPr>
            </w:r>
            <w:r w:rsidRPr="004433EB">
              <w:rPr>
                <w:noProof/>
                <w:webHidden/>
                <w:lang w:val="en-GB"/>
              </w:rPr>
              <w:fldChar w:fldCharType="separate"/>
            </w:r>
            <w:r w:rsidRPr="004433EB">
              <w:rPr>
                <w:noProof/>
                <w:webHidden/>
                <w:lang w:val="en-GB"/>
              </w:rPr>
              <w:t>9</w:t>
            </w:r>
            <w:r w:rsidRPr="004433EB">
              <w:rPr>
                <w:noProof/>
                <w:webHidden/>
                <w:lang w:val="en-GB"/>
              </w:rPr>
              <w:fldChar w:fldCharType="end"/>
            </w:r>
          </w:hyperlink>
        </w:p>
        <w:p w14:paraId="6FABA104" w14:textId="77777777" w:rsidR="004433EB" w:rsidRPr="004433EB" w:rsidRDefault="004433EB" w:rsidP="004433EB">
          <w:pPr>
            <w:rPr>
              <w:lang w:val="en-GB"/>
            </w:rPr>
          </w:pPr>
          <w:r w:rsidRPr="004433EB">
            <w:rPr>
              <w:b/>
              <w:bCs/>
              <w:noProof/>
              <w:lang w:val="en-GB"/>
            </w:rPr>
            <w:fldChar w:fldCharType="end"/>
          </w:r>
        </w:p>
      </w:sdtContent>
    </w:sdt>
    <w:p w14:paraId="264CFF81"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0" w:name="_Toc113406223"/>
    </w:p>
    <w:p w14:paraId="72F2C4D0"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66754E4E"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3D49F229"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58DBD0FB"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03ED0EF8" w14:textId="77777777" w:rsidR="004433EB" w:rsidRPr="004433EB" w:rsidRDefault="004433EB" w:rsidP="004433EB">
      <w:pPr>
        <w:rPr>
          <w:lang w:val="en-GB"/>
        </w:rPr>
      </w:pPr>
    </w:p>
    <w:p w14:paraId="3863F525" w14:textId="77777777" w:rsidR="004433EB" w:rsidRPr="004433EB" w:rsidRDefault="004433EB" w:rsidP="004433EB">
      <w:pPr>
        <w:rPr>
          <w:lang w:val="en-GB"/>
        </w:rPr>
      </w:pPr>
    </w:p>
    <w:p w14:paraId="6DC056FE" w14:textId="77777777" w:rsidR="004433EB" w:rsidRPr="004433EB" w:rsidRDefault="004433EB" w:rsidP="004433EB">
      <w:pPr>
        <w:rPr>
          <w:lang w:val="en-GB"/>
        </w:rPr>
      </w:pPr>
    </w:p>
    <w:p w14:paraId="06D64437"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6503A1DC"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57655162"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64EFFBFC"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p>
    <w:p w14:paraId="65A2D527" w14:textId="77777777" w:rsidR="004433EB" w:rsidRPr="004433EB" w:rsidRDefault="004433EB" w:rsidP="004433EB">
      <w:pPr>
        <w:rPr>
          <w:lang w:val="en-GB"/>
        </w:rPr>
      </w:pPr>
    </w:p>
    <w:p w14:paraId="32D81482"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r w:rsidRPr="004433EB">
        <w:rPr>
          <w:rFonts w:asciiTheme="majorHAnsi" w:eastAsiaTheme="majorEastAsia" w:hAnsiTheme="majorHAnsi" w:cstheme="majorBidi"/>
          <w:b/>
          <w:bCs/>
          <w:color w:val="2F5496" w:themeColor="accent1" w:themeShade="BF"/>
          <w:sz w:val="28"/>
          <w:szCs w:val="28"/>
          <w:lang w:val="en-GB"/>
        </w:rPr>
        <w:lastRenderedPageBreak/>
        <w:t>Introduction</w:t>
      </w:r>
      <w:bookmarkEnd w:id="0"/>
    </w:p>
    <w:p w14:paraId="269782D0"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When examining community engagement projects, certain factors need to be taken into account, including such ways to assist people, outside assistance for the problem, like stakeholders, together with having the necessary ability to create effective strategies to bring awareness toward certain concerns inside the community and bring community involvement and promote diversity, cooperation, and socio-cultural integration. In order to address community health challenges, a full analysis of community engagement strategies and ways that community involvement may support the growth of healthcare organisations will be presented in the evaluation. Along with how stakeholders may actively alter the direction of community engagement initiatives, there is also the issue of involving stakeholders and the significance of stakeholder affecting the overall performance of community engagement. </w:t>
      </w:r>
    </w:p>
    <w:p w14:paraId="1D823943"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This essay will explore the sole notion of community engagement, coupled with a vast exploration of different ways in which community members can be engaged with in an effective manner and extensive discussion on NHS healthcare workers and how their area of expertise can be targeted and improved. Additionally, stakeholder influence and significance will be expanded on, discussing ways in which they can aid with community engagement projects. </w:t>
      </w:r>
    </w:p>
    <w:p w14:paraId="27DB6EB2" w14:textId="77777777" w:rsidR="004433EB" w:rsidRPr="004433EB" w:rsidRDefault="004433EB" w:rsidP="004433EB">
      <w:pPr>
        <w:spacing w:line="360" w:lineRule="auto"/>
        <w:jc w:val="both"/>
        <w:rPr>
          <w:rFonts w:ascii="Arial" w:hAnsi="Arial" w:cs="Arial"/>
          <w:sz w:val="24"/>
          <w:szCs w:val="24"/>
          <w:lang w:val="en-GB"/>
        </w:rPr>
      </w:pPr>
    </w:p>
    <w:p w14:paraId="283274B6" w14:textId="77777777" w:rsidR="004433EB" w:rsidRPr="004433EB" w:rsidRDefault="004433EB" w:rsidP="004433EB">
      <w:pPr>
        <w:spacing w:line="360" w:lineRule="auto"/>
        <w:jc w:val="both"/>
        <w:rPr>
          <w:rFonts w:ascii="Arial" w:hAnsi="Arial" w:cs="Arial"/>
          <w:sz w:val="24"/>
          <w:szCs w:val="24"/>
          <w:lang w:val="en-GB"/>
        </w:rPr>
      </w:pPr>
    </w:p>
    <w:p w14:paraId="32B43FFC" w14:textId="77777777" w:rsidR="004433EB" w:rsidRPr="004433EB" w:rsidRDefault="004433EB" w:rsidP="004433EB">
      <w:pPr>
        <w:spacing w:line="360" w:lineRule="auto"/>
        <w:jc w:val="both"/>
        <w:rPr>
          <w:rFonts w:ascii="Arial" w:hAnsi="Arial" w:cs="Arial"/>
          <w:sz w:val="24"/>
          <w:szCs w:val="24"/>
          <w:lang w:val="en-GB"/>
        </w:rPr>
      </w:pPr>
    </w:p>
    <w:p w14:paraId="48078688" w14:textId="77777777" w:rsidR="004433EB" w:rsidRPr="004433EB" w:rsidRDefault="004433EB" w:rsidP="004433EB">
      <w:pPr>
        <w:spacing w:line="360" w:lineRule="auto"/>
        <w:jc w:val="both"/>
        <w:rPr>
          <w:rFonts w:ascii="Arial" w:hAnsi="Arial" w:cs="Arial"/>
          <w:sz w:val="24"/>
          <w:szCs w:val="24"/>
          <w:lang w:val="en-GB"/>
        </w:rPr>
      </w:pPr>
    </w:p>
    <w:p w14:paraId="63C0DD08" w14:textId="77777777" w:rsidR="004433EB" w:rsidRPr="004433EB" w:rsidRDefault="004433EB" w:rsidP="004433EB">
      <w:pPr>
        <w:spacing w:line="360" w:lineRule="auto"/>
        <w:jc w:val="both"/>
        <w:rPr>
          <w:rFonts w:ascii="Arial" w:hAnsi="Arial" w:cs="Arial"/>
          <w:sz w:val="24"/>
          <w:szCs w:val="24"/>
          <w:lang w:val="en-GB"/>
        </w:rPr>
      </w:pPr>
    </w:p>
    <w:p w14:paraId="78EC5CA3" w14:textId="77777777" w:rsidR="004433EB" w:rsidRPr="004433EB" w:rsidRDefault="004433EB" w:rsidP="004433EB">
      <w:pPr>
        <w:spacing w:line="360" w:lineRule="auto"/>
        <w:jc w:val="both"/>
        <w:rPr>
          <w:rFonts w:ascii="Arial" w:hAnsi="Arial" w:cs="Arial"/>
          <w:sz w:val="24"/>
          <w:szCs w:val="24"/>
          <w:lang w:val="en-GB"/>
        </w:rPr>
      </w:pPr>
    </w:p>
    <w:p w14:paraId="1EAAC62A" w14:textId="77777777" w:rsidR="004433EB" w:rsidRPr="004433EB" w:rsidRDefault="004433EB" w:rsidP="004433EB">
      <w:pPr>
        <w:spacing w:line="360" w:lineRule="auto"/>
        <w:jc w:val="both"/>
        <w:rPr>
          <w:rFonts w:ascii="Arial" w:hAnsi="Arial" w:cs="Arial"/>
          <w:sz w:val="24"/>
          <w:szCs w:val="24"/>
          <w:lang w:val="en-GB"/>
        </w:rPr>
      </w:pPr>
    </w:p>
    <w:p w14:paraId="1880F0EF" w14:textId="77777777" w:rsidR="004433EB" w:rsidRPr="004433EB" w:rsidRDefault="004433EB" w:rsidP="004433EB">
      <w:pPr>
        <w:spacing w:line="360" w:lineRule="auto"/>
        <w:jc w:val="both"/>
        <w:rPr>
          <w:rFonts w:ascii="Arial" w:hAnsi="Arial" w:cs="Arial"/>
          <w:sz w:val="24"/>
          <w:szCs w:val="24"/>
          <w:lang w:val="en-GB"/>
        </w:rPr>
      </w:pPr>
    </w:p>
    <w:p w14:paraId="25A7B2BA" w14:textId="77777777" w:rsidR="004433EB" w:rsidRPr="004433EB" w:rsidRDefault="004433EB" w:rsidP="004433EB">
      <w:pPr>
        <w:spacing w:line="360" w:lineRule="auto"/>
        <w:jc w:val="both"/>
        <w:rPr>
          <w:rFonts w:ascii="Arial" w:hAnsi="Arial" w:cs="Arial"/>
          <w:sz w:val="24"/>
          <w:szCs w:val="24"/>
          <w:lang w:val="en-GB"/>
        </w:rPr>
      </w:pPr>
    </w:p>
    <w:p w14:paraId="2D80625D"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1" w:name="_Toc113406224"/>
      <w:r w:rsidRPr="004433EB">
        <w:rPr>
          <w:rFonts w:asciiTheme="majorHAnsi" w:eastAsiaTheme="majorEastAsia" w:hAnsiTheme="majorHAnsi" w:cstheme="majorBidi"/>
          <w:b/>
          <w:bCs/>
          <w:color w:val="2F5496" w:themeColor="accent1" w:themeShade="BF"/>
          <w:sz w:val="28"/>
          <w:szCs w:val="28"/>
          <w:lang w:val="en-GB"/>
        </w:rPr>
        <w:lastRenderedPageBreak/>
        <w:t>Community Engagement</w:t>
      </w:r>
      <w:bookmarkEnd w:id="1"/>
    </w:p>
    <w:p w14:paraId="314A46A1"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To begin with, the democratic principle that everyone should have a role in the decision-making process surrounding an issue that affects their community is the foundation of community involvement (Hussey, n.d.). Moreover, Hussey argues that community engagement is a promise, in which the involvement of the public can affect long-term goals for them and sustainability (Hussey, n.d.). Community engagement is a direct representation of the way in which efforts are presented to raise the community’s level of life (Hussey, n.d.). In order for a proactive change to take place, there are different community engagement strategies, inclusive of establishing groups within the community, volunteering, along with active participations in elections all contribute towards the positive change within a community (Hussey, n.d.). People from within the community need to exercise a shared ideal, knowledge along with the usage of active communication (Hussey, n.d.). Community involvement is important because it enables residents to support their local government and encourages it to better meet their needs, along with inspiring a social transformation and the improved treatment on more unfortunate members of the community (Hussey, n.d.). </w:t>
      </w:r>
    </w:p>
    <w:p w14:paraId="098454D9"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2" w:name="_Toc113406225"/>
      <w:r w:rsidRPr="004433EB">
        <w:rPr>
          <w:rFonts w:asciiTheme="majorHAnsi" w:eastAsiaTheme="majorEastAsia" w:hAnsiTheme="majorHAnsi" w:cstheme="majorBidi"/>
          <w:b/>
          <w:bCs/>
          <w:color w:val="2F5496" w:themeColor="accent1" w:themeShade="BF"/>
          <w:sz w:val="28"/>
          <w:szCs w:val="28"/>
          <w:lang w:val="en-GB"/>
        </w:rPr>
        <w:t>Exploration on different ways to engage with community members effectively</w:t>
      </w:r>
      <w:bookmarkEnd w:id="2"/>
    </w:p>
    <w:p w14:paraId="34B7D1D0"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For a robust and accountable future in health and public services, Robin Morrison, chair of Engaging Communities Staffordshire widely discusses about why community engagement is so crucial. Morrison highlights, that focusing on community engagement was the best decision for better developing the healthcare environment and has made it their everyday practice (Morrison, 2017). With the clear mission of being the voice of the public, this allowed for the credentials of the NHS Healthwatch services to widely grow, along with local authorities recognising their value (Morrison, 2017). Through the realisation of needing an innovative platform in order to engage with the public, where they can freely voice their opinions, this has put a true emphasis on how community engagement should be at the heart of operations in every field, especially healthcare.  </w:t>
      </w:r>
    </w:p>
    <w:p w14:paraId="0AF8EF42"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There needs to be a further establishment of awareness about mental healthcare issues of NHS workers, since not much research has been done on the manner, however there have been recent attempts of understanding and combatting this. The results of the NHS </w:t>
      </w:r>
      <w:r w:rsidRPr="004433EB">
        <w:rPr>
          <w:rFonts w:ascii="Arial" w:hAnsi="Arial" w:cs="Arial"/>
          <w:sz w:val="24"/>
          <w:szCs w:val="24"/>
          <w:lang w:val="en-GB"/>
        </w:rPr>
        <w:lastRenderedPageBreak/>
        <w:t xml:space="preserve">Staff Survey 2021 show that there is a significant amount of burnout among NHS employees. According to research by The King's Fund, employees of the NHS are 50% more likely to suffer from stress, which is understood to contribute to burnout. Burnout among NHS employees is a result of a number of factors, including personnel shortages, a heavy workload, and pressure to deliver high-quality patient care (NHS Employers, 2022). Burnout is a problem that is </w:t>
      </w:r>
      <w:proofErr w:type="spellStart"/>
      <w:r w:rsidRPr="004433EB">
        <w:rPr>
          <w:rFonts w:ascii="Arial" w:hAnsi="Arial" w:cs="Arial"/>
          <w:sz w:val="24"/>
          <w:szCs w:val="24"/>
          <w:lang w:val="en-GB"/>
        </w:rPr>
        <w:t>occuring</w:t>
      </w:r>
      <w:proofErr w:type="spellEnd"/>
      <w:r w:rsidRPr="004433EB">
        <w:rPr>
          <w:rFonts w:ascii="Arial" w:hAnsi="Arial" w:cs="Arial"/>
          <w:sz w:val="24"/>
          <w:szCs w:val="24"/>
          <w:lang w:val="en-GB"/>
        </w:rPr>
        <w:t xml:space="preserve"> for many years now, but the pandemic has made NHS employees' workloads much more difficult and made the situation worse (NHS Employers, 2022). Employers must take rapid action to combat burnout by fostering a supportive, caring, and pleasant environment that prioritises the health of NHS professionals (NHS Employers,2022). </w:t>
      </w:r>
    </w:p>
    <w:p w14:paraId="0AFF7086"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That being said, few projects have concentrated on enhancing the services offered to mental healthcare workers, irrespective the fact that the need to improve wellbeing and reduce burnout has long been noticed a long time ago. Rapid recognition is needed within multiple communities, in order to target the same issue in many different regions. When health care organisations participate in community participation initiatives, they go above and beyond their traditional responsibility of controlling the effects of health issues. In order to determine what impact community engagement has on health care organisations, this would require for a focus on the overall goal, target audience, and stakeholder involvement in projects. There needs to be an active encouragement of compassionate leadership, as this would aid the NHS staff to feel appreciated, accepted and supported in their own capabilities of their job, as encouraging leaders to set a good example for their team members, as well as be more approachable would vastly enhance worker experience (NHS Employers, 2022). </w:t>
      </w:r>
    </w:p>
    <w:p w14:paraId="048C8B57"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Ways in which stakeholder attention can be gained, along with wider community participation in resolving above-mentioned issues would be through social media, as creating a shared space, where the community can simultaneously voice their opinions and letting them know of issues of current nature would elevate community engagement experience (What Works Cities, 2020). Social media may be used to explain a lot, including the advantages of participating in community participation strategies and the drive to actively address persistent problems from inside. For the resolution of important </w:t>
      </w:r>
      <w:r w:rsidRPr="004433EB">
        <w:rPr>
          <w:rFonts w:ascii="Arial" w:hAnsi="Arial" w:cs="Arial"/>
          <w:sz w:val="24"/>
          <w:szCs w:val="24"/>
          <w:lang w:val="en-GB"/>
        </w:rPr>
        <w:lastRenderedPageBreak/>
        <w:t xml:space="preserve">issues from inside the community, stakeholder involvement and getting their attention are crucial, especially getting their attention online (Eckstein, n.d.). Stakeholder analysis is very useful when used to affect how the task is planned, and carried out.  In order to successfully engage stakeholders, a project expert must focus on understanding different points of view and engage with them in order to achieve the intended objectives (Fernando, 2022). Furthermore, supporters of the idea can use their influence to win over opponents. The influence of stakeholders must constantly be considered when developing initiatives and programmes (Fernando, 2022). However, even if a particular stakeholder has an interest in one project within the community, their impact on that development can still have an effect on the overall strategy and community involvement (Fernando, 2022). </w:t>
      </w:r>
    </w:p>
    <w:p w14:paraId="1ECA4719"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Stakeholder engagement, which is separate from stakeholder management, is subject to many definitions and interpretations. Communities of professionals from many fields, and locations have produced specific meanings of how it is used now. Community management by itself has grown in prominence and denotes the idea that it is feasible to anticipate, plan for, and control the actions and behaviours of stakeholders (Fernando, 2022). Additionally, stakeholder engagement highlights the importance of relationships and, later, how these relationships can directly affect the community and how it functions as a whole. The engagement of stakeholders is also helpful for the carrying out of better communications, discussions and concessions (Fernando, 2022). Above mentioned stakeholder management, along with stakeholder involvement, as previously discussed, are necessary for the successful completion of community initiatives. The allowance of communities to actively participate into deciding how an issue can be fixed is crucial for the realisation of better solutions for the future.</w:t>
      </w:r>
    </w:p>
    <w:p w14:paraId="5116504A"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3" w:name="_Toc113406226"/>
      <w:r w:rsidRPr="004433EB">
        <w:rPr>
          <w:rFonts w:asciiTheme="majorHAnsi" w:eastAsiaTheme="majorEastAsia" w:hAnsiTheme="majorHAnsi" w:cstheme="majorBidi"/>
          <w:b/>
          <w:bCs/>
          <w:color w:val="2F5496" w:themeColor="accent1" w:themeShade="BF"/>
          <w:sz w:val="28"/>
          <w:szCs w:val="28"/>
          <w:lang w:val="en-GB"/>
        </w:rPr>
        <w:t>Community participation</w:t>
      </w:r>
      <w:bookmarkEnd w:id="3"/>
    </w:p>
    <w:p w14:paraId="6013084A"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It is possible to better realise community engagement in a few different ways. The Gibbs Reflection Cycle is one method through which this can be accomplished as this kind of cycle is very helpful for identifying the problems within a community and asks crucial questions about how to solve these problems within the community (University of Cumbria, 2020). The Reflection Cycle is a helpful tool for digesting a single event, or as </w:t>
      </w:r>
      <w:r w:rsidRPr="004433EB">
        <w:rPr>
          <w:rFonts w:ascii="Arial" w:hAnsi="Arial" w:cs="Arial"/>
          <w:sz w:val="24"/>
          <w:szCs w:val="24"/>
          <w:lang w:val="en-GB"/>
        </w:rPr>
        <w:lastRenderedPageBreak/>
        <w:t>in this case, a number of individual experiences, as a unified community. In particular when matters do not go as anticipated, it's very helpful to be supporting individuals in learning from frequently occurring circumstances (Crowe Associates, n.d.)</w:t>
      </w:r>
    </w:p>
    <w:p w14:paraId="5531DDD1"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This particular approach promotes inquiries, such as the offering of internal descriptions of certain events or problems. Moreover, asking questions, such as how did the problem start, what happened, and in what way individuals have reacted to the certain occurrence are a good sign that the community is aware of underlying problems. The Reflective Cycle also promotes emotional exchange since feelings are essential for comprehending why certain events are occurring along with their impact on the general populace (Crowe Associates, n.d.). Understanding others' perspectives and identifying one's own emotions may inspire a more efficient and effective resolution to recurring problems and unite people around a shared goal. Understanding others' perspectives and identifying one's own emotions may inspire a more efficient and effective resolution to recurring problems and unite people around a shared goal (MindTools, 2020). Following the acknowledgement of sentiments, a detailed assessment of how those have affected people and in what way might the situation be improved follows. </w:t>
      </w:r>
    </w:p>
    <w:p w14:paraId="75177A15" w14:textId="77777777" w:rsidR="004433EB" w:rsidRPr="004433EB" w:rsidRDefault="004433EB" w:rsidP="004433EB">
      <w:pPr>
        <w:spacing w:line="360" w:lineRule="auto"/>
        <w:jc w:val="both"/>
        <w:rPr>
          <w:rFonts w:ascii="Arial" w:hAnsi="Arial" w:cs="Arial"/>
          <w:color w:val="222222"/>
          <w:sz w:val="24"/>
          <w:szCs w:val="24"/>
          <w:shd w:val="clear" w:color="auto" w:fill="FFFFFF"/>
          <w:lang w:val="en-GB"/>
        </w:rPr>
      </w:pPr>
      <w:r w:rsidRPr="004433EB">
        <w:rPr>
          <w:rFonts w:ascii="Arial" w:hAnsi="Arial" w:cs="Arial"/>
          <w:sz w:val="24"/>
          <w:szCs w:val="24"/>
          <w:lang w:val="en-GB"/>
        </w:rPr>
        <w:t>Community participation and the lack of promotion of one thereof is a must when addressing an issue from within. The community must find a way to widely disseminate information about such crucial issues concerning healthcare and NHS workers, as well as demanding for the availability of stakeholders, which have the capacity to improve conditions for the disadvantaged and promote multiculturalism and socio-cultural integration (</w:t>
      </w:r>
      <w:proofErr w:type="spellStart"/>
      <w:r w:rsidRPr="004433EB">
        <w:rPr>
          <w:rFonts w:ascii="Arial" w:hAnsi="Arial" w:cs="Arial"/>
          <w:color w:val="222222"/>
          <w:sz w:val="24"/>
          <w:szCs w:val="24"/>
          <w:shd w:val="clear" w:color="auto" w:fill="FFFFFF"/>
          <w:lang w:val="en-GB"/>
        </w:rPr>
        <w:t>Legido</w:t>
      </w:r>
      <w:proofErr w:type="spellEnd"/>
      <w:r w:rsidRPr="004433EB">
        <w:rPr>
          <w:rFonts w:ascii="Arial" w:hAnsi="Arial" w:cs="Arial"/>
          <w:color w:val="222222"/>
          <w:sz w:val="24"/>
          <w:szCs w:val="24"/>
          <w:shd w:val="clear" w:color="auto" w:fill="FFFFFF"/>
          <w:lang w:val="en-GB"/>
        </w:rPr>
        <w:t>-Quigley, 2019).</w:t>
      </w:r>
    </w:p>
    <w:p w14:paraId="20B36BB2"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Social integration requires changing cultural assumptions and systems that support unequal relationships rather than just helping the disadvantaged integrate (</w:t>
      </w:r>
      <w:proofErr w:type="spellStart"/>
      <w:r w:rsidRPr="004433EB">
        <w:rPr>
          <w:rFonts w:ascii="Arial" w:hAnsi="Arial" w:cs="Arial"/>
          <w:sz w:val="24"/>
          <w:szCs w:val="24"/>
          <w:lang w:val="en-GB"/>
        </w:rPr>
        <w:t>Umberson</w:t>
      </w:r>
      <w:proofErr w:type="spellEnd"/>
      <w:r w:rsidRPr="004433EB">
        <w:rPr>
          <w:rFonts w:ascii="Arial" w:hAnsi="Arial" w:cs="Arial"/>
          <w:sz w:val="24"/>
          <w:szCs w:val="24"/>
          <w:lang w:val="en-GB"/>
        </w:rPr>
        <w:t>, 2020). This is why it is of high significance to recognise, that social justice must be made the driving principle for social services. In order to address this, it is essential to recognise the groups of people who face major structural barriers that prohibit them from engaging in community involvement (</w:t>
      </w:r>
      <w:proofErr w:type="spellStart"/>
      <w:r w:rsidRPr="004433EB">
        <w:rPr>
          <w:rFonts w:ascii="Arial" w:hAnsi="Arial" w:cs="Arial"/>
          <w:color w:val="222222"/>
          <w:sz w:val="24"/>
          <w:szCs w:val="24"/>
          <w:shd w:val="clear" w:color="auto" w:fill="FFFFFF"/>
          <w:lang w:val="en-GB"/>
        </w:rPr>
        <w:t>Legido</w:t>
      </w:r>
      <w:proofErr w:type="spellEnd"/>
      <w:r w:rsidRPr="004433EB">
        <w:rPr>
          <w:rFonts w:ascii="Arial" w:hAnsi="Arial" w:cs="Arial"/>
          <w:color w:val="222222"/>
          <w:sz w:val="24"/>
          <w:szCs w:val="24"/>
          <w:shd w:val="clear" w:color="auto" w:fill="FFFFFF"/>
          <w:lang w:val="en-GB"/>
        </w:rPr>
        <w:t xml:space="preserve">-Quigley, 2019). Here, understanding the need for stakeholders is essential if you want to interact with them. By utilising local knowledge, improving involvement, and assisting communities, engagement may also enhance </w:t>
      </w:r>
      <w:r w:rsidRPr="004433EB">
        <w:rPr>
          <w:rFonts w:ascii="Arial" w:hAnsi="Arial" w:cs="Arial"/>
          <w:color w:val="222222"/>
          <w:sz w:val="24"/>
          <w:szCs w:val="24"/>
          <w:shd w:val="clear" w:color="auto" w:fill="FFFFFF"/>
          <w:lang w:val="en-GB"/>
        </w:rPr>
        <w:lastRenderedPageBreak/>
        <w:t>awareness of certain concerns (Barney, 2018). Moreover, through the several engagement stakeholder practices in place there are various ways in which community involvement can be initiated. Planning ahead and practising for obstacles and difficulties before they arise are important strategies to be practiced by the community (Barney, 2018). That being said, this can decrease the effects of the aforementioned difficulties. Additionally, this can identify the resources required by analysing current social problems, since the likelihood of success will be increased if the community is well-equipped with the required resources and help (Barney, 2018).</w:t>
      </w:r>
    </w:p>
    <w:p w14:paraId="1E374D14"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4" w:name="_Toc113406227"/>
      <w:r w:rsidRPr="004433EB">
        <w:rPr>
          <w:rFonts w:asciiTheme="majorHAnsi" w:eastAsiaTheme="majorEastAsia" w:hAnsiTheme="majorHAnsi" w:cstheme="majorBidi"/>
          <w:b/>
          <w:bCs/>
          <w:color w:val="2F5496" w:themeColor="accent1" w:themeShade="BF"/>
          <w:sz w:val="28"/>
          <w:szCs w:val="28"/>
          <w:lang w:val="en-GB"/>
        </w:rPr>
        <w:t>Conclusion</w:t>
      </w:r>
      <w:bookmarkEnd w:id="4"/>
    </w:p>
    <w:p w14:paraId="4A94C1B2"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In conclusion, the encouragement of symptomatic improvement for healthcare professionals within the NHS as well as the successful dissemination of community participation through social media and within communities through various events, activities, and interactions may help draw attention to community engagement requiring concerns. In order for healthcare organisations to transform community member’s lives, mental health of NHS staff, arguably, should be put forwards. The encouragement of sociocultural integration and multiculturalism must be established and in full force for every individual, in addition to better healthcare and understanding of the significance of the aforementioned community involvement and diversity. Although some communities only have a small number of resources, such assets may still be used as part of community involvement initiatives to better meet the requirements of the local population in terms of health.</w:t>
      </w:r>
    </w:p>
    <w:p w14:paraId="47D7A3CD" w14:textId="77777777" w:rsidR="004433EB" w:rsidRPr="004433EB" w:rsidRDefault="004433EB" w:rsidP="004433EB">
      <w:pPr>
        <w:spacing w:line="360" w:lineRule="auto"/>
        <w:jc w:val="both"/>
        <w:rPr>
          <w:rFonts w:ascii="Arial" w:hAnsi="Arial" w:cs="Arial"/>
          <w:sz w:val="24"/>
          <w:szCs w:val="24"/>
          <w:lang w:val="en-GB"/>
        </w:rPr>
      </w:pPr>
      <w:r w:rsidRPr="004433EB">
        <w:rPr>
          <w:rFonts w:ascii="Arial" w:hAnsi="Arial" w:cs="Arial"/>
          <w:sz w:val="24"/>
          <w:szCs w:val="24"/>
          <w:lang w:val="en-GB"/>
        </w:rPr>
        <w:t xml:space="preserve">Moreover, it is crucial to acknowledge that NHS healthcare personnel are continually battling burnout and that there are few initiatives focusing on improving the services provided to them. Improved community engagement would be through a more active perspective on healthcare concerns, in order to attract multiple stakeholders while additionally effectively present the cause. This would give internal and external stakeholders a direction of their efforts towards what matters, as promoting health all the while attracting stakeholders' attention by persuasively demonstrating how this problem directly affects community engagement. This would be an effective strategy on altering </w:t>
      </w:r>
      <w:r w:rsidRPr="004433EB">
        <w:rPr>
          <w:rFonts w:ascii="Arial" w:hAnsi="Arial" w:cs="Arial"/>
          <w:sz w:val="24"/>
          <w:szCs w:val="24"/>
          <w:lang w:val="en-GB"/>
        </w:rPr>
        <w:lastRenderedPageBreak/>
        <w:t xml:space="preserve">the way in which people perceive issues within the community and inspire more action and compassion. </w:t>
      </w:r>
    </w:p>
    <w:p w14:paraId="36B3DD05"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bookmarkStart w:id="5" w:name="_Toc113406228"/>
      <w:r w:rsidRPr="004433EB">
        <w:rPr>
          <w:rFonts w:asciiTheme="majorHAnsi" w:eastAsiaTheme="majorEastAsia" w:hAnsiTheme="majorHAnsi" w:cstheme="majorBidi"/>
          <w:b/>
          <w:bCs/>
          <w:color w:val="2F5496" w:themeColor="accent1" w:themeShade="BF"/>
          <w:sz w:val="28"/>
          <w:szCs w:val="28"/>
          <w:lang w:val="en-GB"/>
        </w:rPr>
        <w:t>References</w:t>
      </w:r>
      <w:bookmarkEnd w:id="5"/>
    </w:p>
    <w:p w14:paraId="2D32D1B9" w14:textId="77777777" w:rsidR="004433EB" w:rsidRPr="004433EB" w:rsidRDefault="004433EB" w:rsidP="004433EB">
      <w:pPr>
        <w:spacing w:line="360" w:lineRule="auto"/>
        <w:rPr>
          <w:rFonts w:ascii="Arial" w:eastAsiaTheme="minorEastAsia" w:hAnsi="Arial" w:cs="Arial"/>
          <w:color w:val="222222"/>
          <w:sz w:val="24"/>
          <w:szCs w:val="24"/>
          <w:shd w:val="clear" w:color="auto" w:fill="FFFFFF"/>
        </w:rPr>
      </w:pPr>
      <w:r w:rsidRPr="004433EB">
        <w:rPr>
          <w:rFonts w:ascii="Arial" w:eastAsiaTheme="minorEastAsia" w:hAnsi="Arial" w:cs="Arial"/>
          <w:color w:val="222222"/>
          <w:sz w:val="24"/>
          <w:szCs w:val="24"/>
          <w:shd w:val="clear" w:color="auto" w:fill="FFFFFF"/>
        </w:rPr>
        <w:t>Barney, J.B., 2018. Why resource</w:t>
      </w:r>
      <w:r w:rsidRPr="004433EB">
        <w:rPr>
          <w:rFonts w:ascii="Cambria Math" w:eastAsiaTheme="minorEastAsia" w:hAnsi="Cambria Math" w:cs="Cambria Math"/>
          <w:color w:val="222222"/>
          <w:sz w:val="24"/>
          <w:szCs w:val="24"/>
          <w:shd w:val="clear" w:color="auto" w:fill="FFFFFF"/>
        </w:rPr>
        <w:t>‐</w:t>
      </w:r>
      <w:r w:rsidRPr="004433EB">
        <w:rPr>
          <w:rFonts w:ascii="Arial" w:eastAsiaTheme="minorEastAsia" w:hAnsi="Arial" w:cs="Arial"/>
          <w:color w:val="222222"/>
          <w:sz w:val="24"/>
          <w:szCs w:val="24"/>
          <w:shd w:val="clear" w:color="auto" w:fill="FFFFFF"/>
        </w:rPr>
        <w:t>based theory's model of profit appropriation must incorporate a stakeholder perspective. </w:t>
      </w:r>
      <w:r w:rsidRPr="004433EB">
        <w:rPr>
          <w:rFonts w:ascii="Arial" w:eastAsiaTheme="minorEastAsia" w:hAnsi="Arial" w:cs="Arial"/>
          <w:i/>
          <w:iCs/>
          <w:color w:val="222222"/>
          <w:sz w:val="24"/>
          <w:szCs w:val="24"/>
          <w:shd w:val="clear" w:color="auto" w:fill="FFFFFF"/>
        </w:rPr>
        <w:t>Strategic Management Journal</w:t>
      </w:r>
      <w:r w:rsidRPr="004433EB">
        <w:rPr>
          <w:rFonts w:ascii="Arial" w:eastAsiaTheme="minorEastAsia" w:hAnsi="Arial" w:cs="Arial"/>
          <w:color w:val="222222"/>
          <w:sz w:val="24"/>
          <w:szCs w:val="24"/>
          <w:shd w:val="clear" w:color="auto" w:fill="FFFFFF"/>
        </w:rPr>
        <w:t>, </w:t>
      </w:r>
      <w:r w:rsidRPr="004433EB">
        <w:rPr>
          <w:rFonts w:ascii="Arial" w:eastAsiaTheme="minorEastAsia" w:hAnsi="Arial" w:cs="Arial"/>
          <w:i/>
          <w:iCs/>
          <w:color w:val="222222"/>
          <w:sz w:val="24"/>
          <w:szCs w:val="24"/>
          <w:shd w:val="clear" w:color="auto" w:fill="FFFFFF"/>
        </w:rPr>
        <w:t>39</w:t>
      </w:r>
      <w:r w:rsidRPr="004433EB">
        <w:rPr>
          <w:rFonts w:ascii="Arial" w:eastAsiaTheme="minorEastAsia" w:hAnsi="Arial" w:cs="Arial"/>
          <w:color w:val="222222"/>
          <w:sz w:val="24"/>
          <w:szCs w:val="24"/>
          <w:shd w:val="clear" w:color="auto" w:fill="FFFFFF"/>
        </w:rPr>
        <w:t>(13), pp.3305-3325.</w:t>
      </w:r>
    </w:p>
    <w:p w14:paraId="11A475EF"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Crowe Associates, n.d. Gibbs Reflective cycle. </w:t>
      </w:r>
      <w:hyperlink r:id="rId6" w:history="1">
        <w:r w:rsidRPr="004433EB">
          <w:rPr>
            <w:rFonts w:ascii="Arial" w:eastAsiaTheme="minorEastAsia" w:hAnsi="Arial" w:cs="Arial"/>
            <w:color w:val="0000FF"/>
            <w:sz w:val="24"/>
            <w:szCs w:val="24"/>
            <w:u w:val="single"/>
          </w:rPr>
          <w:t>[online] Available at: https://www.crowe-associates.co.uk/coaching-tools/gibbs-reflective-cycle/</w:t>
        </w:r>
      </w:hyperlink>
      <w:r w:rsidRPr="004433EB">
        <w:rPr>
          <w:rFonts w:ascii="Arial" w:eastAsiaTheme="minorEastAsia" w:hAnsi="Arial" w:cs="Arial"/>
          <w:sz w:val="24"/>
          <w:szCs w:val="24"/>
        </w:rPr>
        <w:t xml:space="preserve"> [Accessed 6 September 2022].</w:t>
      </w:r>
    </w:p>
    <w:p w14:paraId="6D4D0F7D"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Eckstein, M., n.d. Social Media Engagement: Why it Matters and How to Do it Well. [online] Available at: </w:t>
      </w:r>
      <w:hyperlink r:id="rId7" w:history="1">
        <w:r w:rsidRPr="004433EB">
          <w:rPr>
            <w:rFonts w:ascii="Arial" w:eastAsiaTheme="minorEastAsia" w:hAnsi="Arial" w:cs="Arial"/>
            <w:color w:val="0000FF"/>
            <w:sz w:val="24"/>
            <w:szCs w:val="24"/>
            <w:u w:val="single"/>
          </w:rPr>
          <w:t>https://buffer.com/library/social-media-engagement/</w:t>
        </w:r>
      </w:hyperlink>
      <w:r w:rsidRPr="004433EB">
        <w:rPr>
          <w:rFonts w:ascii="Arial" w:eastAsiaTheme="minorEastAsia" w:hAnsi="Arial" w:cs="Arial"/>
          <w:sz w:val="24"/>
          <w:szCs w:val="24"/>
        </w:rPr>
        <w:t xml:space="preserve"> [Accessed 6 September 2022].</w:t>
      </w:r>
    </w:p>
    <w:p w14:paraId="40581B0E"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Fernando, J., 2022. What Are Stakeholders: Definition, Types, and Examples. [online] Available at: </w:t>
      </w:r>
      <w:hyperlink r:id="rId8" w:history="1">
        <w:r w:rsidRPr="004433EB">
          <w:rPr>
            <w:rFonts w:ascii="Arial" w:eastAsiaTheme="minorEastAsia" w:hAnsi="Arial" w:cs="Arial"/>
            <w:color w:val="0000FF"/>
            <w:sz w:val="24"/>
            <w:szCs w:val="24"/>
            <w:u w:val="single"/>
          </w:rPr>
          <w:t>https://www.investopedia.com/terms/s/stakeholder.asp</w:t>
        </w:r>
      </w:hyperlink>
      <w:r w:rsidRPr="004433EB">
        <w:rPr>
          <w:rFonts w:ascii="Arial" w:eastAsiaTheme="minorEastAsia" w:hAnsi="Arial" w:cs="Arial"/>
          <w:sz w:val="24"/>
          <w:szCs w:val="24"/>
        </w:rPr>
        <w:t xml:space="preserve"> [Accessed 6 September 2022].</w:t>
      </w:r>
    </w:p>
    <w:p w14:paraId="0F12D09D" w14:textId="77777777" w:rsidR="004433EB" w:rsidRPr="004433EB" w:rsidRDefault="004433EB" w:rsidP="004433EB">
      <w:pPr>
        <w:spacing w:line="360" w:lineRule="auto"/>
        <w:rPr>
          <w:rFonts w:ascii="Arial" w:eastAsiaTheme="minorEastAsia" w:hAnsi="Arial" w:cs="Arial"/>
          <w:color w:val="222222"/>
          <w:sz w:val="24"/>
          <w:szCs w:val="24"/>
          <w:shd w:val="clear" w:color="auto" w:fill="FFFFFF"/>
        </w:rPr>
      </w:pPr>
      <w:proofErr w:type="spellStart"/>
      <w:r w:rsidRPr="004433EB">
        <w:rPr>
          <w:rFonts w:ascii="Arial" w:eastAsiaTheme="minorEastAsia" w:hAnsi="Arial" w:cs="Arial"/>
          <w:color w:val="222222"/>
          <w:sz w:val="24"/>
          <w:szCs w:val="24"/>
          <w:shd w:val="clear" w:color="auto" w:fill="FFFFFF"/>
        </w:rPr>
        <w:t>Fingerman</w:t>
      </w:r>
      <w:proofErr w:type="spellEnd"/>
      <w:r w:rsidRPr="004433EB">
        <w:rPr>
          <w:rFonts w:ascii="Arial" w:eastAsiaTheme="minorEastAsia" w:hAnsi="Arial" w:cs="Arial"/>
          <w:color w:val="222222"/>
          <w:sz w:val="24"/>
          <w:szCs w:val="24"/>
          <w:shd w:val="clear" w:color="auto" w:fill="FFFFFF"/>
        </w:rPr>
        <w:t xml:space="preserve">, K.L., </w:t>
      </w:r>
      <w:proofErr w:type="spellStart"/>
      <w:r w:rsidRPr="004433EB">
        <w:rPr>
          <w:rFonts w:ascii="Arial" w:eastAsiaTheme="minorEastAsia" w:hAnsi="Arial" w:cs="Arial"/>
          <w:color w:val="222222"/>
          <w:sz w:val="24"/>
          <w:szCs w:val="24"/>
          <w:shd w:val="clear" w:color="auto" w:fill="FFFFFF"/>
        </w:rPr>
        <w:t>Huo</w:t>
      </w:r>
      <w:proofErr w:type="spellEnd"/>
      <w:r w:rsidRPr="004433EB">
        <w:rPr>
          <w:rFonts w:ascii="Arial" w:eastAsiaTheme="minorEastAsia" w:hAnsi="Arial" w:cs="Arial"/>
          <w:color w:val="222222"/>
          <w:sz w:val="24"/>
          <w:szCs w:val="24"/>
          <w:shd w:val="clear" w:color="auto" w:fill="FFFFFF"/>
        </w:rPr>
        <w:t xml:space="preserve">, M., Charles, S.T. and </w:t>
      </w:r>
      <w:proofErr w:type="spellStart"/>
      <w:r w:rsidRPr="004433EB">
        <w:rPr>
          <w:rFonts w:ascii="Arial" w:eastAsiaTheme="minorEastAsia" w:hAnsi="Arial" w:cs="Arial"/>
          <w:color w:val="222222"/>
          <w:sz w:val="24"/>
          <w:szCs w:val="24"/>
          <w:shd w:val="clear" w:color="auto" w:fill="FFFFFF"/>
        </w:rPr>
        <w:t>Umberson</w:t>
      </w:r>
      <w:proofErr w:type="spellEnd"/>
      <w:r w:rsidRPr="004433EB">
        <w:rPr>
          <w:rFonts w:ascii="Arial" w:eastAsiaTheme="minorEastAsia" w:hAnsi="Arial" w:cs="Arial"/>
          <w:color w:val="222222"/>
          <w:sz w:val="24"/>
          <w:szCs w:val="24"/>
          <w:shd w:val="clear" w:color="auto" w:fill="FFFFFF"/>
        </w:rPr>
        <w:t>, D.J., 2020. Variety is the spice of late life: Social integration and daily activity. </w:t>
      </w:r>
      <w:r w:rsidRPr="004433EB">
        <w:rPr>
          <w:rFonts w:ascii="Arial" w:eastAsiaTheme="minorEastAsia" w:hAnsi="Arial" w:cs="Arial"/>
          <w:i/>
          <w:iCs/>
          <w:color w:val="222222"/>
          <w:sz w:val="24"/>
          <w:szCs w:val="24"/>
          <w:shd w:val="clear" w:color="auto" w:fill="FFFFFF"/>
        </w:rPr>
        <w:t>The Journals of Gerontology: Series B</w:t>
      </w:r>
      <w:r w:rsidRPr="004433EB">
        <w:rPr>
          <w:rFonts w:ascii="Arial" w:eastAsiaTheme="minorEastAsia" w:hAnsi="Arial" w:cs="Arial"/>
          <w:color w:val="222222"/>
          <w:sz w:val="24"/>
          <w:szCs w:val="24"/>
          <w:shd w:val="clear" w:color="auto" w:fill="FFFFFF"/>
        </w:rPr>
        <w:t>, </w:t>
      </w:r>
      <w:r w:rsidRPr="004433EB">
        <w:rPr>
          <w:rFonts w:ascii="Arial" w:eastAsiaTheme="minorEastAsia" w:hAnsi="Arial" w:cs="Arial"/>
          <w:i/>
          <w:iCs/>
          <w:color w:val="222222"/>
          <w:sz w:val="24"/>
          <w:szCs w:val="24"/>
          <w:shd w:val="clear" w:color="auto" w:fill="FFFFFF"/>
        </w:rPr>
        <w:t>75</w:t>
      </w:r>
      <w:r w:rsidRPr="004433EB">
        <w:rPr>
          <w:rFonts w:ascii="Arial" w:eastAsiaTheme="minorEastAsia" w:hAnsi="Arial" w:cs="Arial"/>
          <w:color w:val="222222"/>
          <w:sz w:val="24"/>
          <w:szCs w:val="24"/>
          <w:shd w:val="clear" w:color="auto" w:fill="FFFFFF"/>
        </w:rPr>
        <w:t>(2), pp.377-388.</w:t>
      </w:r>
    </w:p>
    <w:p w14:paraId="5FD9D96C" w14:textId="77777777" w:rsidR="004433EB" w:rsidRPr="004433EB" w:rsidRDefault="004433EB" w:rsidP="004433EB">
      <w:pPr>
        <w:spacing w:line="360" w:lineRule="auto"/>
        <w:rPr>
          <w:rFonts w:ascii="Arial" w:eastAsiaTheme="minorEastAsia" w:hAnsi="Arial" w:cs="Arial"/>
          <w:color w:val="222222"/>
          <w:sz w:val="24"/>
          <w:szCs w:val="24"/>
          <w:shd w:val="clear" w:color="auto" w:fill="FFFFFF"/>
        </w:rPr>
      </w:pPr>
      <w:r w:rsidRPr="004433EB">
        <w:rPr>
          <w:rFonts w:ascii="Arial" w:eastAsiaTheme="minorEastAsia" w:hAnsi="Arial" w:cs="Arial"/>
          <w:color w:val="222222"/>
          <w:sz w:val="24"/>
          <w:szCs w:val="24"/>
          <w:shd w:val="clear" w:color="auto" w:fill="FFFFFF"/>
        </w:rPr>
        <w:t xml:space="preserve">Haldane, V., </w:t>
      </w:r>
      <w:proofErr w:type="spellStart"/>
      <w:r w:rsidRPr="004433EB">
        <w:rPr>
          <w:rFonts w:ascii="Arial" w:eastAsiaTheme="minorEastAsia" w:hAnsi="Arial" w:cs="Arial"/>
          <w:color w:val="222222"/>
          <w:sz w:val="24"/>
          <w:szCs w:val="24"/>
          <w:shd w:val="clear" w:color="auto" w:fill="FFFFFF"/>
        </w:rPr>
        <w:t>Chuah</w:t>
      </w:r>
      <w:proofErr w:type="spellEnd"/>
      <w:r w:rsidRPr="004433EB">
        <w:rPr>
          <w:rFonts w:ascii="Arial" w:eastAsiaTheme="minorEastAsia" w:hAnsi="Arial" w:cs="Arial"/>
          <w:color w:val="222222"/>
          <w:sz w:val="24"/>
          <w:szCs w:val="24"/>
          <w:shd w:val="clear" w:color="auto" w:fill="FFFFFF"/>
        </w:rPr>
        <w:t xml:space="preserve">, F.L., Srivastava, A., Singh, S.R., Koh, G.C., Seng, C.K. and </w:t>
      </w:r>
      <w:bookmarkStart w:id="6" w:name="_Hlk113319494"/>
      <w:proofErr w:type="spellStart"/>
      <w:r w:rsidRPr="004433EB">
        <w:rPr>
          <w:rFonts w:ascii="Arial" w:eastAsiaTheme="minorEastAsia" w:hAnsi="Arial" w:cs="Arial"/>
          <w:color w:val="222222"/>
          <w:sz w:val="24"/>
          <w:szCs w:val="24"/>
          <w:shd w:val="clear" w:color="auto" w:fill="FFFFFF"/>
        </w:rPr>
        <w:t>Legido</w:t>
      </w:r>
      <w:proofErr w:type="spellEnd"/>
      <w:r w:rsidRPr="004433EB">
        <w:rPr>
          <w:rFonts w:ascii="Arial" w:eastAsiaTheme="minorEastAsia" w:hAnsi="Arial" w:cs="Arial"/>
          <w:color w:val="222222"/>
          <w:sz w:val="24"/>
          <w:szCs w:val="24"/>
          <w:shd w:val="clear" w:color="auto" w:fill="FFFFFF"/>
        </w:rPr>
        <w:t>-Quigley</w:t>
      </w:r>
      <w:bookmarkEnd w:id="6"/>
      <w:r w:rsidRPr="004433EB">
        <w:rPr>
          <w:rFonts w:ascii="Arial" w:eastAsiaTheme="minorEastAsia" w:hAnsi="Arial" w:cs="Arial"/>
          <w:color w:val="222222"/>
          <w:sz w:val="24"/>
          <w:szCs w:val="24"/>
          <w:shd w:val="clear" w:color="auto" w:fill="FFFFFF"/>
        </w:rPr>
        <w:t>, H., 2019. Community participation in health services development, implementation, and evaluation: A systematic review of empowerment, health, community, and process outcomes. </w:t>
      </w:r>
      <w:proofErr w:type="spellStart"/>
      <w:r w:rsidRPr="004433EB">
        <w:rPr>
          <w:rFonts w:ascii="Arial" w:eastAsiaTheme="minorEastAsia" w:hAnsi="Arial" w:cs="Arial"/>
          <w:i/>
          <w:iCs/>
          <w:color w:val="222222"/>
          <w:sz w:val="24"/>
          <w:szCs w:val="24"/>
          <w:shd w:val="clear" w:color="auto" w:fill="FFFFFF"/>
        </w:rPr>
        <w:t>PloS</w:t>
      </w:r>
      <w:proofErr w:type="spellEnd"/>
      <w:r w:rsidRPr="004433EB">
        <w:rPr>
          <w:rFonts w:ascii="Arial" w:eastAsiaTheme="minorEastAsia" w:hAnsi="Arial" w:cs="Arial"/>
          <w:i/>
          <w:iCs/>
          <w:color w:val="222222"/>
          <w:sz w:val="24"/>
          <w:szCs w:val="24"/>
          <w:shd w:val="clear" w:color="auto" w:fill="FFFFFF"/>
        </w:rPr>
        <w:t xml:space="preserve"> one</w:t>
      </w:r>
      <w:r w:rsidRPr="004433EB">
        <w:rPr>
          <w:rFonts w:ascii="Arial" w:eastAsiaTheme="minorEastAsia" w:hAnsi="Arial" w:cs="Arial"/>
          <w:color w:val="222222"/>
          <w:sz w:val="24"/>
          <w:szCs w:val="24"/>
          <w:shd w:val="clear" w:color="auto" w:fill="FFFFFF"/>
        </w:rPr>
        <w:t>, </w:t>
      </w:r>
      <w:r w:rsidRPr="004433EB">
        <w:rPr>
          <w:rFonts w:ascii="Arial" w:eastAsiaTheme="minorEastAsia" w:hAnsi="Arial" w:cs="Arial"/>
          <w:i/>
          <w:iCs/>
          <w:color w:val="222222"/>
          <w:sz w:val="24"/>
          <w:szCs w:val="24"/>
          <w:shd w:val="clear" w:color="auto" w:fill="FFFFFF"/>
        </w:rPr>
        <w:t>14</w:t>
      </w:r>
      <w:r w:rsidRPr="004433EB">
        <w:rPr>
          <w:rFonts w:ascii="Arial" w:eastAsiaTheme="minorEastAsia" w:hAnsi="Arial" w:cs="Arial"/>
          <w:color w:val="222222"/>
          <w:sz w:val="24"/>
          <w:szCs w:val="24"/>
          <w:shd w:val="clear" w:color="auto" w:fill="FFFFFF"/>
        </w:rPr>
        <w:t>(5).</w:t>
      </w:r>
    </w:p>
    <w:p w14:paraId="4376DB87"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Hussey, S., n.d. What is Community Engagement? [online] Available at: </w:t>
      </w:r>
      <w:hyperlink r:id="rId9" w:history="1">
        <w:r w:rsidRPr="004433EB">
          <w:rPr>
            <w:rFonts w:ascii="Arial" w:eastAsiaTheme="minorEastAsia" w:hAnsi="Arial" w:cs="Arial"/>
            <w:color w:val="0000FF"/>
            <w:sz w:val="24"/>
            <w:szCs w:val="24"/>
            <w:u w:val="single"/>
          </w:rPr>
          <w:t>https://granicus.com/blog/what-is-community-engagement/</w:t>
        </w:r>
      </w:hyperlink>
      <w:r w:rsidRPr="004433EB">
        <w:rPr>
          <w:rFonts w:ascii="Arial" w:eastAsiaTheme="minorEastAsia" w:hAnsi="Arial" w:cs="Arial"/>
          <w:sz w:val="24"/>
          <w:szCs w:val="24"/>
        </w:rPr>
        <w:t xml:space="preserve"> [Accessed 6 September 2022].</w:t>
      </w:r>
    </w:p>
    <w:p w14:paraId="41D094F9"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Mind Tools, 2020. Gibbs' Reflective Cycle Helping People Learn </w:t>
      </w:r>
      <w:proofErr w:type="gramStart"/>
      <w:r w:rsidRPr="004433EB">
        <w:rPr>
          <w:rFonts w:ascii="Arial" w:eastAsiaTheme="minorEastAsia" w:hAnsi="Arial" w:cs="Arial"/>
          <w:sz w:val="24"/>
          <w:szCs w:val="24"/>
        </w:rPr>
        <w:t>From</w:t>
      </w:r>
      <w:proofErr w:type="gramEnd"/>
      <w:r w:rsidRPr="004433EB">
        <w:rPr>
          <w:rFonts w:ascii="Arial" w:eastAsiaTheme="minorEastAsia" w:hAnsi="Arial" w:cs="Arial"/>
          <w:sz w:val="24"/>
          <w:szCs w:val="24"/>
        </w:rPr>
        <w:t xml:space="preserve"> Experience. [online] Available at: </w:t>
      </w:r>
      <w:hyperlink r:id="rId10" w:history="1">
        <w:r w:rsidRPr="004433EB">
          <w:rPr>
            <w:rFonts w:ascii="Arial" w:eastAsiaTheme="minorEastAsia" w:hAnsi="Arial" w:cs="Arial"/>
            <w:color w:val="0000FF"/>
            <w:sz w:val="24"/>
            <w:szCs w:val="24"/>
            <w:u w:val="single"/>
          </w:rPr>
          <w:t>https://www.mindtools.com/pages/article/reflective-cycle.htm</w:t>
        </w:r>
      </w:hyperlink>
      <w:r w:rsidRPr="004433EB">
        <w:rPr>
          <w:rFonts w:ascii="Arial" w:eastAsiaTheme="minorEastAsia" w:hAnsi="Arial" w:cs="Arial"/>
          <w:sz w:val="24"/>
          <w:szCs w:val="24"/>
        </w:rPr>
        <w:t xml:space="preserve"> [Accessed 6 September 2022].</w:t>
      </w:r>
    </w:p>
    <w:p w14:paraId="79EFE082"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lastRenderedPageBreak/>
        <w:t xml:space="preserve">Morrison, R., 2017. Community engagement: a positive power for change. [online] Available at: </w:t>
      </w:r>
      <w:hyperlink r:id="rId11" w:history="1">
        <w:r w:rsidRPr="004433EB">
          <w:rPr>
            <w:rFonts w:ascii="Arial" w:eastAsiaTheme="minorEastAsia" w:hAnsi="Arial" w:cs="Arial"/>
            <w:color w:val="0000FF"/>
            <w:sz w:val="24"/>
            <w:szCs w:val="24"/>
            <w:u w:val="single"/>
          </w:rPr>
          <w:t>https://www.england.nhs.uk/blog/community-engagement-a-positive-power-for-change/</w:t>
        </w:r>
      </w:hyperlink>
      <w:r w:rsidRPr="004433EB">
        <w:rPr>
          <w:rFonts w:ascii="Arial" w:eastAsiaTheme="minorEastAsia" w:hAnsi="Arial" w:cs="Arial"/>
          <w:sz w:val="24"/>
          <w:szCs w:val="24"/>
        </w:rPr>
        <w:t xml:space="preserve"> [Accessed 6 September 2022].</w:t>
      </w:r>
    </w:p>
    <w:p w14:paraId="0284C315"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NHS Employers, 2022. Beating burnout in the NHS. </w:t>
      </w:r>
      <w:hyperlink r:id="rId12" w:history="1">
        <w:r w:rsidRPr="004433EB">
          <w:rPr>
            <w:rFonts w:ascii="Arial" w:eastAsiaTheme="minorEastAsia" w:hAnsi="Arial" w:cs="Arial"/>
            <w:color w:val="0000FF"/>
            <w:sz w:val="24"/>
            <w:szCs w:val="24"/>
            <w:u w:val="single"/>
          </w:rPr>
          <w:t>[online] Available at: https://www.nhsemployers.org/articles/beating-burnout-nhs</w:t>
        </w:r>
      </w:hyperlink>
      <w:r w:rsidRPr="004433EB">
        <w:rPr>
          <w:rFonts w:ascii="Arial" w:eastAsiaTheme="minorEastAsia" w:hAnsi="Arial" w:cs="Arial"/>
          <w:sz w:val="24"/>
          <w:szCs w:val="24"/>
        </w:rPr>
        <w:t xml:space="preserve"> [Accessed 6 September 2022].</w:t>
      </w:r>
    </w:p>
    <w:p w14:paraId="3A3CA6D0"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University of Cumbria, n.d. Gibb’s reflective cycle. [online] Available at: </w:t>
      </w:r>
      <w:hyperlink r:id="rId13" w:history="1">
        <w:r w:rsidRPr="004433EB">
          <w:rPr>
            <w:rFonts w:ascii="Arial" w:eastAsiaTheme="minorEastAsia" w:hAnsi="Arial" w:cs="Arial"/>
            <w:color w:val="0000FF"/>
            <w:sz w:val="24"/>
            <w:szCs w:val="24"/>
            <w:u w:val="single"/>
          </w:rPr>
          <w:t>https://my.cumbria.ac.uk/media/MyCumbria/Documents/ReflectiveCycleGibbs.pdf</w:t>
        </w:r>
      </w:hyperlink>
      <w:r w:rsidRPr="004433EB">
        <w:rPr>
          <w:rFonts w:ascii="Arial" w:eastAsiaTheme="minorEastAsia" w:hAnsi="Arial" w:cs="Arial"/>
          <w:sz w:val="24"/>
          <w:szCs w:val="24"/>
        </w:rPr>
        <w:t xml:space="preserve"> [Accessed 6 September 2022].</w:t>
      </w:r>
    </w:p>
    <w:p w14:paraId="43D85D85" w14:textId="77777777" w:rsidR="004433EB" w:rsidRPr="004433EB" w:rsidRDefault="004433EB" w:rsidP="004433EB">
      <w:pPr>
        <w:spacing w:line="360" w:lineRule="auto"/>
        <w:rPr>
          <w:rFonts w:ascii="Arial" w:eastAsiaTheme="minorEastAsia" w:hAnsi="Arial" w:cs="Arial"/>
          <w:sz w:val="24"/>
          <w:szCs w:val="24"/>
        </w:rPr>
      </w:pPr>
      <w:r w:rsidRPr="004433EB">
        <w:rPr>
          <w:rFonts w:ascii="Arial" w:eastAsiaTheme="minorEastAsia" w:hAnsi="Arial" w:cs="Arial"/>
          <w:sz w:val="24"/>
          <w:szCs w:val="24"/>
        </w:rPr>
        <w:t xml:space="preserve">What Works Cities, 2020. Community Engagement and </w:t>
      </w:r>
      <w:proofErr w:type="gramStart"/>
      <w:r w:rsidRPr="004433EB">
        <w:rPr>
          <w:rFonts w:ascii="Arial" w:eastAsiaTheme="minorEastAsia" w:hAnsi="Arial" w:cs="Arial"/>
          <w:sz w:val="24"/>
          <w:szCs w:val="24"/>
        </w:rPr>
        <w:t>Social Media</w:t>
      </w:r>
      <w:proofErr w:type="gramEnd"/>
      <w:r w:rsidRPr="004433EB">
        <w:rPr>
          <w:rFonts w:ascii="Arial" w:eastAsiaTheme="minorEastAsia" w:hAnsi="Arial" w:cs="Arial"/>
          <w:sz w:val="24"/>
          <w:szCs w:val="24"/>
        </w:rPr>
        <w:t xml:space="preserve">. [online] Available at: </w:t>
      </w:r>
      <w:hyperlink r:id="rId14" w:history="1">
        <w:r w:rsidRPr="004433EB">
          <w:rPr>
            <w:rFonts w:ascii="Arial" w:eastAsiaTheme="minorEastAsia" w:hAnsi="Arial" w:cs="Arial"/>
            <w:color w:val="0000FF"/>
            <w:sz w:val="24"/>
            <w:szCs w:val="24"/>
            <w:u w:val="single"/>
          </w:rPr>
          <w:t>https://medium.com/the-guide-to-remote-community-engagement/community-engagement-and-social-media-8b5164a8486f</w:t>
        </w:r>
      </w:hyperlink>
      <w:r w:rsidRPr="004433EB">
        <w:rPr>
          <w:rFonts w:ascii="Arial" w:eastAsiaTheme="minorEastAsia" w:hAnsi="Arial" w:cs="Arial"/>
          <w:sz w:val="24"/>
          <w:szCs w:val="24"/>
        </w:rPr>
        <w:t xml:space="preserve"> [Accessed 6 September 2022].</w:t>
      </w:r>
    </w:p>
    <w:p w14:paraId="5E888DA2" w14:textId="77777777" w:rsidR="004433EB" w:rsidRPr="004433EB" w:rsidRDefault="004433EB" w:rsidP="004433EB">
      <w:pPr>
        <w:keepNext/>
        <w:keepLines/>
        <w:spacing w:before="480" w:after="0"/>
        <w:outlineLvl w:val="0"/>
        <w:rPr>
          <w:rFonts w:asciiTheme="majorHAnsi" w:eastAsiaTheme="majorEastAsia" w:hAnsiTheme="majorHAnsi" w:cstheme="majorBidi"/>
          <w:b/>
          <w:bCs/>
          <w:color w:val="2F5496" w:themeColor="accent1" w:themeShade="BF"/>
          <w:sz w:val="28"/>
          <w:szCs w:val="28"/>
          <w:lang w:val="en-GB"/>
        </w:rPr>
      </w:pPr>
      <w:r w:rsidRPr="004433EB">
        <w:rPr>
          <w:rFonts w:asciiTheme="majorHAnsi" w:eastAsiaTheme="majorEastAsia" w:hAnsiTheme="majorHAnsi" w:cstheme="majorBidi"/>
          <w:b/>
          <w:bCs/>
          <w:color w:val="2F5496" w:themeColor="accent1" w:themeShade="BF"/>
          <w:sz w:val="28"/>
          <w:szCs w:val="28"/>
          <w:lang w:val="en-GB"/>
        </w:rPr>
        <w:t xml:space="preserve"> </w:t>
      </w:r>
    </w:p>
    <w:p w14:paraId="1B8AA945" w14:textId="77777777" w:rsidR="00CE6CE6" w:rsidRPr="004433EB" w:rsidRDefault="00CE6CE6">
      <w:pPr>
        <w:rPr>
          <w:lang w:val="en-GB"/>
        </w:rPr>
      </w:pPr>
    </w:p>
    <w:p w14:paraId="2CDC4F3C" w14:textId="77777777" w:rsidR="00CE6CE6" w:rsidRDefault="00CE6CE6"/>
    <w:p w14:paraId="6B477127" w14:textId="77777777" w:rsidR="00A2528F" w:rsidRDefault="00A2528F"/>
    <w:sectPr w:rsidR="00A2528F" w:rsidSect="004433E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BB9A9" w14:textId="77777777" w:rsidR="00F919C9" w:rsidRDefault="00F919C9" w:rsidP="004433EB">
      <w:pPr>
        <w:spacing w:after="0" w:line="240" w:lineRule="auto"/>
      </w:pPr>
      <w:r>
        <w:separator/>
      </w:r>
    </w:p>
  </w:endnote>
  <w:endnote w:type="continuationSeparator" w:id="0">
    <w:p w14:paraId="78D15077" w14:textId="77777777" w:rsidR="00F919C9" w:rsidRDefault="00F919C9" w:rsidP="00443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ED27A" w14:textId="77777777" w:rsidR="00F919C9" w:rsidRDefault="00F919C9" w:rsidP="004433EB">
      <w:pPr>
        <w:spacing w:after="0" w:line="240" w:lineRule="auto"/>
      </w:pPr>
      <w:r>
        <w:separator/>
      </w:r>
    </w:p>
  </w:footnote>
  <w:footnote w:type="continuationSeparator" w:id="0">
    <w:p w14:paraId="7FF5CE18" w14:textId="77777777" w:rsidR="00F919C9" w:rsidRDefault="00F919C9" w:rsidP="004433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4E"/>
    <w:rsid w:val="004433EB"/>
    <w:rsid w:val="004D3994"/>
    <w:rsid w:val="005E76E5"/>
    <w:rsid w:val="00A2528F"/>
    <w:rsid w:val="00B5384E"/>
    <w:rsid w:val="00BF2525"/>
    <w:rsid w:val="00C62E43"/>
    <w:rsid w:val="00C72222"/>
    <w:rsid w:val="00CE6CE6"/>
    <w:rsid w:val="00DB5A8D"/>
    <w:rsid w:val="00E1256A"/>
    <w:rsid w:val="00F91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C32C"/>
  <w15:chartTrackingRefBased/>
  <w15:docId w15:val="{9E569B39-B172-48AF-B277-AFBAB854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3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3EB"/>
  </w:style>
  <w:style w:type="paragraph" w:styleId="Footer">
    <w:name w:val="footer"/>
    <w:basedOn w:val="Normal"/>
    <w:link w:val="FooterChar"/>
    <w:uiPriority w:val="99"/>
    <w:unhideWhenUsed/>
    <w:rsid w:val="004433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3EB"/>
  </w:style>
  <w:style w:type="paragraph" w:styleId="NoSpacing">
    <w:name w:val="No Spacing"/>
    <w:link w:val="NoSpacingChar"/>
    <w:uiPriority w:val="1"/>
    <w:qFormat/>
    <w:rsid w:val="004433EB"/>
    <w:pPr>
      <w:spacing w:after="0" w:line="240" w:lineRule="auto"/>
    </w:pPr>
    <w:rPr>
      <w:rFonts w:eastAsiaTheme="minorEastAsia"/>
    </w:rPr>
  </w:style>
  <w:style w:type="character" w:customStyle="1" w:styleId="NoSpacingChar">
    <w:name w:val="No Spacing Char"/>
    <w:basedOn w:val="DefaultParagraphFont"/>
    <w:link w:val="NoSpacing"/>
    <w:uiPriority w:val="1"/>
    <w:rsid w:val="004433E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takeholder.asp" TargetMode="External"/><Relationship Id="rId13" Type="http://schemas.openxmlformats.org/officeDocument/2006/relationships/hyperlink" Target="https://my.cumbria.ac.uk/media/MyCumbria/Documents/ReflectiveCycleGibbs.pdf" TargetMode="External"/><Relationship Id="rId3" Type="http://schemas.openxmlformats.org/officeDocument/2006/relationships/webSettings" Target="webSettings.xml"/><Relationship Id="rId7" Type="http://schemas.openxmlformats.org/officeDocument/2006/relationships/hyperlink" Target="https://buffer.com/library/social-media-engagement/" TargetMode="External"/><Relationship Id="rId12" Type="http://schemas.openxmlformats.org/officeDocument/2006/relationships/hyperlink" Target="file:///C:\Users\Admin\Downloads\%5bonline%5d%20Available%20at:%20https:\www.nhsemployers.org\articles\beating-burnout-nh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Admin\Downloads\%5bonline%5d%20Available%20at:%20https:\www.crowe-associates.co.uk\coaching-tools\gibbs-reflective-cycle\" TargetMode="External"/><Relationship Id="rId11" Type="http://schemas.openxmlformats.org/officeDocument/2006/relationships/hyperlink" Target="https://www.england.nhs.uk/blog/community-engagement-a-positive-power-for-chang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mindtools.com/pages/article/reflective-cycle.htm" TargetMode="External"/><Relationship Id="rId4" Type="http://schemas.openxmlformats.org/officeDocument/2006/relationships/footnotes" Target="footnotes.xml"/><Relationship Id="rId9" Type="http://schemas.openxmlformats.org/officeDocument/2006/relationships/hyperlink" Target="https://granicus.com/blog/what-is-community-engagement/" TargetMode="External"/><Relationship Id="rId14" Type="http://schemas.openxmlformats.org/officeDocument/2006/relationships/hyperlink" Target="https://medium.com/the-guide-to-remote-community-engagement/community-engagement-and-social-media-8b5164a8486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1704</TotalTime>
  <Pages>10</Pages>
  <Words>2605</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Karadjova</dc:creator>
  <cp:keywords/>
  <dc:description/>
  <cp:lastModifiedBy>Lyubomira Karadjova</cp:lastModifiedBy>
  <cp:revision>1</cp:revision>
  <dcterms:created xsi:type="dcterms:W3CDTF">2022-09-06T10:39:00Z</dcterms:created>
  <dcterms:modified xsi:type="dcterms:W3CDTF">2022-09-07T20:23:00Z</dcterms:modified>
</cp:coreProperties>
</file>