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center"/>
        <w:rPr>
          <w:rFonts w:ascii="Calibri" w:hAnsi="Calibri" w:cs="Calibri" w:eastAsia="Calibri"/>
          <w:color w:val="auto"/>
          <w:spacing w:val="0"/>
          <w:position w:val="0"/>
          <w:sz w:val="22"/>
          <w:shd w:fill="auto" w:val="clear"/>
        </w:rPr>
      </w:pPr>
      <w:r>
        <w:object w:dxaOrig="3340" w:dyaOrig="1361">
          <v:rect xmlns:o="urn:schemas-microsoft-com:office:office" xmlns:v="urn:schemas-microsoft-com:vml" id="rectole0000000000" style="width:167.000000pt;height:68.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Calibri" w:hAnsi="Calibri" w:cs="Calibri" w:eastAsia="Calibri"/>
          <w:color w:val="auto"/>
          <w:spacing w:val="0"/>
          <w:position w:val="0"/>
          <w:sz w:val="22"/>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48"/>
          <w:shd w:fill="auto" w:val="clear"/>
        </w:rPr>
      </w:pPr>
      <w:r>
        <w:rPr>
          <w:rFonts w:ascii="Times New Roman" w:hAnsi="Times New Roman" w:cs="Times New Roman" w:eastAsia="Times New Roman"/>
          <w:b/>
          <w:color w:val="auto"/>
          <w:spacing w:val="0"/>
          <w:position w:val="0"/>
          <w:sz w:val="48"/>
          <w:shd w:fill="auto" w:val="clear"/>
        </w:rPr>
        <w:t xml:space="preserve">Academic and Employability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Student Name</w:t>
        <w:tab/>
        <w:t xml:space="preserve">: Andrea Kandrova</w:t>
      </w:r>
    </w:p>
    <w:p>
      <w:pPr>
        <w:spacing w:before="0" w:after="20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Student ID</w:t>
        <w:tab/>
        <w:tab/>
        <w:t xml:space="preserve">: 2051200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Reflection on Learning Computer Literacy Skill  </w:t>
      </w:r>
    </w:p>
    <w:p>
      <w:pPr>
        <w:spacing w:before="0" w:after="20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Computer literacy skill has broad learning opportunity and application arena which makes candidates better positioned to be employees (Osgerby, 2013). Thus, computer literacy skills are a combination of several forms e.g., knowing surfing to get desired information, usage of Microsoft Office, Graphics Designing, coding and so on. This reflection is focused on the usage of Microsoft office which is learnt through the accomplishment of academic report preparation. More specifically, the consistent development of this skill is highlighted here. The beginning of this paper is made with a description. Then the link of computer literacy skills from the educational sphere to employment is described and finally, the reflective model of Gibb is elaborated.</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Computer literacy is described as the capacity of using computer technology to perform self-tasks effectively and efficiently (Cottrell, 2019). Otherwise, the knowledge and capability of using a computer and related technologies with skills ranging from elementary to advanced problem solving are defined as computer literacy. For instance, the admission procedures of the university are held online with few browsing activities. It required me to know at least the set of computer literacy to surf to apply and get admitted to the under-graduation program. I developed this by watching YouTube and participating in workshops.</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Undergraduate study all over the world finds computer literacy skill as a fundamental part. It is so basic that almost every course in the undergraduate program requires the usage of this skill (Schmidt, 2016). Since the world has been transformed into computer-centric age, the usage of computers is being integrated with almost every place and every department of a firm. Hence, employers look for candidates who are more advanced skills as it allows employees to accomplish more tasks within a few times (Dincer, 2016). Since computers affect every facet of our lives, every country especially developing countries is now focusing more on its generation to be computer literate.</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Upon graduation, the programme is a source of practising computer literacy skills which will enable me to be efficient in the workplace and at first attract the attention of employers. If I go for applying as a business development employee, I need to have advanced skills in Microsoft PowerPoint usage for preparing presentations and presenting in front of potential customers. I, in fact, accumulated this skill from my instructors as they deliver lectures, organized information in slides or posters and created a few self templates to do tasks faster. Anyone with no such skills will keep passing hours after hours to make a presentation done. The advantage I can offer a firm with my skill of computer literacy cannot be offered by anyone with intermediate or no computer literacy skills.</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I learnt computer literacy skills through different stages which made my learning firm and accurate. It also allows learning from our surroundings and others instead of only books and classroom experiences. Gibb’s reflective cycle is a renowned cycle that guides through the learning path to become productive with a similar experience a second time. This cycle is planned in six stages i.e., description, feelings, evaluation, analysis, conclusion and action plan. The stages provided by Gibb structure the learnings I have from experiences. The framework offers an opportunity for examining experiences, allowing learning from experiences and planning things later on depending on earlier experiences gathered.</w:t>
      </w:r>
    </w:p>
    <w:p>
      <w:pPr>
        <w:keepNext w:val="true"/>
        <w:spacing w:before="0" w:after="20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200" w:line="240"/>
        <w:ind w:right="0" w:left="0" w:firstLine="0"/>
        <w:jc w:val="left"/>
        <w:rPr>
          <w:rFonts w:ascii="Times New Roman" w:hAnsi="Times New Roman" w:cs="Times New Roman" w:eastAsia="Times New Roman"/>
          <w:i/>
          <w:color w:val="auto"/>
          <w:spacing w:val="0"/>
          <w:position w:val="0"/>
          <w:sz w:val="28"/>
          <w:shd w:fill="auto" w:val="clear"/>
        </w:rPr>
      </w:pPr>
      <w:r>
        <w:rPr>
          <w:rFonts w:ascii="Times New Roman" w:hAnsi="Times New Roman" w:cs="Times New Roman" w:eastAsia="Times New Roman"/>
          <w:i/>
          <w:color w:val="auto"/>
          <w:spacing w:val="0"/>
          <w:position w:val="0"/>
          <w:sz w:val="28"/>
          <w:shd w:fill="auto" w:val="clear"/>
        </w:rPr>
        <w:t xml:space="preserve">Figure 1: Gibb’s Cycle of Reflection</w:t>
        <w:br/>
        <w:t xml:space="preserve">Source: (Markkanen et al., 2020)</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reflection model is prepared for learning from repeated experience. For instance, I face applying computer literacy skills frequently and so applying Gibb’s cycle I flourished my skill further. I followed the rules of this cycle to become better and more efficient day by day.</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Here’s the beginning of my computer literacy skill experience of mine. I was supposed to prepare a group assignment that required preparing an excel and transferring the excel into word to write a description. Finally preparing slides for presenting tasks in front of our instructor and classroom. At the outset, we divided tasks between us to prepare excels and writing explanations and preparation of two or one slides. I watched different training sessions at a stretch and revised the basics taught by the course teacher to prepare for my portion of work. We planned to merge these all together to make a group work. Just before 5 to hours of deadline I received all the separated files from my mates to merge tasks. Merging the files should have been a task of 30 minutes but it took me 3 hours as well as the involvement of other groupmates. The problem was raised during the task distribution since we did not fix a particular format, colour, style or anything. To be more specific, I am explaining the case of slides. One of my mates prepared slides on a black background and I prepared them on white background. Merging two files will either wipe out my contents or his one. Moreover, different styles cannot be kept on a slide. So, we needed to work on making tasks consistent and relatable. Whereas the usage of computer literacy skills was supposed to save time, it actually killed time and I came to learn about considerations of computer literacy skills while working in a team.</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Exploring the experience with Gibb’s model incorporates the second step as feelings. My first thought was, that the task is going to be done easily and fast since I along with my groupmates are instructed primarily by the instructor. When I saw all the files from groupmates are in different styles and will require me long boring hours to fix these. Unfortunately, it took longer than expected to fix all the style errors and make tasks consistent through files.</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next thing to learn from experience is the evaluation of what is done. The best part is that I could be skilled at computer literacy skills and could make productive and effective reports for classwork if I had done any similar work earlier. The inconsistency here became the problem and I had to work more than expected to fix the consistency issues. Besides, I had to link excel files through sheets so that excel sheets do not look separate but integrated.</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Working together is followed in academic spheres as well as in workplaces and so it is compulsory to learn applying skills in the team. During the initial division of tasks, everything went well since I was sure that tasks will be done within the deadline as well as there will be little pressure only. Finally, I could not save time since computer literacy training of myself went individual and this was the first time for me to work in a group.</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What I learned from this experience is that task distribution for computer literacy related tasks should not be made randomly. The formatting style should be analysed earlier to keep files looking coherent. Besides, the first application of this task went slow with less practice of mine. Being skilled with digital performance requires knowing lots of tips and tricks with continuous practice.</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I will be very careful during the next performance of group work for anything with computer literacy. Instead of the random division of topics, I will suggest a group rethink and divide tasks based on the usage of applications. For instance, all excel tasks can be handled by one person to keep information linked fairhandedly. In case of distribution of tasks to be done using Microsoft Word and PowerPoint, I will dictate the formatting style so that the last tasks of report preparation go easier. Another crucial thing is following the numbering and automatic contents table which we did not use this time; I will surely remember this next time.</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Being literate in computer skills has several parts to cover. Here, the usage of computer skills in the group for the first time is elaborated and I came to know lots of important clues. In group work, I came to learn from groupmates about computer skills e.g., the paint tool which can mimic a particular style on everything. Another groupmate taught me to create a table of contents easily. As a group, we came to learn to keep consistent with computer usage in group work.</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References</w:t>
      </w:r>
    </w:p>
    <w:p>
      <w:pPr>
        <w:spacing w:before="0" w:after="200" w:line="360"/>
        <w:ind w:right="0" w:left="0" w:firstLine="0"/>
        <w:jc w:val="both"/>
        <w:rPr>
          <w:rFonts w:ascii="Times New Roman" w:hAnsi="Times New Roman" w:cs="Times New Roman" w:eastAsia="Times New Roman"/>
          <w:color w:val="222222"/>
          <w:spacing w:val="0"/>
          <w:position w:val="0"/>
          <w:sz w:val="22"/>
          <w:shd w:fill="FFFFFF" w:val="clear"/>
        </w:rPr>
      </w:pPr>
      <w:r>
        <w:rPr>
          <w:rFonts w:ascii="Times New Roman" w:hAnsi="Times New Roman" w:cs="Times New Roman" w:eastAsia="Times New Roman"/>
          <w:color w:val="222222"/>
          <w:spacing w:val="0"/>
          <w:position w:val="0"/>
          <w:sz w:val="22"/>
          <w:shd w:fill="FFFFFF" w:val="clear"/>
        </w:rPr>
        <w:t xml:space="preserve">Cottrell, S., 2019. </w:t>
      </w:r>
      <w:r>
        <w:rPr>
          <w:rFonts w:ascii="Times New Roman" w:hAnsi="Times New Roman" w:cs="Times New Roman" w:eastAsia="Times New Roman"/>
          <w:i/>
          <w:color w:val="222222"/>
          <w:spacing w:val="0"/>
          <w:position w:val="0"/>
          <w:sz w:val="22"/>
          <w:shd w:fill="FFFFFF" w:val="clear"/>
        </w:rPr>
        <w:t xml:space="preserve">The study skills handbook</w:t>
      </w:r>
      <w:r>
        <w:rPr>
          <w:rFonts w:ascii="Times New Roman" w:hAnsi="Times New Roman" w:cs="Times New Roman" w:eastAsia="Times New Roman"/>
          <w:color w:val="222222"/>
          <w:spacing w:val="0"/>
          <w:position w:val="0"/>
          <w:sz w:val="22"/>
          <w:shd w:fill="FFFFFF" w:val="clear"/>
        </w:rPr>
        <w:t xml:space="preserve">. Macmillan International Higher Education.</w:t>
      </w:r>
    </w:p>
    <w:p>
      <w:pPr>
        <w:spacing w:before="0" w:after="200" w:line="360"/>
        <w:ind w:right="0" w:left="0" w:firstLine="0"/>
        <w:jc w:val="both"/>
        <w:rPr>
          <w:rFonts w:ascii="Times New Roman" w:hAnsi="Times New Roman" w:cs="Times New Roman" w:eastAsia="Times New Roman"/>
          <w:color w:val="222222"/>
          <w:spacing w:val="0"/>
          <w:position w:val="0"/>
          <w:sz w:val="22"/>
          <w:shd w:fill="FFFFFF" w:val="clear"/>
        </w:rPr>
      </w:pPr>
      <w:r>
        <w:rPr>
          <w:rFonts w:ascii="Times New Roman" w:hAnsi="Times New Roman" w:cs="Times New Roman" w:eastAsia="Times New Roman"/>
          <w:color w:val="222222"/>
          <w:spacing w:val="0"/>
          <w:position w:val="0"/>
          <w:sz w:val="22"/>
          <w:shd w:fill="FFFFFF" w:val="clear"/>
        </w:rPr>
        <w:t xml:space="preserve">Dincer, S., 2016. Assessing the computer literacy of university graduates. In </w:t>
      </w:r>
      <w:r>
        <w:rPr>
          <w:rFonts w:ascii="Times New Roman" w:hAnsi="Times New Roman" w:cs="Times New Roman" w:eastAsia="Times New Roman"/>
          <w:i/>
          <w:color w:val="222222"/>
          <w:spacing w:val="0"/>
          <w:position w:val="0"/>
          <w:sz w:val="22"/>
          <w:shd w:fill="FFFFFF" w:val="clear"/>
        </w:rPr>
        <w:t xml:space="preserve">The Third International Conference on Open and Flexible Education</w:t>
      </w:r>
      <w:r>
        <w:rPr>
          <w:rFonts w:ascii="Times New Roman" w:hAnsi="Times New Roman" w:cs="Times New Roman" w:eastAsia="Times New Roman"/>
          <w:color w:val="222222"/>
          <w:spacing w:val="0"/>
          <w:position w:val="0"/>
          <w:sz w:val="22"/>
          <w:shd w:fill="FFFFFF" w:val="clear"/>
        </w:rPr>
        <w:t xml:space="preserve"> (pp. 294-303).</w:t>
      </w:r>
    </w:p>
    <w:p>
      <w:pPr>
        <w:spacing w:before="0" w:after="200" w:line="360"/>
        <w:ind w:right="0" w:left="0" w:firstLine="0"/>
        <w:jc w:val="both"/>
        <w:rPr>
          <w:rFonts w:ascii="Times New Roman" w:hAnsi="Times New Roman" w:cs="Times New Roman" w:eastAsia="Times New Roman"/>
          <w:color w:val="auto"/>
          <w:spacing w:val="0"/>
          <w:position w:val="0"/>
          <w:sz w:val="22"/>
          <w:shd w:fill="FFFFFF" w:val="clear"/>
        </w:rPr>
      </w:pPr>
      <w:r>
        <w:rPr>
          <w:rFonts w:ascii="Times New Roman" w:hAnsi="Times New Roman" w:cs="Times New Roman" w:eastAsia="Times New Roman"/>
          <w:color w:val="auto"/>
          <w:spacing w:val="0"/>
          <w:position w:val="0"/>
          <w:sz w:val="22"/>
          <w:shd w:fill="FFFFFF" w:val="clear"/>
        </w:rPr>
        <w:t xml:space="preserve">Rossier, J., Ginevra, M.C., Bollmann, G. and Nota, L., 2017. The importance of career adaptability, career resilience, and employability in designing a successful life. In </w:t>
      </w:r>
      <w:r>
        <w:rPr>
          <w:rFonts w:ascii="Times New Roman" w:hAnsi="Times New Roman" w:cs="Times New Roman" w:eastAsia="Times New Roman"/>
          <w:i/>
          <w:color w:val="auto"/>
          <w:spacing w:val="0"/>
          <w:position w:val="0"/>
          <w:sz w:val="22"/>
          <w:shd w:fill="FFFFFF" w:val="clear"/>
        </w:rPr>
        <w:t xml:space="preserve">Psychology of career adaptability, employability and resilience</w:t>
      </w:r>
      <w:r>
        <w:rPr>
          <w:rFonts w:ascii="Times New Roman" w:hAnsi="Times New Roman" w:cs="Times New Roman" w:eastAsia="Times New Roman"/>
          <w:color w:val="auto"/>
          <w:spacing w:val="0"/>
          <w:position w:val="0"/>
          <w:sz w:val="22"/>
          <w:shd w:fill="FFFFFF" w:val="clear"/>
        </w:rPr>
        <w:t xml:space="preserve"> (pp. 65-82). Springer, Cham.</w:t>
      </w:r>
    </w:p>
    <w:p>
      <w:pPr>
        <w:spacing w:before="0" w:after="200" w:line="360"/>
        <w:ind w:right="0" w:left="0" w:firstLine="0"/>
        <w:jc w:val="both"/>
        <w:rPr>
          <w:rFonts w:ascii="Times New Roman" w:hAnsi="Times New Roman" w:cs="Times New Roman" w:eastAsia="Times New Roman"/>
          <w:color w:val="auto"/>
          <w:spacing w:val="0"/>
          <w:position w:val="0"/>
          <w:sz w:val="22"/>
          <w:shd w:fill="FFFFFF" w:val="clear"/>
        </w:rPr>
      </w:pPr>
      <w:r>
        <w:rPr>
          <w:rFonts w:ascii="Times New Roman" w:hAnsi="Times New Roman" w:cs="Times New Roman" w:eastAsia="Times New Roman"/>
          <w:color w:val="auto"/>
          <w:spacing w:val="0"/>
          <w:position w:val="0"/>
          <w:sz w:val="22"/>
          <w:shd w:fill="FFFFFF" w:val="clear"/>
        </w:rPr>
        <w:t xml:space="preserve">Suarta, I.M. and Suwintana, I.K., 2021, March. The new framework of employability skills for digital business. In </w:t>
      </w:r>
      <w:r>
        <w:rPr>
          <w:rFonts w:ascii="Times New Roman" w:hAnsi="Times New Roman" w:cs="Times New Roman" w:eastAsia="Times New Roman"/>
          <w:i/>
          <w:color w:val="auto"/>
          <w:spacing w:val="0"/>
          <w:position w:val="0"/>
          <w:sz w:val="22"/>
          <w:shd w:fill="FFFFFF" w:val="clear"/>
        </w:rPr>
        <w:t xml:space="preserve">Journal of Physics: Conference Series</w:t>
      </w:r>
      <w:r>
        <w:rPr>
          <w:rFonts w:ascii="Times New Roman" w:hAnsi="Times New Roman" w:cs="Times New Roman" w:eastAsia="Times New Roman"/>
          <w:color w:val="auto"/>
          <w:spacing w:val="0"/>
          <w:position w:val="0"/>
          <w:sz w:val="22"/>
          <w:shd w:fill="FFFFFF" w:val="clear"/>
        </w:rPr>
        <w:t xml:space="preserve"> (Vol. 1833, No. 1, p. 012034). IOP Publishing.</w:t>
      </w:r>
    </w:p>
    <w:p>
      <w:pPr>
        <w:spacing w:before="0" w:after="200" w:line="360"/>
        <w:ind w:right="0" w:left="0" w:firstLine="0"/>
        <w:jc w:val="both"/>
        <w:rPr>
          <w:rFonts w:ascii="Times New Roman" w:hAnsi="Times New Roman" w:cs="Times New Roman" w:eastAsia="Times New Roman"/>
          <w:color w:val="222222"/>
          <w:spacing w:val="0"/>
          <w:position w:val="0"/>
          <w:sz w:val="22"/>
          <w:shd w:fill="FFFFFF" w:val="clear"/>
        </w:rPr>
      </w:pPr>
      <w:r>
        <w:rPr>
          <w:rFonts w:ascii="Times New Roman" w:hAnsi="Times New Roman" w:cs="Times New Roman" w:eastAsia="Times New Roman"/>
          <w:color w:val="222222"/>
          <w:spacing w:val="0"/>
          <w:position w:val="0"/>
          <w:sz w:val="22"/>
          <w:shd w:fill="FFFFFF" w:val="clear"/>
        </w:rPr>
        <w:t xml:space="preserve">Markkanen, P., Välimäki, M., Anttila, M. and Kuuskorpi, M., 2020. A reflective cycle: Understanding challenging situations in a school setting. </w:t>
      </w:r>
      <w:r>
        <w:rPr>
          <w:rFonts w:ascii="Times New Roman" w:hAnsi="Times New Roman" w:cs="Times New Roman" w:eastAsia="Times New Roman"/>
          <w:i/>
          <w:color w:val="222222"/>
          <w:spacing w:val="0"/>
          <w:position w:val="0"/>
          <w:sz w:val="22"/>
          <w:shd w:fill="FFFFFF" w:val="clear"/>
        </w:rPr>
        <w:t xml:space="preserve">Educational Research</w:t>
      </w:r>
      <w:r>
        <w:rPr>
          <w:rFonts w:ascii="Times New Roman" w:hAnsi="Times New Roman" w:cs="Times New Roman" w:eastAsia="Times New Roman"/>
          <w:color w:val="222222"/>
          <w:spacing w:val="0"/>
          <w:position w:val="0"/>
          <w:sz w:val="22"/>
          <w:shd w:fill="FFFFFF" w:val="clear"/>
        </w:rPr>
        <w:t xml:space="preserve">, </w:t>
      </w:r>
      <w:r>
        <w:rPr>
          <w:rFonts w:ascii="Times New Roman" w:hAnsi="Times New Roman" w:cs="Times New Roman" w:eastAsia="Times New Roman"/>
          <w:i/>
          <w:color w:val="222222"/>
          <w:spacing w:val="0"/>
          <w:position w:val="0"/>
          <w:sz w:val="22"/>
          <w:shd w:fill="FFFFFF" w:val="clear"/>
        </w:rPr>
        <w:t xml:space="preserve">62</w:t>
      </w:r>
      <w:r>
        <w:rPr>
          <w:rFonts w:ascii="Times New Roman" w:hAnsi="Times New Roman" w:cs="Times New Roman" w:eastAsia="Times New Roman"/>
          <w:color w:val="222222"/>
          <w:spacing w:val="0"/>
          <w:position w:val="0"/>
          <w:sz w:val="22"/>
          <w:shd w:fill="FFFFFF" w:val="clear"/>
        </w:rPr>
        <w:t xml:space="preserve">(1), pp.46-62.</w:t>
      </w:r>
    </w:p>
    <w:p>
      <w:pPr>
        <w:spacing w:before="0" w:after="200" w:line="360"/>
        <w:ind w:right="0" w:left="0" w:firstLine="0"/>
        <w:jc w:val="both"/>
        <w:rPr>
          <w:rFonts w:ascii="Times New Roman" w:hAnsi="Times New Roman" w:cs="Times New Roman" w:eastAsia="Times New Roman"/>
          <w:color w:val="222222"/>
          <w:spacing w:val="0"/>
          <w:position w:val="0"/>
          <w:sz w:val="22"/>
          <w:shd w:fill="FFFFFF" w:val="clear"/>
        </w:rPr>
      </w:pPr>
      <w:r>
        <w:rPr>
          <w:rFonts w:ascii="Times New Roman" w:hAnsi="Times New Roman" w:cs="Times New Roman" w:eastAsia="Times New Roman"/>
          <w:color w:val="222222"/>
          <w:spacing w:val="0"/>
          <w:position w:val="0"/>
          <w:sz w:val="22"/>
          <w:shd w:fill="FFFFFF" w:val="clear"/>
        </w:rPr>
        <w:t xml:space="preserve">Osgerby, J., 2013. Students' perceptions of the introduction of a blended learning environment: An exploratory case study. </w:t>
      </w:r>
      <w:r>
        <w:rPr>
          <w:rFonts w:ascii="Times New Roman" w:hAnsi="Times New Roman" w:cs="Times New Roman" w:eastAsia="Times New Roman"/>
          <w:i/>
          <w:color w:val="222222"/>
          <w:spacing w:val="0"/>
          <w:position w:val="0"/>
          <w:sz w:val="22"/>
          <w:shd w:fill="FFFFFF" w:val="clear"/>
        </w:rPr>
        <w:t xml:space="preserve">Accounting Education</w:t>
      </w:r>
      <w:r>
        <w:rPr>
          <w:rFonts w:ascii="Times New Roman" w:hAnsi="Times New Roman" w:cs="Times New Roman" w:eastAsia="Times New Roman"/>
          <w:color w:val="222222"/>
          <w:spacing w:val="0"/>
          <w:position w:val="0"/>
          <w:sz w:val="22"/>
          <w:shd w:fill="FFFFFF" w:val="clear"/>
        </w:rPr>
        <w:t xml:space="preserve">, </w:t>
      </w:r>
      <w:r>
        <w:rPr>
          <w:rFonts w:ascii="Times New Roman" w:hAnsi="Times New Roman" w:cs="Times New Roman" w:eastAsia="Times New Roman"/>
          <w:i/>
          <w:color w:val="222222"/>
          <w:spacing w:val="0"/>
          <w:position w:val="0"/>
          <w:sz w:val="22"/>
          <w:shd w:fill="FFFFFF" w:val="clear"/>
        </w:rPr>
        <w:t xml:space="preserve">22</w:t>
      </w:r>
      <w:r>
        <w:rPr>
          <w:rFonts w:ascii="Times New Roman" w:hAnsi="Times New Roman" w:cs="Times New Roman" w:eastAsia="Times New Roman"/>
          <w:color w:val="222222"/>
          <w:spacing w:val="0"/>
          <w:position w:val="0"/>
          <w:sz w:val="22"/>
          <w:shd w:fill="FFFFFF" w:val="clear"/>
        </w:rPr>
        <w:t xml:space="preserve">(1), pp.85-99.</w:t>
      </w:r>
    </w:p>
    <w:p>
      <w:pPr>
        <w:spacing w:before="0" w:after="20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222222"/>
          <w:spacing w:val="0"/>
          <w:position w:val="0"/>
          <w:sz w:val="22"/>
          <w:shd w:fill="FFFFFF" w:val="clear"/>
        </w:rPr>
        <w:t xml:space="preserve">Schmidt, A., 2016. Increasing Computer Literacy with the BBC micro: bit. </w:t>
      </w:r>
      <w:r>
        <w:rPr>
          <w:rFonts w:ascii="Times New Roman" w:hAnsi="Times New Roman" w:cs="Times New Roman" w:eastAsia="Times New Roman"/>
          <w:i/>
          <w:color w:val="222222"/>
          <w:spacing w:val="0"/>
          <w:position w:val="0"/>
          <w:sz w:val="22"/>
          <w:shd w:fill="FFFFFF" w:val="clear"/>
        </w:rPr>
        <w:t xml:space="preserve">IEEE Pervasive Computing</w:t>
      </w:r>
      <w:r>
        <w:rPr>
          <w:rFonts w:ascii="Times New Roman" w:hAnsi="Times New Roman" w:cs="Times New Roman" w:eastAsia="Times New Roman"/>
          <w:color w:val="222222"/>
          <w:spacing w:val="0"/>
          <w:position w:val="0"/>
          <w:sz w:val="22"/>
          <w:shd w:fill="FFFFFF" w:val="clear"/>
        </w:rPr>
        <w:t xml:space="preserve">, </w:t>
      </w:r>
      <w:r>
        <w:rPr>
          <w:rFonts w:ascii="Times New Roman" w:hAnsi="Times New Roman" w:cs="Times New Roman" w:eastAsia="Times New Roman"/>
          <w:i/>
          <w:color w:val="222222"/>
          <w:spacing w:val="0"/>
          <w:position w:val="0"/>
          <w:sz w:val="22"/>
          <w:shd w:fill="FFFFFF" w:val="clear"/>
        </w:rPr>
        <w:t xml:space="preserve">15</w:t>
      </w:r>
      <w:r>
        <w:rPr>
          <w:rFonts w:ascii="Times New Roman" w:hAnsi="Times New Roman" w:cs="Times New Roman" w:eastAsia="Times New Roman"/>
          <w:color w:val="222222"/>
          <w:spacing w:val="0"/>
          <w:position w:val="0"/>
          <w:sz w:val="22"/>
          <w:shd w:fill="FFFFFF" w:val="clear"/>
        </w:rPr>
        <w:t xml:space="preserve">(2), pp.5-7.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