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2E97535D" w:rsidR="00647C75" w:rsidRPr="003C7DED" w:rsidRDefault="00BC7FA9"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7629ED35" w:rsidR="00A35E44" w:rsidRPr="003C7DED" w:rsidRDefault="00BC7FA9" w:rsidP="00A35E4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356085023"/>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53FFF5CA" w:rsidR="00A35E44" w:rsidRPr="003C7DED" w:rsidRDefault="00BC7FA9"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3084AF1" w:rsidR="00A80868" w:rsidRPr="003C7DED" w:rsidRDefault="00FF4E57" w:rsidP="008C14E9">
            <w:pPr>
              <w:rPr>
                <w:rFonts w:ascii="Arial" w:hAnsi="Arial" w:cs="Arial"/>
                <w:sz w:val="22"/>
                <w:szCs w:val="22"/>
              </w:rPr>
            </w:pPr>
            <w:r>
              <w:rPr>
                <w:rFonts w:ascii="Arial" w:hAnsi="Arial" w:cs="Arial"/>
                <w:sz w:val="22"/>
                <w:szCs w:val="22"/>
              </w:rPr>
              <w:t>Tarikul Islam Tarek</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D90DAE1" w:rsidR="00B60A98" w:rsidRPr="003C7DED" w:rsidRDefault="00311B4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9516F89" w:rsidR="00A80868" w:rsidRPr="003C7DED" w:rsidRDefault="00FF4E57"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62BCD0C0" w:rsidR="00A80868" w:rsidRPr="003C7DED" w:rsidRDefault="00FF4E57" w:rsidP="008C14E9">
            <w:pPr>
              <w:rPr>
                <w:rFonts w:ascii="Arial" w:hAnsi="Arial" w:cs="Arial"/>
                <w:sz w:val="22"/>
                <w:szCs w:val="22"/>
              </w:rPr>
            </w:pPr>
            <w:r>
              <w:rPr>
                <w:rFonts w:ascii="Arial" w:hAnsi="Arial" w:cs="Arial"/>
                <w:sz w:val="22"/>
                <w:szCs w:val="22"/>
              </w:rPr>
              <w:t>Quay Place, 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439EF23" w:rsidR="00A80868" w:rsidRPr="003C7DED" w:rsidRDefault="00320C06" w:rsidP="008C14E9">
            <w:pPr>
              <w:rPr>
                <w:rFonts w:ascii="Arial" w:hAnsi="Arial" w:cs="Arial"/>
                <w:sz w:val="22"/>
                <w:szCs w:val="22"/>
              </w:rPr>
            </w:pPr>
            <w:r>
              <w:rPr>
                <w:rFonts w:ascii="Arial" w:hAnsi="Arial" w:cs="Arial"/>
                <w:sz w:val="22"/>
                <w:szCs w:val="22"/>
              </w:rPr>
              <w:t>2435183@student.uwtsd.ac.uk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54B9991" w:rsidR="00A80868" w:rsidRPr="003C7DED" w:rsidRDefault="003C178B" w:rsidP="008C14E9">
            <w:pPr>
              <w:rPr>
                <w:rFonts w:ascii="Arial" w:hAnsi="Arial" w:cs="Arial"/>
                <w:sz w:val="22"/>
                <w:szCs w:val="22"/>
              </w:rPr>
            </w:pPr>
            <w:r>
              <w:rPr>
                <w:rFonts w:ascii="Arial" w:hAnsi="Arial" w:cs="Arial"/>
                <w:sz w:val="22"/>
                <w:szCs w:val="22"/>
              </w:rPr>
              <w:t>07405370106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CD033D5" w:rsidR="0069797A" w:rsidRPr="00BC7FA9" w:rsidRDefault="00BC7FA9" w:rsidP="008C14E9">
            <w:pPr>
              <w:rPr>
                <w:rFonts w:ascii="Arial" w:hAnsi="Arial" w:cs="Arial"/>
                <w:color w:val="4EA72E" w:themeColor="accent6"/>
                <w:sz w:val="22"/>
                <w:szCs w:val="22"/>
                <w:lang w:val="en-US"/>
              </w:rPr>
            </w:pPr>
            <w:r w:rsidRPr="006F2A65">
              <w:rPr>
                <w:rFonts w:ascii="Arial" w:hAnsi="Arial" w:cs="Arial"/>
                <w:sz w:val="22"/>
                <w:szCs w:val="22"/>
                <w:lang w:val="en-US"/>
              </w:rPr>
              <w:t>Corporate Social Responsibility Practices in UK Food Retail Sector: A Comparative Analysis of Evolution, Implementation and Reporting (2005-2025)</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24CF5755" w:rsidR="0069797A" w:rsidRPr="003C7DED" w:rsidRDefault="00BB0505" w:rsidP="008C14E9">
            <w:pPr>
              <w:rPr>
                <w:rFonts w:ascii="Arial" w:hAnsi="Arial" w:cs="Arial"/>
                <w:sz w:val="22"/>
                <w:szCs w:val="22"/>
              </w:rPr>
            </w:pPr>
            <w:r>
              <w:rPr>
                <w:rFonts w:ascii="Arial" w:hAnsi="Arial" w:cs="Arial"/>
                <w:sz w:val="22"/>
                <w:szCs w:val="22"/>
              </w:rPr>
              <w:t>11/05/2026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8473940" w:rsidR="0069797A" w:rsidRPr="003C7DED" w:rsidRDefault="00BB0505" w:rsidP="008C14E9">
            <w:pPr>
              <w:rPr>
                <w:rFonts w:ascii="Arial" w:hAnsi="Arial" w:cs="Arial"/>
                <w:sz w:val="22"/>
                <w:szCs w:val="22"/>
              </w:rPr>
            </w:pPr>
            <w:r>
              <w:rPr>
                <w:rFonts w:ascii="Arial" w:hAnsi="Arial" w:cs="Arial"/>
                <w:sz w:val="22"/>
                <w:szCs w:val="22"/>
              </w:rPr>
              <w:t>28/08/2026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3CA9201" w:rsidR="00A80868" w:rsidRPr="003C7DED" w:rsidRDefault="00BB0505" w:rsidP="008C14E9">
            <w:pPr>
              <w:rPr>
                <w:rFonts w:ascii="Arial" w:hAnsi="Arial" w:cs="Arial"/>
                <w:sz w:val="22"/>
                <w:szCs w:val="22"/>
              </w:rPr>
            </w:pPr>
            <w:r>
              <w:rPr>
                <w:rFonts w:ascii="Arial" w:hAnsi="Arial" w:cs="Arial"/>
                <w:sz w:val="22"/>
                <w:szCs w:val="22"/>
              </w:rPr>
              <w:t>2435183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8EABD0" w:rsidR="00A80868" w:rsidRPr="003C7DED" w:rsidRDefault="00311B4D" w:rsidP="008C14E9">
            <w:pPr>
              <w:rPr>
                <w:rFonts w:ascii="Arial" w:hAnsi="Arial" w:cs="Arial"/>
                <w:sz w:val="22"/>
                <w:szCs w:val="22"/>
              </w:rPr>
            </w:pPr>
            <w:r>
              <w:rPr>
                <w:rFonts w:ascii="Arial" w:hAnsi="Arial" w:cs="Arial"/>
                <w:sz w:val="22"/>
                <w:szCs w:val="22"/>
              </w:rPr>
              <w:t>MBA in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1B6714E" w:rsidR="00A80868" w:rsidRPr="003C7DED" w:rsidRDefault="00311B4D" w:rsidP="008C14E9">
            <w:pPr>
              <w:rPr>
                <w:rFonts w:ascii="Arial" w:hAnsi="Arial" w:cs="Arial"/>
                <w:sz w:val="22"/>
                <w:szCs w:val="22"/>
              </w:rPr>
            </w:pPr>
            <w:r>
              <w:rPr>
                <w:rFonts w:ascii="Arial" w:hAnsi="Arial" w:cs="Arial"/>
                <w:sz w:val="22"/>
                <w:szCs w:val="22"/>
              </w:rPr>
              <w:t>Supervisor: Ejike Udeogu</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60120020"/>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16040B8B" w:rsidR="00A35E44" w:rsidRPr="003C7DED" w:rsidRDefault="00BC7FA9"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3858AC3" w:rsidR="00F150A6" w:rsidRPr="003C7DED" w:rsidRDefault="00311B4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367877B" w:rsidR="00F150A6" w:rsidRPr="003C7DED" w:rsidRDefault="00311B4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C5B693" w:rsidR="00F150A6" w:rsidRPr="003C7DED" w:rsidRDefault="006F2A6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EB69F7D" w:rsidR="00F150A6" w:rsidRPr="003C7DED" w:rsidRDefault="006F2A6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796221531"/>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721F035F" w:rsidR="00A35E44" w:rsidRPr="003C7DED" w:rsidRDefault="00311B4D"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79D2267"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Aims:</w:t>
            </w:r>
          </w:p>
          <w:p w14:paraId="323D88E2" w14:textId="77777777" w:rsidR="00C45355" w:rsidRDefault="00C45355" w:rsidP="00C45355">
            <w:pPr>
              <w:pStyle w:val="ListParagraph"/>
              <w:numPr>
                <w:ilvl w:val="0"/>
                <w:numId w:val="27"/>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explore the shift from symbolic CSR reporting to substantive CSR integration in action within top UK food retailers between 2005 and 2025, to determine if there is a link between the evolution of CSR practices and the authenticity and depth of CSR by different business models; discount, mainstream and cooperative.</w:t>
            </w:r>
          </w:p>
          <w:p w14:paraId="5807F4CF" w14:textId="77777777" w:rsidR="00C45355" w:rsidRPr="00C45355" w:rsidRDefault="00C45355" w:rsidP="00C45355">
            <w:pPr>
              <w:pStyle w:val="ListParagraph"/>
              <w:autoSpaceDE w:val="0"/>
              <w:autoSpaceDN w:val="0"/>
              <w:adjustRightInd w:val="0"/>
              <w:rPr>
                <w:rFonts w:ascii="Arial" w:hAnsi="Arial" w:cs="Arial"/>
                <w:color w:val="000000" w:themeColor="text1"/>
                <w:sz w:val="22"/>
                <w:szCs w:val="22"/>
                <w:lang w:val="en-US"/>
              </w:rPr>
            </w:pPr>
          </w:p>
          <w:p w14:paraId="7DB91A2B"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Objectives:</w:t>
            </w:r>
          </w:p>
          <w:p w14:paraId="412DDC2E" w14:textId="77777777" w:rsidR="00C45355" w:rsidRPr="00C45355" w:rsidRDefault="00C45355" w:rsidP="00C45355">
            <w:pPr>
              <w:pStyle w:val="ListParagraph"/>
              <w:numPr>
                <w:ilvl w:val="0"/>
                <w:numId w:val="26"/>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critically analyse theories of CSR – substantive vs symbolic, Greenwashing, Stakeholder accountability in context of food retailing in the UK</w:t>
            </w:r>
          </w:p>
          <w:p w14:paraId="1764B498" w14:textId="77777777" w:rsidR="00C45355" w:rsidRPr="00C45355" w:rsidRDefault="00C45355" w:rsidP="00C45355">
            <w:pPr>
              <w:pStyle w:val="ListParagraph"/>
              <w:numPr>
                <w:ilvl w:val="0"/>
                <w:numId w:val="26"/>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comprehensively analyse disclosures made by CSR in the corporate reports, third-party evaluations and sustainability ratings of six major food retailers in the UK in a systematic way.</w:t>
            </w:r>
          </w:p>
          <w:p w14:paraId="0D70E391" w14:textId="77777777" w:rsidR="00C45355" w:rsidRPr="00C45355" w:rsidRDefault="00C45355" w:rsidP="00C45355">
            <w:pPr>
              <w:pStyle w:val="ListParagraph"/>
              <w:numPr>
                <w:ilvl w:val="0"/>
                <w:numId w:val="26"/>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benchmark current CSR practices (2020-2025) against the baseline established by Jones et al. (2005) in the five dimensions of CSR: environmental management, ethical sourcing, employee welfare, community engagement and customer relations with added themes from the recent CSR literature: climate accountability, circular economy and social justice.</w:t>
            </w:r>
          </w:p>
          <w:p w14:paraId="3ED6FBEE" w14:textId="77777777" w:rsidR="00C45355" w:rsidRPr="00C45355" w:rsidRDefault="00C45355" w:rsidP="00C45355">
            <w:pPr>
              <w:pStyle w:val="ListParagraph"/>
              <w:numPr>
                <w:ilvl w:val="0"/>
                <w:numId w:val="26"/>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compare the three business models, and assess the impact on depth of CSR and the extent of integration.</w:t>
            </w:r>
          </w:p>
          <w:p w14:paraId="588BB386" w14:textId="77777777" w:rsidR="00C45355" w:rsidRPr="00C45355" w:rsidRDefault="00C45355" w:rsidP="00C45355">
            <w:pPr>
              <w:pStyle w:val="ListParagraph"/>
              <w:numPr>
                <w:ilvl w:val="0"/>
                <w:numId w:val="26"/>
              </w:num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To create evidence-based recommendations that will improve the operational impact, measurability and credibility of CSR.</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BF39CD" w14:textId="79DCB3D3"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lastRenderedPageBreak/>
              <w:t>Vision</w:t>
            </w:r>
          </w:p>
          <w:p w14:paraId="4B1945F6"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Significant role in and outside the profession:</w:t>
            </w:r>
          </w:p>
          <w:p w14:paraId="239DDC10" w14:textId="4585D176"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This research fills an important lacuna in the knowledge regarding CSR authenticity in food retailing from disclosure analysis to the analysis of real integration. It builds on the pioneering work of Jones et al. (2005) by systematically comparing the impact of CSR initiatives over a 20-year period and thus addresses current problems of greenwashing and the implementation gap between CSR commitments and their actions.</w:t>
            </w:r>
          </w:p>
          <w:p w14:paraId="7A1028A7"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Advancing current understanding:</w:t>
            </w:r>
          </w:p>
          <w:p w14:paraId="58F47C83" w14:textId="3870A5D0"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The study creates new knowledge as it operationalizes criteria to distinguish substantives from symbolic CSR, a theoretical distinction that has not been developed in practice. It highlights how three business models differ with respect to CSR authenticity, providing new perspectives to applications of the stakeholder and institutional theories in retail sustainability.</w:t>
            </w:r>
          </w:p>
          <w:p w14:paraId="36599285"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Timeliness:</w:t>
            </w:r>
          </w:p>
          <w:p w14:paraId="2556C57F"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In the wake of regulatory pressure, including the UK Modern Slavery Act 2015, TCFD reporting, net-zero commitments; rising investor and consumer expectations for ESG performance; and the community's recognition of retailers' responsibilities over the supply chain, employees and community; and intensifying climate crisis, requiring evidence of action, not rhetoric, it is highly timely.</w:t>
            </w:r>
          </w:p>
          <w:p w14:paraId="0CE35010"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Potential for impact:</w:t>
            </w:r>
          </w:p>
          <w:p w14:paraId="07832EC3"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Findings will offer practical and concrete guidance for policymakers in the process of creating CSR regulation, investors to evaluate the authenticity of ESG reporting, civil society organisations to track corporate accountability, and retailers to build genuine sustainability. The study offers insights into practices that are best, and exposes greenwashing trends, making it easier to engage in more effective stakeholder engagement and achieve evidence-based sustainability transitions in a sector that impacts millions of consumers every day.</w:t>
            </w:r>
          </w:p>
          <w:p w14:paraId="5A191D88" w14:textId="4EA5A41D"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1DB7B06"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Approach</w:t>
            </w:r>
          </w:p>
          <w:p w14:paraId="4C0B6C2C"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Methodological framework:</w:t>
            </w:r>
          </w:p>
          <w:p w14:paraId="6D41A966"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This qualitative, interpretivist study is based on a multiple case study design (Yin, 2018) where six food retailers in the UK with different business models were selected for the study: mainstream (Tesco, Sainsbury's, Morrisons, Asda), discount (Aldi) and cooperative (The Co-operative Food). Data collection takes place in two temporal phases – baseline (2003-2007) and contemporary (2020-2025) – to allow for data to be compared longitudinally.</w:t>
            </w:r>
          </w:p>
          <w:p w14:paraId="0B0CB0F5"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Data collection:</w:t>
            </w:r>
          </w:p>
          <w:p w14:paraId="00ED6712"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Only secondary data sources, such as - corporate sustainability reports, annual reports, governance statements, Modern Slavery Act statements, supplier codes; third party assessments (CDP scores, FTSE4Good ratings, Ethical Consumer, ShareAction rankings); regulatory documents (CMA guidance, TCFD filings); and independent evaluations (NGOs - Oxfam, Greenpeace, Sustain, investigative journalism). Triangulating the sources within and outside of a company can help to substantiate statements.</w:t>
            </w:r>
          </w:p>
          <w:p w14:paraId="2E97DCA1"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Analysis methods:</w:t>
            </w:r>
          </w:p>
          <w:p w14:paraId="12F7E415"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Deductive-inductive coding was used to conduct thematic content analysis (Braun &amp; Clarke, 2006). The themes used in the deductive approach are based on Jones et al. (2005) five dimensions of CSR and the substantive/symbolic distinction. The emerging themes that are captured through inductive coding are Scope 3 emissions, circular economy, modern slavery, and public health. Data analysed using excel (if applicable), with Atlas.ti. Five criteria of authenticity were used to assess each retailer: verifiability (independent audits/certification); measurability (quantifiable targets/progress); accountability (governance ownership/failure recognition); integration (integration in procurement/operations); and comparability (consistent metrics). The results were synthesized and presented in cross case matrices which compare retailers, timeframes, business models and CSR dimensions.</w:t>
            </w:r>
          </w:p>
          <w:p w14:paraId="4AF5C592"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Rationale:</w:t>
            </w:r>
          </w:p>
          <w:p w14:paraId="51A93C41"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 xml:space="preserve">Multiple case study design allows for description within context and pattern identification. Secondary data analysis can be used to analyse CSR practices that is publicly published data, which does not involve any </w:t>
            </w:r>
            <w:r w:rsidRPr="00C45355">
              <w:rPr>
                <w:rFonts w:ascii="Arial" w:hAnsi="Arial" w:cs="Arial"/>
                <w:color w:val="000000" w:themeColor="text1"/>
                <w:sz w:val="22"/>
                <w:szCs w:val="22"/>
                <w:lang w:val="en-US"/>
              </w:rPr>
              <w:lastRenderedPageBreak/>
              <w:t>influence of researchers on the responses. The 20-year time frame reflects the evolution of the sectors. The triangulation of information from both corporate and independent sources helps overcome concerns of reliability relating to self-reported data. The five criteria framework is a concise, rigorous and operational elaboration of substantive/symbolic distinction.</w:t>
            </w:r>
          </w:p>
          <w:p w14:paraId="64797369"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Feasibility and proportionality:</w:t>
            </w:r>
          </w:p>
          <w:p w14:paraId="224D6F45"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Any data is accessible and there are no access barriers. There are six retailers who are able to provide depth and manageability within time and resources. The major retailers are chosen in order to be representative of business model diversity and to have a large percentage of the market. Secondary data approach is suitable for the assessment of reported practices and for independently assessed performance.</w:t>
            </w:r>
          </w:p>
          <w:p w14:paraId="0FB261AB"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Risks and management:</w:t>
            </w:r>
          </w:p>
          <w:p w14:paraId="4959880E"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Data availability/inconsistency risk: Mitigated by document scanning in advance, some variation as a data finding, across multiple data sources triangulation</w:t>
            </w:r>
          </w:p>
          <w:p w14:paraId="0AC55E00"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There is a risk of selective reporting/greenwashing, which is mitigated by using independent third-party source triangulation and applying the verification criteria.</w:t>
            </w:r>
          </w:p>
          <w:p w14:paraId="50B3E277"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Managed through reflexive journalling, structured criteria application and a transparent audit trail.Managed through reflexive journalling, structured criteria application, and a transparent audit trail.</w:t>
            </w:r>
          </w:p>
          <w:p w14:paraId="2003DF7A"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It is controlled with respect to the 5 defined CSR dimensions and regular scope reviews and a risk of scope creep is identified.</w:t>
            </w:r>
          </w:p>
          <w:p w14:paraId="4FA1028B"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Cloud backups, protocols for version control: Risk of technical/data loss</w:t>
            </w:r>
          </w:p>
          <w:p w14:paraId="6EEB6350" w14:textId="77777777" w:rsidR="00C45355" w:rsidRPr="00C45355" w:rsidRDefault="00C45355" w:rsidP="00C45355">
            <w:pPr>
              <w:autoSpaceDE w:val="0"/>
              <w:autoSpaceDN w:val="0"/>
              <w:adjustRightInd w:val="0"/>
              <w:rPr>
                <w:rFonts w:ascii="Arial" w:hAnsi="Arial" w:cs="Arial"/>
                <w:b/>
                <w:bCs/>
                <w:color w:val="000000" w:themeColor="text1"/>
                <w:sz w:val="22"/>
                <w:szCs w:val="22"/>
                <w:lang w:val="en-US"/>
              </w:rPr>
            </w:pPr>
            <w:r w:rsidRPr="00C45355">
              <w:rPr>
                <w:rFonts w:ascii="Arial" w:hAnsi="Arial" w:cs="Arial"/>
                <w:b/>
                <w:bCs/>
                <w:color w:val="000000" w:themeColor="text1"/>
                <w:sz w:val="22"/>
                <w:szCs w:val="22"/>
                <w:lang w:val="en-US"/>
              </w:rPr>
              <w:t>Translation to outcomes / impacts:</w:t>
            </w:r>
          </w:p>
          <w:p w14:paraId="574DE594" w14:textId="77777777" w:rsidR="00C45355" w:rsidRPr="00C45355" w:rsidRDefault="00C45355" w:rsidP="00C45355">
            <w:pPr>
              <w:autoSpaceDE w:val="0"/>
              <w:autoSpaceDN w:val="0"/>
              <w:adjustRightInd w:val="0"/>
              <w:rPr>
                <w:rFonts w:ascii="Arial" w:hAnsi="Arial" w:cs="Arial"/>
                <w:color w:val="000000" w:themeColor="text1"/>
                <w:sz w:val="22"/>
                <w:szCs w:val="22"/>
                <w:lang w:val="en-US"/>
              </w:rPr>
            </w:pPr>
            <w:r w:rsidRPr="00C45355">
              <w:rPr>
                <w:rFonts w:ascii="Arial" w:hAnsi="Arial" w:cs="Arial"/>
                <w:color w:val="000000" w:themeColor="text1"/>
                <w:sz w:val="22"/>
                <w:szCs w:val="22"/>
                <w:lang w:val="en-US"/>
              </w:rPr>
              <w:t>Results will be shared via: academic publications in business ethics and sustainability journals; policy briefings for UK Government, CMA and FRC on effectiveness of CSR regulation; practitioner reports (ShareAction, Ethical Consumer) on best practices; presentations to civil society organisations to facilitate advocacy; and a public facing summary to enable consumer awareness. The operationalised authenticity framework yields a tool for continuous CSR assessments by research and regulatory bodies and watchdog organisations that can also be replicated.</w:t>
            </w:r>
          </w:p>
          <w:p w14:paraId="45E8B681" w14:textId="5CD6A742" w:rsidR="003F1A54" w:rsidRPr="00C45355" w:rsidRDefault="003F1A54" w:rsidP="008C14E9">
            <w:pPr>
              <w:autoSpaceDE w:val="0"/>
              <w:autoSpaceDN w:val="0"/>
              <w:adjustRightInd w:val="0"/>
              <w:rPr>
                <w:rFonts w:ascii="Arial" w:hAnsi="Arial" w:cs="Arial"/>
                <w:b/>
                <w:bCs/>
                <w:color w:val="000000" w:themeColor="text1"/>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614980C7" w:rsidR="000D15A3" w:rsidRDefault="00401CCA" w:rsidP="00320C06">
            <w:pPr>
              <w:pStyle w:val="ListParagraph"/>
              <w:numPr>
                <w:ilvl w:val="0"/>
                <w:numId w:val="28"/>
              </w:numPr>
              <w:rPr>
                <w:rFonts w:ascii="Arial" w:hAnsi="Arial" w:cs="Arial"/>
                <w:color w:val="000000" w:themeColor="text1"/>
                <w:sz w:val="22"/>
                <w:szCs w:val="22"/>
              </w:rPr>
            </w:pPr>
            <w:r w:rsidRPr="00320C06">
              <w:rPr>
                <w:rFonts w:ascii="Arial" w:hAnsi="Arial" w:cs="Arial"/>
                <w:color w:val="000000" w:themeColor="text1"/>
                <w:sz w:val="22"/>
                <w:szCs w:val="22"/>
              </w:rPr>
              <w:t xml:space="preserve">UWTSD </w:t>
            </w:r>
            <w:r w:rsidR="000D15A3" w:rsidRPr="00320C06">
              <w:rPr>
                <w:rFonts w:ascii="Arial" w:hAnsi="Arial" w:cs="Arial"/>
                <w:color w:val="000000" w:themeColor="text1"/>
                <w:sz w:val="22"/>
                <w:szCs w:val="22"/>
              </w:rPr>
              <w:t xml:space="preserve">Birmingham </w:t>
            </w:r>
            <w:r w:rsidRPr="00320C06">
              <w:rPr>
                <w:rFonts w:ascii="Arial" w:hAnsi="Arial" w:cs="Arial"/>
                <w:color w:val="000000" w:themeColor="text1"/>
                <w:sz w:val="22"/>
                <w:szCs w:val="22"/>
              </w:rPr>
              <w:t xml:space="preserve">Campus </w:t>
            </w:r>
          </w:p>
          <w:p w14:paraId="3A58DEB2" w14:textId="7857FCEA" w:rsidR="00320C06" w:rsidRPr="00320C06" w:rsidRDefault="00320C06" w:rsidP="00320C06">
            <w:pPr>
              <w:pStyle w:val="ListParagraph"/>
              <w:numPr>
                <w:ilvl w:val="0"/>
                <w:numId w:val="28"/>
              </w:numPr>
              <w:rPr>
                <w:rFonts w:ascii="Arial" w:hAnsi="Arial" w:cs="Arial"/>
                <w:color w:val="000000" w:themeColor="text1"/>
                <w:sz w:val="22"/>
                <w:szCs w:val="22"/>
              </w:rPr>
            </w:pPr>
            <w:r>
              <w:rPr>
                <w:rFonts w:ascii="Arial" w:hAnsi="Arial" w:cs="Arial"/>
                <w:color w:val="000000" w:themeColor="text1"/>
                <w:sz w:val="22"/>
                <w:szCs w:val="22"/>
              </w:rPr>
              <w:t>Home</w:t>
            </w:r>
          </w:p>
          <w:p w14:paraId="7BFA90EF" w14:textId="0FFAA453" w:rsidR="00401CCA" w:rsidRPr="00401CCA" w:rsidRDefault="00401CCA" w:rsidP="000D15A3">
            <w:pPr>
              <w:pStyle w:val="ListParagraph"/>
              <w:rPr>
                <w:rFonts w:ascii="Arial" w:hAnsi="Arial" w:cs="Arial"/>
                <w:color w:val="4EA72E" w:themeColor="accent6"/>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7925186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2AA69B" w14:textId="688B692A" w:rsidR="00A35E44" w:rsidRPr="003C7DED" w:rsidRDefault="000D15A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94A19B3"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D97EED0"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86857A9"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2BA3EA4"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B5747E2"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5F83AC1"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61414A7"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4B710F4"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96094A1"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79A7245"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FED2AAC"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EC0EDE0"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3C040C0"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8F74B0E"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4F9F1F9"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DDB0338" w:rsidR="00BD363F" w:rsidRPr="003C7DED" w:rsidRDefault="000D15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159C2212" w:rsidR="00BD363F" w:rsidRPr="003C7DED" w:rsidRDefault="00320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r w:rsidR="007A0D31" w:rsidRPr="003C7DED" w14:paraId="1B61BA32" w14:textId="77777777" w:rsidTr="004135AB">
        <w:tc>
          <w:tcPr>
            <w:tcW w:w="562" w:type="dxa"/>
            <w:shd w:val="clear" w:color="auto" w:fill="F2F2F2" w:themeFill="background1" w:themeFillShade="F2"/>
            <w:vAlign w:val="center"/>
          </w:tcPr>
          <w:p w14:paraId="3A110D1D" w14:textId="77777777" w:rsidR="007A0D31" w:rsidRPr="003C7DED" w:rsidRDefault="007A0D31" w:rsidP="004135AB">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3B30E72E" w14:textId="77777777" w:rsidR="007A0D31" w:rsidRPr="003C7DED" w:rsidRDefault="007A0D31" w:rsidP="004135AB">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5E219ACA" w14:textId="77777777" w:rsidR="007A0D31" w:rsidRPr="003C7DED" w:rsidRDefault="007A0D31"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A3C115F" w14:textId="77777777" w:rsidR="007A0D31" w:rsidRPr="003C7DED" w:rsidRDefault="007A0D31" w:rsidP="004135AB">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7D73491E" w14:textId="77777777" w:rsidR="007A0D31" w:rsidRPr="003C7DED" w:rsidRDefault="007A0D31"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sdt>
            <w:sdtPr>
              <w:rPr>
                <w:rFonts w:ascii="Arial" w:hAnsi="Arial" w:cs="Arial"/>
                <w:sz w:val="22"/>
                <w:szCs w:val="22"/>
              </w:rPr>
              <w:id w:val="-533890045"/>
              <w14:checkbox>
                <w14:checked w14:val="1"/>
                <w14:checkedState w14:val="2612" w14:font="MS Gothic"/>
                <w14:uncheckedState w14:val="2610" w14:font="MS Gothic"/>
              </w14:checkbox>
            </w:sdtPr>
            <w:sdtContent>
              <w:p w14:paraId="72763975" w14:textId="2BF53377" w:rsidR="007A0D31" w:rsidRDefault="007A0D31" w:rsidP="007A0D3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AC8FB69" w14:textId="77777777" w:rsidR="007A0D31" w:rsidRDefault="007A0D31" w:rsidP="004135AB">
            <w:pPr>
              <w:autoSpaceDE w:val="0"/>
              <w:autoSpaceDN w:val="0"/>
              <w:adjustRightInd w:val="0"/>
              <w:jc w:val="center"/>
            </w:pP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lastRenderedPageBreak/>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3631593"/>
              <w14:checkbox>
                <w14:checked w14:val="1"/>
                <w14:checkedState w14:val="2612" w14:font="MS Gothic"/>
                <w14:uncheckedState w14:val="2610" w14:font="MS Gothic"/>
              </w14:checkbox>
            </w:sdtPr>
            <w:sdtContent>
              <w:p w14:paraId="4FDA2CFF" w14:textId="0664D1B2" w:rsidR="00A35E44" w:rsidRPr="007A0D31" w:rsidRDefault="007A0D31" w:rsidP="007A0D3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46937023"/>
              <w14:checkbox>
                <w14:checked w14:val="1"/>
                <w14:checkedState w14:val="2612" w14:font="MS Gothic"/>
                <w14:uncheckedState w14:val="2610" w14:font="MS Gothic"/>
              </w14:checkbox>
            </w:sdtPr>
            <w:sdtContent>
              <w:p w14:paraId="2C101936" w14:textId="77777777" w:rsidR="007A0D31" w:rsidRDefault="007A0D31" w:rsidP="007A0D31">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434CCC42" w14:textId="64CD3FCD"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591739302"/>
              <w14:checkbox>
                <w14:checked w14:val="1"/>
                <w14:checkedState w14:val="2612" w14:font="MS Gothic"/>
                <w14:uncheckedState w14:val="2610" w14:font="MS Gothic"/>
              </w14:checkbox>
            </w:sdtPr>
            <w:sdtContent>
              <w:p w14:paraId="1EAF6C8D" w14:textId="77777777" w:rsidR="007A0D31" w:rsidRDefault="007A0D31" w:rsidP="007A0D31">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0A181CCE" w14:textId="00A40569"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79881955"/>
              <w14:checkbox>
                <w14:checked w14:val="1"/>
                <w14:checkedState w14:val="2612" w14:font="MS Gothic"/>
                <w14:uncheckedState w14:val="2610" w14:font="MS Gothic"/>
              </w14:checkbox>
            </w:sdtPr>
            <w:sdtContent>
              <w:p w14:paraId="19EAEA98" w14:textId="77777777" w:rsidR="007A0D31" w:rsidRDefault="007A0D31" w:rsidP="007A0D31">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6C9B582D" w14:textId="4AE41C34"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848067353"/>
              <w14:checkbox>
                <w14:checked w14:val="1"/>
                <w14:checkedState w14:val="2612" w14:font="MS Gothic"/>
                <w14:uncheckedState w14:val="2610" w14:font="MS Gothic"/>
              </w14:checkbox>
            </w:sdtPr>
            <w:sdtContent>
              <w:p w14:paraId="644889A8" w14:textId="77777777" w:rsidR="007A0D31" w:rsidRDefault="007A0D31" w:rsidP="007A0D3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64367C2B"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F904973"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0759B8C"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EE93021"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7D24623"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8209464"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38C759B" w:rsidR="001F7B84" w:rsidRPr="003C7DED" w:rsidRDefault="007A0D3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CA8981E" w:rsidR="000C5261"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4EF4AE4"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62D9617"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C2BD426"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6018F2A"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B8DD7DF"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38A0A8BC"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6CC9BC2"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9FAE06B" w:rsidR="00702469" w:rsidRDefault="007A0D3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E800FC7" w:rsidR="001F7B84" w:rsidRPr="003C7DED" w:rsidRDefault="007A0D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C351E7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7A0D3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12960040"/>
              <w14:checkbox>
                <w14:checked w14:val="1"/>
                <w14:checkedState w14:val="2612" w14:font="MS Gothic"/>
                <w14:uncheckedState w14:val="2610" w14:font="MS Gothic"/>
              </w14:checkbox>
            </w:sdtPr>
            <w:sdtContent>
              <w:p w14:paraId="3F26771D" w14:textId="77777777" w:rsidR="007A0D31" w:rsidRDefault="007A0D31" w:rsidP="007A0D31">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2739AB78" w14:textId="3CDF4155"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7206118" w:rsidR="00AA4E90" w:rsidRPr="003C7DED" w:rsidRDefault="00320C0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080ED95" w:rsidR="006E7E24"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FF2994E" w:rsidR="006E7E24"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976B1BE" w:rsidR="006E7E24"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9BC0D24" w:rsidR="006E7E24"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E671C0A" w:rsidR="006E7E24" w:rsidRPr="003C7DED"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60F0365" w:rsidR="006E7E24" w:rsidRPr="003C7DED"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C24E313" w:rsidR="006E7E24" w:rsidRPr="003C7DED"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6156CDA" w:rsidR="006E7E24" w:rsidRPr="003C7DED"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5BB60C6" w:rsidR="006E7E24" w:rsidRPr="003C7DED" w:rsidRDefault="00320C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D25A196" w:rsidR="00E44410" w:rsidRDefault="00320C0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586" w:type="dxa"/>
        <w:tblInd w:w="-5" w:type="dxa"/>
        <w:tblLayout w:type="fixed"/>
        <w:tblLook w:val="04A0" w:firstRow="1" w:lastRow="0" w:firstColumn="1" w:lastColumn="0" w:noHBand="0" w:noVBand="1"/>
      </w:tblPr>
      <w:tblGrid>
        <w:gridCol w:w="561"/>
        <w:gridCol w:w="9789"/>
        <w:gridCol w:w="236"/>
      </w:tblGrid>
      <w:tr w:rsidR="001F7B84" w:rsidRPr="003C7DED" w14:paraId="7E032424" w14:textId="77777777" w:rsidTr="00CC5AE6">
        <w:trPr>
          <w:gridAfter w:val="1"/>
          <w:wAfter w:w="236" w:type="dxa"/>
          <w:trHeight w:val="538"/>
        </w:trPr>
        <w:tc>
          <w:tcPr>
            <w:tcW w:w="561"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789"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CC5AE6">
        <w:trPr>
          <w:gridAfter w:val="1"/>
          <w:wAfter w:w="236" w:type="dxa"/>
          <w:trHeight w:val="522"/>
        </w:trPr>
        <w:tc>
          <w:tcPr>
            <w:tcW w:w="10350" w:type="dxa"/>
            <w:gridSpan w:val="2"/>
            <w:vAlign w:val="center"/>
          </w:tcPr>
          <w:p w14:paraId="52C2DFD1" w14:textId="532C8198" w:rsidR="00CD54AD" w:rsidRPr="00D0088C" w:rsidRDefault="00A12581" w:rsidP="00D0088C">
            <w:pPr>
              <w:rPr>
                <w:rFonts w:ascii="Arial" w:hAnsi="Arial" w:cs="Arial"/>
                <w:b/>
                <w:color w:val="4EA72E" w:themeColor="accent6"/>
                <w:sz w:val="22"/>
                <w:szCs w:val="22"/>
              </w:rPr>
            </w:pPr>
            <w:r w:rsidRPr="00A12581">
              <w:rPr>
                <w:rFonts w:ascii="Arial" w:hAnsi="Arial" w:cs="Arial"/>
                <w:bCs/>
                <w:color w:val="000000" w:themeColor="text1"/>
                <w:sz w:val="22"/>
                <w:szCs w:val="22"/>
              </w:rPr>
              <w:t>Data type(s) that the research will develop/retrive: This research will specifically use secondary qualitative data. The raw data will be publicly available corporate documents (sustainability reports, annual reports, governance statements, supplier codes) and third party assessment (CDP, FTSE4Good, Ethical Consumer, NGO reports, CMA guidance) over two periods of time: 2003-2007 and 2020-2025. Six UK food retailers (Tesco, Sainsbury's, Asda, Morrisons, Aldi and The Co-operative Food) are studied. The research will produce a new dataset of synthesized matrices of substantive CSR and matrices of symbolic compliance, benchmarking charts and comparative analyses (Excel/Atlas.ti) of the two types</w:t>
            </w:r>
            <w:r w:rsidRPr="00A12581">
              <w:rPr>
                <w:rFonts w:ascii="Arial" w:hAnsi="Arial" w:cs="Arial"/>
                <w:b/>
                <w:color w:val="4EA72E" w:themeColor="accent6"/>
                <w:sz w:val="22"/>
                <w:szCs w:val="22"/>
              </w:rPr>
              <w:t>.</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CC5AE6">
        <w:trPr>
          <w:gridAfter w:val="1"/>
          <w:wAfter w:w="236" w:type="dxa"/>
          <w:trHeight w:val="786"/>
        </w:trPr>
        <w:tc>
          <w:tcPr>
            <w:tcW w:w="561"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789"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CC5AE6">
        <w:trPr>
          <w:gridAfter w:val="1"/>
          <w:wAfter w:w="236" w:type="dxa"/>
          <w:trHeight w:val="769"/>
        </w:trPr>
        <w:tc>
          <w:tcPr>
            <w:tcW w:w="10350" w:type="dxa"/>
            <w:gridSpan w:val="2"/>
            <w:vAlign w:val="center"/>
          </w:tcPr>
          <w:p w14:paraId="7D2A9F27" w14:textId="560CCDCB" w:rsidR="00CD54AD" w:rsidRPr="003C7DED" w:rsidRDefault="00A12581" w:rsidP="00E818A7">
            <w:pPr>
              <w:rPr>
                <w:rFonts w:ascii="Arial" w:hAnsi="Arial" w:cs="Arial"/>
                <w:bCs/>
                <w:sz w:val="22"/>
                <w:szCs w:val="22"/>
              </w:rPr>
            </w:pPr>
            <w:r w:rsidRPr="00A12581">
              <w:rPr>
                <w:rFonts w:ascii="Arial" w:hAnsi="Arial" w:cs="Arial"/>
                <w:color w:val="000000" w:themeColor="text1"/>
                <w:sz w:val="22"/>
                <w:szCs w:val="22"/>
              </w:rPr>
              <w:t xml:space="preserve">Tarikul Islam </w:t>
            </w:r>
            <w:r w:rsidR="00E818A7">
              <w:rPr>
                <w:rFonts w:ascii="Arial" w:hAnsi="Arial" w:cs="Arial"/>
                <w:color w:val="000000" w:themeColor="text1"/>
                <w:sz w:val="22"/>
                <w:szCs w:val="22"/>
              </w:rPr>
              <w:t>Tarek</w:t>
            </w:r>
          </w:p>
        </w:tc>
      </w:tr>
      <w:tr w:rsidR="001F7B84" w:rsidRPr="003C7DED" w14:paraId="6F423ECA" w14:textId="77777777" w:rsidTr="00CC5AE6">
        <w:trPr>
          <w:gridAfter w:val="1"/>
          <w:wAfter w:w="236" w:type="dxa"/>
          <w:trHeight w:val="676"/>
        </w:trPr>
        <w:tc>
          <w:tcPr>
            <w:tcW w:w="561"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789"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CC5AE6">
        <w:trPr>
          <w:gridAfter w:val="1"/>
          <w:wAfter w:w="236" w:type="dxa"/>
          <w:trHeight w:val="511"/>
        </w:trPr>
        <w:tc>
          <w:tcPr>
            <w:tcW w:w="10350" w:type="dxa"/>
            <w:gridSpan w:val="2"/>
            <w:vAlign w:val="center"/>
          </w:tcPr>
          <w:p w14:paraId="7CBF1519" w14:textId="77777777" w:rsidR="00A12581" w:rsidRPr="00A12581" w:rsidRDefault="00A12581" w:rsidP="00A12581">
            <w:pPr>
              <w:pStyle w:val="ListParagraph"/>
              <w:numPr>
                <w:ilvl w:val="0"/>
                <w:numId w:val="8"/>
              </w:numPr>
              <w:rPr>
                <w:rFonts w:ascii="Arial" w:hAnsi="Arial" w:cs="Arial"/>
                <w:bCs/>
                <w:color w:val="000000" w:themeColor="text1"/>
                <w:sz w:val="22"/>
                <w:szCs w:val="22"/>
              </w:rPr>
            </w:pPr>
            <w:r w:rsidRPr="00A12581">
              <w:rPr>
                <w:rFonts w:ascii="Arial" w:hAnsi="Arial" w:cs="Arial"/>
                <w:bCs/>
                <w:color w:val="000000" w:themeColor="text1"/>
                <w:sz w:val="22"/>
                <w:szCs w:val="22"/>
              </w:rPr>
              <w:t>Use of existing data sources: The study heavily utilises existing publicly disclosed data from corporate reports and independent third party evaluations. These documents are easily accessible through corporate websites, NGO databases and government/regulatory websites.</w:t>
            </w:r>
          </w:p>
          <w:p w14:paraId="7A32DC52" w14:textId="1E17F653" w:rsidR="00CD54AD" w:rsidRPr="00A12581" w:rsidRDefault="00A12581" w:rsidP="00A12581">
            <w:pPr>
              <w:numPr>
                <w:ilvl w:val="0"/>
                <w:numId w:val="8"/>
              </w:numPr>
              <w:rPr>
                <w:rFonts w:ascii="Arial" w:hAnsi="Arial" w:cs="Arial"/>
                <w:color w:val="000000" w:themeColor="text1"/>
                <w:sz w:val="22"/>
                <w:szCs w:val="22"/>
              </w:rPr>
            </w:pPr>
            <w:r w:rsidRPr="00A12581">
              <w:rPr>
                <w:rFonts w:ascii="Arial" w:hAnsi="Arial" w:cs="Arial"/>
                <w:bCs/>
                <w:color w:val="000000" w:themeColor="text1"/>
                <w:sz w:val="22"/>
                <w:szCs w:val="22"/>
              </w:rPr>
              <w:t xml:space="preserve">Gap analysis: There is a large amount of raw CSR reporting data available, but a large “operationalisation gap” in the existing literature. The main difference from the baseline date set up by Jones et al. (2005) is the absence of longitudinal, structured comparative data to determine if there has been a substantive change in food retail CSR from the baseline. In addition, there is a "business model differentiation gap", in that existing data has not been systematically classified to enable the comparison of the extent of CSR integration across the three business models (discount, mainstream and cooperative) from a verifiable perspective. </w:t>
            </w:r>
          </w:p>
        </w:tc>
      </w:tr>
      <w:tr w:rsidR="001F7B84" w:rsidRPr="003C7DED" w14:paraId="0DD0FD35" w14:textId="77777777" w:rsidTr="00CC5AE6">
        <w:trPr>
          <w:gridAfter w:val="1"/>
          <w:wAfter w:w="236" w:type="dxa"/>
          <w:trHeight w:val="511"/>
        </w:trPr>
        <w:tc>
          <w:tcPr>
            <w:tcW w:w="561"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789"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5B11DDC6" w14:textId="77777777" w:rsidTr="00CC5AE6">
        <w:trPr>
          <w:trHeight w:val="516"/>
        </w:trPr>
        <w:tc>
          <w:tcPr>
            <w:tcW w:w="10350" w:type="dxa"/>
            <w:gridSpan w:val="2"/>
            <w:vAlign w:val="center"/>
          </w:tcPr>
          <w:p w14:paraId="5ED785F2" w14:textId="04DE4B5B" w:rsidR="00A12581" w:rsidRPr="00A12581" w:rsidRDefault="00A12581" w:rsidP="00A12581">
            <w:pPr>
              <w:pStyle w:val="ListParagraph"/>
              <w:numPr>
                <w:ilvl w:val="0"/>
                <w:numId w:val="29"/>
              </w:numPr>
              <w:rPr>
                <w:rFonts w:ascii="Arial" w:hAnsi="Arial" w:cs="Arial"/>
                <w:bCs/>
                <w:color w:val="000000" w:themeColor="text1"/>
                <w:sz w:val="22"/>
                <w:szCs w:val="22"/>
              </w:rPr>
            </w:pPr>
            <w:r w:rsidRPr="00A12581">
              <w:rPr>
                <w:rFonts w:ascii="Arial" w:hAnsi="Arial" w:cs="Arial"/>
                <w:bCs/>
                <w:color w:val="000000" w:themeColor="text1"/>
                <w:sz w:val="22"/>
                <w:szCs w:val="22"/>
              </w:rPr>
              <w:t>Preparation and organization: Data will be systematically downloaded and catalogued in a hierarchical folder structure under the following: (1) Retailer Name, (2) Source-Type (Corporate vs. There are four dimensions: (1) Third-Party, (2) Year, and (3) CSR Dimension.</w:t>
            </w:r>
          </w:p>
          <w:p w14:paraId="0D48E872" w14:textId="0D3A6EFB" w:rsidR="00CD54AD" w:rsidRPr="00A12581" w:rsidRDefault="00A12581" w:rsidP="00A12581">
            <w:pPr>
              <w:pStyle w:val="ListParagraph"/>
              <w:numPr>
                <w:ilvl w:val="0"/>
                <w:numId w:val="9"/>
              </w:numPr>
              <w:rPr>
                <w:rFonts w:ascii="Arial" w:hAnsi="Arial" w:cs="Arial"/>
                <w:bCs/>
                <w:color w:val="000000" w:themeColor="text1"/>
                <w:sz w:val="22"/>
                <w:szCs w:val="22"/>
              </w:rPr>
            </w:pPr>
            <w:r w:rsidRPr="00A12581">
              <w:rPr>
                <w:rFonts w:ascii="Arial" w:hAnsi="Arial" w:cs="Arial"/>
                <w:bCs/>
                <w:color w:val="000000" w:themeColor="text1"/>
                <w:sz w:val="22"/>
                <w:szCs w:val="22"/>
              </w:rPr>
              <w:t>Documentation: Documentation will be coded on deductive (Jones et al., 2005 dimensions) and inductive (Scope 3, circular economy, social justice) dimensions. The coded matrices will be processed largely in Microsoft Excel and in the Atlas.ti software only in case of more complex thematic coding. Version control (e.g., v1_date, v2_date) will be adhered to.</w:t>
            </w:r>
          </w:p>
          <w:p w14:paraId="0DD56124" w14:textId="79DC8CD8" w:rsidR="00CD54AD" w:rsidRPr="003C7DED" w:rsidRDefault="00CD54AD" w:rsidP="004135AB">
            <w:pPr>
              <w:rPr>
                <w:rFonts w:ascii="Arial" w:hAnsi="Arial" w:cs="Arial"/>
                <w:sz w:val="22"/>
                <w:szCs w:val="22"/>
              </w:rPr>
            </w:pPr>
          </w:p>
        </w:tc>
        <w:tc>
          <w:tcPr>
            <w:tcW w:w="236" w:type="dxa"/>
          </w:tcPr>
          <w:p w14:paraId="4DFC594D" w14:textId="2B65270C" w:rsidR="00CD54AD" w:rsidRPr="003C7DED" w:rsidRDefault="00CD54AD"/>
        </w:tc>
      </w:tr>
      <w:tr w:rsidR="001F7B84" w:rsidRPr="003C7DED" w14:paraId="65EC5A14" w14:textId="77777777" w:rsidTr="00CC5AE6">
        <w:trPr>
          <w:gridAfter w:val="1"/>
          <w:wAfter w:w="236" w:type="dxa"/>
          <w:trHeight w:val="516"/>
        </w:trPr>
        <w:tc>
          <w:tcPr>
            <w:tcW w:w="561"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789"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CC5AE6">
        <w:trPr>
          <w:gridAfter w:val="1"/>
          <w:wAfter w:w="236" w:type="dxa"/>
          <w:trHeight w:val="769"/>
        </w:trPr>
        <w:tc>
          <w:tcPr>
            <w:tcW w:w="10350" w:type="dxa"/>
            <w:gridSpan w:val="2"/>
            <w:vAlign w:val="center"/>
          </w:tcPr>
          <w:p w14:paraId="48E1B925" w14:textId="77777777" w:rsidR="00A12581" w:rsidRPr="00A12581" w:rsidRDefault="00A12581" w:rsidP="00A12581">
            <w:pPr>
              <w:pStyle w:val="ListParagraph"/>
              <w:numPr>
                <w:ilvl w:val="0"/>
                <w:numId w:val="9"/>
              </w:numPr>
              <w:rPr>
                <w:rFonts w:ascii="Arial" w:hAnsi="Arial" w:cs="Arial"/>
                <w:bCs/>
                <w:color w:val="000000" w:themeColor="text1"/>
                <w:sz w:val="22"/>
                <w:szCs w:val="22"/>
              </w:rPr>
            </w:pPr>
            <w:r w:rsidRPr="00A12581">
              <w:rPr>
                <w:rFonts w:ascii="Arial" w:hAnsi="Arial" w:cs="Arial"/>
                <w:bCs/>
                <w:color w:val="000000" w:themeColor="text1"/>
                <w:sz w:val="22"/>
                <w:szCs w:val="22"/>
              </w:rPr>
              <w:t>Data collection and checking: Data will be collected and checked applying data triangulation to guarantee rigor and claims in the corporate report will be cross-referenced with independent third party assessment to reduce the risk of corporate ‘green washing’ or impression management.</w:t>
            </w:r>
          </w:p>
          <w:p w14:paraId="0D0B33B9" w14:textId="14ACEA23" w:rsidR="00CD54AD" w:rsidRPr="003C7DED" w:rsidRDefault="00A12581" w:rsidP="00A12581">
            <w:pPr>
              <w:numPr>
                <w:ilvl w:val="0"/>
                <w:numId w:val="9"/>
              </w:numPr>
              <w:rPr>
                <w:rFonts w:ascii="Arial" w:hAnsi="Arial" w:cs="Arial"/>
                <w:sz w:val="22"/>
                <w:szCs w:val="22"/>
              </w:rPr>
            </w:pPr>
            <w:r w:rsidRPr="00A12581">
              <w:rPr>
                <w:rFonts w:ascii="Arial" w:hAnsi="Arial" w:cs="Arial"/>
                <w:bCs/>
                <w:color w:val="000000" w:themeColor="text1"/>
                <w:sz w:val="22"/>
                <w:szCs w:val="22"/>
              </w:rPr>
              <w:t>Quality assurance procedures: The audit trail of the data collection and coding process will ensure the trustworthiness of the data, as described in the proposal's methodology. Analytical bias will be addressed using reflexive journaling. Substantive CSR and symbolic CSR will be clearly distinguished following the structured framework of verifiability, measurability and accountability followed by the data inclusion criteria</w:t>
            </w:r>
            <w:r w:rsidRPr="00A12581">
              <w:rPr>
                <w:rFonts w:ascii="Arial" w:hAnsi="Arial" w:cs="Arial"/>
                <w:bCs/>
                <w:color w:val="4EA72E" w:themeColor="accent6"/>
                <w:sz w:val="22"/>
                <w:szCs w:val="22"/>
              </w:rPr>
              <w:t xml:space="preserve">. </w:t>
            </w:r>
          </w:p>
        </w:tc>
      </w:tr>
      <w:tr w:rsidR="001F7B84" w:rsidRPr="003C7DED" w14:paraId="54821B22" w14:textId="77777777" w:rsidTr="00CC5AE6">
        <w:trPr>
          <w:gridAfter w:val="1"/>
          <w:wAfter w:w="236" w:type="dxa"/>
          <w:trHeight w:val="536"/>
        </w:trPr>
        <w:tc>
          <w:tcPr>
            <w:tcW w:w="561"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789"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CC5AE6">
        <w:trPr>
          <w:gridAfter w:val="1"/>
          <w:wAfter w:w="236" w:type="dxa"/>
          <w:trHeight w:val="1065"/>
        </w:trPr>
        <w:tc>
          <w:tcPr>
            <w:tcW w:w="10350" w:type="dxa"/>
            <w:gridSpan w:val="2"/>
            <w:vAlign w:val="center"/>
          </w:tcPr>
          <w:p w14:paraId="6FA6A48C" w14:textId="17796F97" w:rsidR="00CD54AD" w:rsidRDefault="00DF7475" w:rsidP="00D0088C">
            <w:pPr>
              <w:pStyle w:val="ListParagraph"/>
              <w:rPr>
                <w:rFonts w:ascii="Arial" w:hAnsi="Arial" w:cs="Arial"/>
                <w:bCs/>
                <w:color w:val="000000" w:themeColor="text1"/>
                <w:sz w:val="22"/>
                <w:szCs w:val="22"/>
              </w:rPr>
            </w:pPr>
            <w:r w:rsidRPr="00D0088C">
              <w:rPr>
                <w:rFonts w:ascii="Arial" w:hAnsi="Arial" w:cs="Arial"/>
                <w:bCs/>
                <w:color w:val="000000" w:themeColor="text1"/>
                <w:sz w:val="22"/>
                <w:szCs w:val="22"/>
              </w:rPr>
              <w:t>Data will be stored on university one drive</w:t>
            </w:r>
          </w:p>
          <w:p w14:paraId="16FEF6F9" w14:textId="77777777" w:rsidR="00A12581" w:rsidRDefault="00A12581" w:rsidP="00D0088C">
            <w:pPr>
              <w:pStyle w:val="ListParagraph"/>
              <w:rPr>
                <w:rFonts w:ascii="Arial" w:hAnsi="Arial" w:cs="Arial"/>
                <w:b/>
                <w:bCs/>
                <w:color w:val="000000" w:themeColor="text1"/>
                <w:sz w:val="22"/>
                <w:szCs w:val="22"/>
              </w:rPr>
            </w:pPr>
          </w:p>
          <w:p w14:paraId="3E4FCBD7" w14:textId="0B2F132F" w:rsidR="00A12581" w:rsidRPr="00A12581" w:rsidRDefault="00A12581" w:rsidP="00D0088C">
            <w:pPr>
              <w:pStyle w:val="ListParagraph"/>
              <w:rPr>
                <w:rFonts w:ascii="Arial" w:hAnsi="Arial" w:cs="Arial"/>
                <w:color w:val="000000" w:themeColor="text1"/>
                <w:sz w:val="22"/>
                <w:szCs w:val="22"/>
              </w:rPr>
            </w:pPr>
            <w:r w:rsidRPr="00A12581">
              <w:rPr>
                <w:rFonts w:ascii="Arial" w:hAnsi="Arial" w:cs="Arial"/>
                <w:color w:val="000000" w:themeColor="text1"/>
                <w:sz w:val="22"/>
                <w:szCs w:val="22"/>
              </w:rPr>
              <w:t>Phase storage - All documents, coding frameworks and analytical matrices downloaded from the file will be securely stored in the University-provided OneDrive account. This means that the information is not only encrypted, but also automatically backed up to the cloud and secure against local hardware failures or data loss.</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CC5AE6">
        <w:trPr>
          <w:gridAfter w:val="1"/>
          <w:wAfter w:w="236" w:type="dxa"/>
          <w:trHeight w:val="474"/>
        </w:trPr>
        <w:tc>
          <w:tcPr>
            <w:tcW w:w="561"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789"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CC5AE6">
        <w:trPr>
          <w:gridAfter w:val="1"/>
          <w:wAfter w:w="236" w:type="dxa"/>
          <w:trHeight w:val="769"/>
        </w:trPr>
        <w:tc>
          <w:tcPr>
            <w:tcW w:w="10350" w:type="dxa"/>
            <w:gridSpan w:val="2"/>
            <w:vAlign w:val="center"/>
          </w:tcPr>
          <w:p w14:paraId="1DABC106" w14:textId="75C47A91" w:rsidR="00CD54AD" w:rsidRPr="003C7DED" w:rsidRDefault="00DF7475" w:rsidP="00D0088C">
            <w:pPr>
              <w:pStyle w:val="ListParagraph"/>
              <w:rPr>
                <w:rFonts w:ascii="Arial" w:hAnsi="Arial" w:cs="Arial"/>
                <w:bCs/>
                <w:color w:val="4EA72E" w:themeColor="accent6"/>
                <w:sz w:val="22"/>
                <w:szCs w:val="22"/>
              </w:rPr>
            </w:pPr>
            <w:r w:rsidRPr="00D0088C">
              <w:rPr>
                <w:rFonts w:ascii="Arial" w:hAnsi="Arial" w:cs="Arial"/>
                <w:bCs/>
                <w:color w:val="000000" w:themeColor="text1"/>
                <w:sz w:val="22"/>
                <w:szCs w:val="22"/>
              </w:rPr>
              <w:t xml:space="preserve">Data will not </w:t>
            </w:r>
            <w:r w:rsidR="004B1736" w:rsidRPr="00D0088C">
              <w:rPr>
                <w:rFonts w:ascii="Arial" w:hAnsi="Arial" w:cs="Arial"/>
                <w:bCs/>
                <w:color w:val="000000" w:themeColor="text1"/>
                <w:sz w:val="22"/>
                <w:szCs w:val="22"/>
              </w:rPr>
              <w:t>keep</w:t>
            </w:r>
            <w:r w:rsidRPr="00D0088C">
              <w:rPr>
                <w:rFonts w:ascii="Arial" w:hAnsi="Arial" w:cs="Arial"/>
                <w:bCs/>
                <w:color w:val="000000" w:themeColor="text1"/>
                <w:sz w:val="22"/>
                <w:szCs w:val="22"/>
              </w:rPr>
              <w:t xml:space="preserve"> for long time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CC5AE6">
        <w:trPr>
          <w:gridAfter w:val="1"/>
          <w:wAfter w:w="236" w:type="dxa"/>
          <w:trHeight w:val="503"/>
        </w:trPr>
        <w:tc>
          <w:tcPr>
            <w:tcW w:w="561"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789"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CC5AE6">
        <w:trPr>
          <w:gridAfter w:val="1"/>
          <w:wAfter w:w="236" w:type="dxa"/>
          <w:trHeight w:val="983"/>
        </w:trPr>
        <w:tc>
          <w:tcPr>
            <w:tcW w:w="10350" w:type="dxa"/>
            <w:gridSpan w:val="2"/>
            <w:vAlign w:val="center"/>
          </w:tcPr>
          <w:p w14:paraId="583944E0" w14:textId="6CB422C4" w:rsidR="00CD54AD" w:rsidRPr="00D0088C" w:rsidRDefault="00DF7475" w:rsidP="00864354">
            <w:pPr>
              <w:pStyle w:val="ListParagraph"/>
              <w:numPr>
                <w:ilvl w:val="0"/>
                <w:numId w:val="10"/>
              </w:numPr>
              <w:rPr>
                <w:rFonts w:ascii="Arial" w:hAnsi="Arial" w:cs="Arial"/>
                <w:bCs/>
                <w:color w:val="000000" w:themeColor="text1"/>
                <w:sz w:val="22"/>
                <w:szCs w:val="22"/>
              </w:rPr>
            </w:pPr>
            <w:r w:rsidRPr="00D0088C">
              <w:rPr>
                <w:rFonts w:ascii="Arial" w:hAnsi="Arial" w:cs="Arial"/>
                <w:bCs/>
                <w:color w:val="000000" w:themeColor="text1"/>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CC5AE6">
        <w:trPr>
          <w:gridAfter w:val="1"/>
          <w:wAfter w:w="236" w:type="dxa"/>
          <w:trHeight w:val="552"/>
        </w:trPr>
        <w:tc>
          <w:tcPr>
            <w:tcW w:w="561"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789"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CC5AE6">
        <w:trPr>
          <w:gridAfter w:val="1"/>
          <w:wAfter w:w="236" w:type="dxa"/>
          <w:trHeight w:val="1172"/>
        </w:trPr>
        <w:tc>
          <w:tcPr>
            <w:tcW w:w="10350" w:type="dxa"/>
            <w:gridSpan w:val="2"/>
            <w:vAlign w:val="center"/>
          </w:tcPr>
          <w:p w14:paraId="4E60E314" w14:textId="7D587C59" w:rsidR="00CD54AD" w:rsidRPr="003C7DED" w:rsidRDefault="00DF7475" w:rsidP="001640AB">
            <w:pPr>
              <w:pStyle w:val="ListParagraph"/>
              <w:numPr>
                <w:ilvl w:val="0"/>
                <w:numId w:val="11"/>
              </w:numPr>
              <w:rPr>
                <w:rFonts w:ascii="Arial" w:hAnsi="Arial" w:cs="Arial"/>
                <w:bCs/>
                <w:sz w:val="22"/>
                <w:szCs w:val="22"/>
              </w:rPr>
            </w:pPr>
            <w:r w:rsidRPr="00D0088C">
              <w:rPr>
                <w:rFonts w:ascii="Arial" w:hAnsi="Arial" w:cs="Arial"/>
                <w:bCs/>
                <w:color w:val="000000" w:themeColor="text1"/>
                <w:sz w:val="22"/>
                <w:szCs w:val="22"/>
              </w:rPr>
              <w:t>Data will be shared with my supervisor:</w:t>
            </w:r>
            <w:r w:rsidR="00D0088C" w:rsidRPr="00D0088C">
              <w:rPr>
                <w:rFonts w:ascii="Arial" w:hAnsi="Arial" w:cs="Arial"/>
                <w:color w:val="000000" w:themeColor="text1"/>
                <w:sz w:val="22"/>
                <w:szCs w:val="22"/>
              </w:rPr>
              <w:t xml:space="preserve"> Ejike Udeogu</w:t>
            </w:r>
            <w:r w:rsidRPr="00D0088C">
              <w:rPr>
                <w:rFonts w:ascii="Arial" w:hAnsi="Arial" w:cs="Arial"/>
                <w:bCs/>
                <w:color w:val="000000" w:themeColor="text1"/>
                <w:sz w:val="22"/>
                <w:szCs w:val="22"/>
              </w:rPr>
              <w:t xml:space="preserve"> and programme manager: </w:t>
            </w:r>
            <w:r w:rsidR="00D0088C">
              <w:rPr>
                <w:rFonts w:ascii="Arial" w:hAnsi="Arial" w:cs="Arial"/>
                <w:bCs/>
                <w:color w:val="000000" w:themeColor="text1"/>
                <w:sz w:val="22"/>
                <w:szCs w:val="22"/>
              </w:rPr>
              <w:t>Vasilios Tavlaridis</w:t>
            </w:r>
            <w:r w:rsidR="00A12581">
              <w:rPr>
                <w:rFonts w:ascii="Arial" w:hAnsi="Arial" w:cs="Arial"/>
                <w:bCs/>
                <w:color w:val="000000" w:themeColor="text1"/>
                <w:sz w:val="22"/>
                <w:szCs w:val="22"/>
              </w:rPr>
              <w:t xml:space="preserve"> </w:t>
            </w:r>
            <w:r w:rsidR="00A12581" w:rsidRPr="00A12581">
              <w:rPr>
                <w:rFonts w:ascii="Arial" w:hAnsi="Arial" w:cs="Arial"/>
                <w:bCs/>
                <w:color w:val="000000" w:themeColor="text1"/>
                <w:sz w:val="22"/>
                <w:szCs w:val="22"/>
              </w:rPr>
              <w:t>will have access to the raw and synthesized data during the research process for feedback and grading. The final synthesized findings should be made public through the submitted dissertation as well as through any publications that are created after that.</w:t>
            </w:r>
          </w:p>
        </w:tc>
      </w:tr>
      <w:tr w:rsidR="001F7B84" w:rsidRPr="003C7DED" w14:paraId="67A33176" w14:textId="77777777" w:rsidTr="00CC5AE6">
        <w:trPr>
          <w:gridAfter w:val="1"/>
          <w:wAfter w:w="236" w:type="dxa"/>
          <w:trHeight w:val="680"/>
        </w:trPr>
        <w:tc>
          <w:tcPr>
            <w:tcW w:w="561"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789"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CC5AE6">
        <w:trPr>
          <w:gridAfter w:val="1"/>
          <w:wAfter w:w="236" w:type="dxa"/>
          <w:trHeight w:val="769"/>
        </w:trPr>
        <w:tc>
          <w:tcPr>
            <w:tcW w:w="10350" w:type="dxa"/>
            <w:gridSpan w:val="2"/>
            <w:vAlign w:val="center"/>
          </w:tcPr>
          <w:p w14:paraId="4F314711" w14:textId="09E07962" w:rsidR="00CD54AD" w:rsidRPr="00D0088C" w:rsidRDefault="00DF7475" w:rsidP="00864354">
            <w:pPr>
              <w:pStyle w:val="ListParagraph"/>
              <w:numPr>
                <w:ilvl w:val="0"/>
                <w:numId w:val="12"/>
              </w:numPr>
              <w:rPr>
                <w:rFonts w:ascii="Arial" w:hAnsi="Arial" w:cs="Arial"/>
                <w:bCs/>
                <w:color w:val="000000" w:themeColor="text1"/>
                <w:sz w:val="22"/>
                <w:szCs w:val="22"/>
              </w:rPr>
            </w:pPr>
            <w:r w:rsidRPr="00D0088C">
              <w:rPr>
                <w:rFonts w:ascii="Arial" w:hAnsi="Arial" w:cs="Arial"/>
                <w:bCs/>
                <w:color w:val="000000" w:themeColor="text1"/>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CC5AE6">
        <w:trPr>
          <w:gridAfter w:val="1"/>
          <w:wAfter w:w="236" w:type="dxa"/>
          <w:trHeight w:val="546"/>
        </w:trPr>
        <w:tc>
          <w:tcPr>
            <w:tcW w:w="561"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789"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CC5AE6">
        <w:trPr>
          <w:gridAfter w:val="1"/>
          <w:wAfter w:w="236" w:type="dxa"/>
          <w:trHeight w:val="1280"/>
        </w:trPr>
        <w:tc>
          <w:tcPr>
            <w:tcW w:w="10350" w:type="dxa"/>
            <w:gridSpan w:val="2"/>
            <w:vAlign w:val="center"/>
          </w:tcPr>
          <w:p w14:paraId="302544FE" w14:textId="4B9AB185" w:rsidR="00CD54AD" w:rsidRPr="00D0088C" w:rsidRDefault="00DF7475" w:rsidP="00864354">
            <w:pPr>
              <w:pStyle w:val="ListParagraph"/>
              <w:numPr>
                <w:ilvl w:val="0"/>
                <w:numId w:val="12"/>
              </w:numPr>
              <w:rPr>
                <w:rFonts w:ascii="Arial" w:hAnsi="Arial" w:cs="Arial"/>
                <w:color w:val="000000" w:themeColor="text1"/>
                <w:sz w:val="22"/>
                <w:szCs w:val="22"/>
              </w:rPr>
            </w:pPr>
            <w:r w:rsidRPr="00D0088C">
              <w:rPr>
                <w:rFonts w:ascii="Arial" w:hAnsi="Arial" w:cs="Arial"/>
                <w:color w:val="000000" w:themeColor="text1"/>
                <w:sz w:val="22"/>
                <w:szCs w:val="22"/>
              </w:rPr>
              <w:t>N/</w:t>
            </w:r>
            <w:r w:rsidR="004B1736" w:rsidRPr="00D0088C">
              <w:rPr>
                <w:rFonts w:ascii="Arial" w:hAnsi="Arial" w:cs="Arial"/>
                <w:color w:val="000000" w:themeColor="text1"/>
                <w:sz w:val="22"/>
                <w:szCs w:val="22"/>
              </w:rPr>
              <w:t>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08F0C4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08CBFB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lastRenderedPageBreak/>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E91E66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9D5DE4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37BC5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39BEB0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w:t>
            </w:r>
            <w:r w:rsidRPr="003C7DED">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AD6DCF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0DE3A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F747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F729B8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1C3A4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21BC2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5BCDD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7516B75"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30C932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624C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B0DD546" w:rsidR="00CD54AD" w:rsidRPr="003C7DED" w:rsidRDefault="003624C1" w:rsidP="004135AB">
            <w:pPr>
              <w:pStyle w:val="NoSpacing"/>
              <w:rPr>
                <w:rFonts w:ascii="Arial" w:hAnsi="Arial" w:cs="Arial"/>
                <w:sz w:val="22"/>
                <w:szCs w:val="22"/>
              </w:rPr>
            </w:pPr>
            <w:r>
              <w:rPr>
                <w:rFonts w:ascii="Arial" w:hAnsi="Arial" w:cs="Arial"/>
                <w:sz w:val="22"/>
                <w:szCs w:val="22"/>
              </w:rPr>
              <w:t xml:space="preserve">Tarikul Islam Tarek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312D70A" w:rsidR="00CD54AD" w:rsidRPr="003C7DED" w:rsidRDefault="003624C1" w:rsidP="004135AB">
            <w:pPr>
              <w:pStyle w:val="NoSpacing"/>
              <w:rPr>
                <w:rFonts w:ascii="Arial" w:hAnsi="Arial" w:cs="Arial"/>
                <w:b/>
                <w:bCs/>
                <w:sz w:val="22"/>
                <w:szCs w:val="22"/>
              </w:rPr>
            </w:pPr>
            <w:r>
              <w:rPr>
                <w:rFonts w:ascii="Arial" w:hAnsi="Arial" w:cs="Arial"/>
                <w:b/>
                <w:bCs/>
                <w:sz w:val="22"/>
                <w:szCs w:val="22"/>
              </w:rPr>
              <w:t>Tarek</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A62347D" w:rsidR="00CD54AD" w:rsidRPr="003C7DED" w:rsidRDefault="00D0088C" w:rsidP="004135AB">
            <w:pPr>
              <w:pStyle w:val="NoSpacing"/>
              <w:rPr>
                <w:rFonts w:ascii="Arial" w:hAnsi="Arial" w:cs="Arial"/>
                <w:b/>
                <w:bCs/>
                <w:sz w:val="22"/>
                <w:szCs w:val="22"/>
              </w:rPr>
            </w:pPr>
            <w:r>
              <w:rPr>
                <w:rFonts w:ascii="Arial" w:hAnsi="Arial" w:cs="Arial"/>
                <w:b/>
                <w:bCs/>
                <w:sz w:val="22"/>
                <w:szCs w:val="22"/>
              </w:rPr>
              <w:t>11</w:t>
            </w:r>
            <w:r w:rsidR="003624C1">
              <w:rPr>
                <w:rFonts w:ascii="Arial" w:hAnsi="Arial" w:cs="Arial"/>
                <w:b/>
                <w:bCs/>
                <w:sz w:val="22"/>
                <w:szCs w:val="22"/>
              </w:rPr>
              <w:t>/06/2026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4844E3E" w:rsidR="007F0207" w:rsidRPr="003C7DED" w:rsidRDefault="00D0088C" w:rsidP="007F0207">
            <w:pPr>
              <w:pStyle w:val="NoSpacing"/>
              <w:rPr>
                <w:rFonts w:ascii="Arial" w:hAnsi="Arial" w:cs="Arial"/>
                <w:b/>
                <w:bCs/>
                <w:sz w:val="22"/>
                <w:szCs w:val="22"/>
              </w:rPr>
            </w:pPr>
            <w:r>
              <w:rPr>
                <w:rFonts w:ascii="Arial" w:hAnsi="Arial" w:cs="Arial"/>
                <w:sz w:val="22"/>
                <w:szCs w:val="22"/>
              </w:rPr>
              <w:t>Ejike Udeogu</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43A92E2" w:rsidR="00237489" w:rsidRPr="003C7DED" w:rsidRDefault="00D0088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8A12625" w:rsidR="00237489" w:rsidRPr="003C7DED" w:rsidRDefault="00D0088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50006D7" w:rsidR="00237489" w:rsidRPr="003C7DED" w:rsidRDefault="00D0088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29DC5B9" w:rsidR="00237489" w:rsidRPr="003C7DED" w:rsidRDefault="00D0088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4FF3E" w14:textId="77777777" w:rsidR="002530F0" w:rsidRDefault="002530F0" w:rsidP="00E12CE5">
      <w:r>
        <w:separator/>
      </w:r>
    </w:p>
  </w:endnote>
  <w:endnote w:type="continuationSeparator" w:id="0">
    <w:p w14:paraId="0CCB65BD" w14:textId="77777777" w:rsidR="002530F0" w:rsidRDefault="002530F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46A04" w14:textId="77777777" w:rsidR="002530F0" w:rsidRDefault="002530F0" w:rsidP="00E12CE5">
      <w:r>
        <w:separator/>
      </w:r>
    </w:p>
  </w:footnote>
  <w:footnote w:type="continuationSeparator" w:id="0">
    <w:p w14:paraId="5F912393" w14:textId="77777777" w:rsidR="002530F0" w:rsidRDefault="002530F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37118"/>
    <w:multiLevelType w:val="hybridMultilevel"/>
    <w:tmpl w:val="EE028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627A4"/>
    <w:multiLevelType w:val="hybridMultilevel"/>
    <w:tmpl w:val="B784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89192E"/>
    <w:multiLevelType w:val="hybridMultilevel"/>
    <w:tmpl w:val="772A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FC4292"/>
    <w:multiLevelType w:val="hybridMultilevel"/>
    <w:tmpl w:val="527E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086CA1"/>
    <w:multiLevelType w:val="hybridMultilevel"/>
    <w:tmpl w:val="571C356C"/>
    <w:lvl w:ilvl="0" w:tplc="08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4"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7"/>
  </w:num>
  <w:num w:numId="2" w16cid:durableId="1803111271">
    <w:abstractNumId w:val="27"/>
  </w:num>
  <w:num w:numId="3" w16cid:durableId="1433432699">
    <w:abstractNumId w:val="6"/>
  </w:num>
  <w:num w:numId="4" w16cid:durableId="401568497">
    <w:abstractNumId w:val="16"/>
  </w:num>
  <w:num w:numId="5" w16cid:durableId="766847571">
    <w:abstractNumId w:val="25"/>
  </w:num>
  <w:num w:numId="6" w16cid:durableId="373045099">
    <w:abstractNumId w:val="18"/>
  </w:num>
  <w:num w:numId="7" w16cid:durableId="1633293279">
    <w:abstractNumId w:val="2"/>
  </w:num>
  <w:num w:numId="8" w16cid:durableId="341976480">
    <w:abstractNumId w:val="10"/>
  </w:num>
  <w:num w:numId="9" w16cid:durableId="1639147443">
    <w:abstractNumId w:val="1"/>
  </w:num>
  <w:num w:numId="10" w16cid:durableId="478347702">
    <w:abstractNumId w:val="19"/>
  </w:num>
  <w:num w:numId="11" w16cid:durableId="1092507101">
    <w:abstractNumId w:val="13"/>
  </w:num>
  <w:num w:numId="12" w16cid:durableId="1634867012">
    <w:abstractNumId w:val="11"/>
  </w:num>
  <w:num w:numId="13" w16cid:durableId="211886364">
    <w:abstractNumId w:val="22"/>
  </w:num>
  <w:num w:numId="14" w16cid:durableId="400373362">
    <w:abstractNumId w:val="28"/>
  </w:num>
  <w:num w:numId="15" w16cid:durableId="405424760">
    <w:abstractNumId w:val="20"/>
  </w:num>
  <w:num w:numId="16" w16cid:durableId="1295477818">
    <w:abstractNumId w:val="21"/>
  </w:num>
  <w:num w:numId="17" w16cid:durableId="117528784">
    <w:abstractNumId w:val="3"/>
  </w:num>
  <w:num w:numId="18" w16cid:durableId="632056397">
    <w:abstractNumId w:val="14"/>
  </w:num>
  <w:num w:numId="19" w16cid:durableId="496456405">
    <w:abstractNumId w:val="0"/>
  </w:num>
  <w:num w:numId="20" w16cid:durableId="332225287">
    <w:abstractNumId w:val="9"/>
  </w:num>
  <w:num w:numId="21" w16cid:durableId="2066251191">
    <w:abstractNumId w:val="26"/>
  </w:num>
  <w:num w:numId="22" w16cid:durableId="366488901">
    <w:abstractNumId w:val="24"/>
  </w:num>
  <w:num w:numId="23" w16cid:durableId="2130974721">
    <w:abstractNumId w:val="4"/>
  </w:num>
  <w:num w:numId="24" w16cid:durableId="1330137503">
    <w:abstractNumId w:val="5"/>
  </w:num>
  <w:num w:numId="25" w16cid:durableId="1736312680">
    <w:abstractNumId w:val="15"/>
  </w:num>
  <w:num w:numId="26" w16cid:durableId="556935507">
    <w:abstractNumId w:val="8"/>
  </w:num>
  <w:num w:numId="27" w16cid:durableId="1448088758">
    <w:abstractNumId w:val="12"/>
  </w:num>
  <w:num w:numId="28" w16cid:durableId="603155807">
    <w:abstractNumId w:val="7"/>
  </w:num>
  <w:num w:numId="29" w16cid:durableId="9066445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15A3"/>
    <w:rsid w:val="000D4B03"/>
    <w:rsid w:val="0011250F"/>
    <w:rsid w:val="00132F6E"/>
    <w:rsid w:val="00155B27"/>
    <w:rsid w:val="001640AB"/>
    <w:rsid w:val="0018385C"/>
    <w:rsid w:val="001901D4"/>
    <w:rsid w:val="001B256C"/>
    <w:rsid w:val="001D79E4"/>
    <w:rsid w:val="001F4B7F"/>
    <w:rsid w:val="001F7B84"/>
    <w:rsid w:val="00220E9B"/>
    <w:rsid w:val="00231E9D"/>
    <w:rsid w:val="00237489"/>
    <w:rsid w:val="0023753B"/>
    <w:rsid w:val="002530F0"/>
    <w:rsid w:val="00257A43"/>
    <w:rsid w:val="0026090E"/>
    <w:rsid w:val="00276276"/>
    <w:rsid w:val="00285476"/>
    <w:rsid w:val="002854C0"/>
    <w:rsid w:val="00286853"/>
    <w:rsid w:val="002B36F0"/>
    <w:rsid w:val="002D2DC1"/>
    <w:rsid w:val="002D6AAF"/>
    <w:rsid w:val="002E5348"/>
    <w:rsid w:val="002E77B7"/>
    <w:rsid w:val="003014CE"/>
    <w:rsid w:val="00301D05"/>
    <w:rsid w:val="00303FD8"/>
    <w:rsid w:val="00311B4D"/>
    <w:rsid w:val="00316ADF"/>
    <w:rsid w:val="00320C06"/>
    <w:rsid w:val="00323056"/>
    <w:rsid w:val="00346811"/>
    <w:rsid w:val="00346AB3"/>
    <w:rsid w:val="003624C1"/>
    <w:rsid w:val="00383018"/>
    <w:rsid w:val="00386B11"/>
    <w:rsid w:val="00387A54"/>
    <w:rsid w:val="00391075"/>
    <w:rsid w:val="00395AF2"/>
    <w:rsid w:val="003A3C4A"/>
    <w:rsid w:val="003A63AA"/>
    <w:rsid w:val="003B181B"/>
    <w:rsid w:val="003C178B"/>
    <w:rsid w:val="003C7DED"/>
    <w:rsid w:val="003D0ABC"/>
    <w:rsid w:val="003D3A20"/>
    <w:rsid w:val="003F1A54"/>
    <w:rsid w:val="00401CCA"/>
    <w:rsid w:val="00410490"/>
    <w:rsid w:val="00413420"/>
    <w:rsid w:val="00417CBF"/>
    <w:rsid w:val="00423774"/>
    <w:rsid w:val="00431772"/>
    <w:rsid w:val="00435D0D"/>
    <w:rsid w:val="004361F9"/>
    <w:rsid w:val="00442F51"/>
    <w:rsid w:val="004558B1"/>
    <w:rsid w:val="0046139E"/>
    <w:rsid w:val="00461429"/>
    <w:rsid w:val="004927BA"/>
    <w:rsid w:val="004A10DC"/>
    <w:rsid w:val="004B1736"/>
    <w:rsid w:val="004C456C"/>
    <w:rsid w:val="004F06DA"/>
    <w:rsid w:val="00502B12"/>
    <w:rsid w:val="00502DDC"/>
    <w:rsid w:val="00503433"/>
    <w:rsid w:val="00510FFC"/>
    <w:rsid w:val="005160B7"/>
    <w:rsid w:val="005477AF"/>
    <w:rsid w:val="00551218"/>
    <w:rsid w:val="00551CE5"/>
    <w:rsid w:val="00557E49"/>
    <w:rsid w:val="005907A9"/>
    <w:rsid w:val="005B20B8"/>
    <w:rsid w:val="005B3301"/>
    <w:rsid w:val="005C690A"/>
    <w:rsid w:val="005D3F15"/>
    <w:rsid w:val="005D6DB1"/>
    <w:rsid w:val="006108E3"/>
    <w:rsid w:val="006151A9"/>
    <w:rsid w:val="00620132"/>
    <w:rsid w:val="00627EC2"/>
    <w:rsid w:val="00630E2A"/>
    <w:rsid w:val="0064650F"/>
    <w:rsid w:val="00647C75"/>
    <w:rsid w:val="006525E2"/>
    <w:rsid w:val="00652AA9"/>
    <w:rsid w:val="00676909"/>
    <w:rsid w:val="006836B4"/>
    <w:rsid w:val="00695179"/>
    <w:rsid w:val="00697855"/>
    <w:rsid w:val="0069797A"/>
    <w:rsid w:val="006B2FD0"/>
    <w:rsid w:val="006C7408"/>
    <w:rsid w:val="006D0ED9"/>
    <w:rsid w:val="006E5532"/>
    <w:rsid w:val="006E7E24"/>
    <w:rsid w:val="006F166F"/>
    <w:rsid w:val="006F2A65"/>
    <w:rsid w:val="00702469"/>
    <w:rsid w:val="007025FA"/>
    <w:rsid w:val="00732D26"/>
    <w:rsid w:val="00735E7B"/>
    <w:rsid w:val="00737DAA"/>
    <w:rsid w:val="00743C77"/>
    <w:rsid w:val="00762A75"/>
    <w:rsid w:val="0076620A"/>
    <w:rsid w:val="00766C51"/>
    <w:rsid w:val="00776754"/>
    <w:rsid w:val="00776CA0"/>
    <w:rsid w:val="00781850"/>
    <w:rsid w:val="00786508"/>
    <w:rsid w:val="00786696"/>
    <w:rsid w:val="00787AEA"/>
    <w:rsid w:val="00787B6E"/>
    <w:rsid w:val="007A0D31"/>
    <w:rsid w:val="007A7191"/>
    <w:rsid w:val="007C2961"/>
    <w:rsid w:val="007C3C51"/>
    <w:rsid w:val="007D2929"/>
    <w:rsid w:val="007D5980"/>
    <w:rsid w:val="007F0207"/>
    <w:rsid w:val="0082336B"/>
    <w:rsid w:val="00831E4C"/>
    <w:rsid w:val="00841382"/>
    <w:rsid w:val="00844FE1"/>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9F0598"/>
    <w:rsid w:val="00A010DD"/>
    <w:rsid w:val="00A12581"/>
    <w:rsid w:val="00A12FB0"/>
    <w:rsid w:val="00A225BC"/>
    <w:rsid w:val="00A3228E"/>
    <w:rsid w:val="00A35E44"/>
    <w:rsid w:val="00A45BB9"/>
    <w:rsid w:val="00A52513"/>
    <w:rsid w:val="00A54125"/>
    <w:rsid w:val="00A56AD8"/>
    <w:rsid w:val="00A57055"/>
    <w:rsid w:val="00A70A75"/>
    <w:rsid w:val="00A70E38"/>
    <w:rsid w:val="00A718A3"/>
    <w:rsid w:val="00A73BCD"/>
    <w:rsid w:val="00A75883"/>
    <w:rsid w:val="00A80868"/>
    <w:rsid w:val="00A91940"/>
    <w:rsid w:val="00AA4E90"/>
    <w:rsid w:val="00AB2FEE"/>
    <w:rsid w:val="00AC5E12"/>
    <w:rsid w:val="00AD3877"/>
    <w:rsid w:val="00AE6E5A"/>
    <w:rsid w:val="00B15BB4"/>
    <w:rsid w:val="00B20EC5"/>
    <w:rsid w:val="00B2789A"/>
    <w:rsid w:val="00B36605"/>
    <w:rsid w:val="00B45BCD"/>
    <w:rsid w:val="00B60A98"/>
    <w:rsid w:val="00B61D6F"/>
    <w:rsid w:val="00B63D8E"/>
    <w:rsid w:val="00BA3725"/>
    <w:rsid w:val="00BB0505"/>
    <w:rsid w:val="00BB2615"/>
    <w:rsid w:val="00BC7FA9"/>
    <w:rsid w:val="00BD363F"/>
    <w:rsid w:val="00C13F75"/>
    <w:rsid w:val="00C159B7"/>
    <w:rsid w:val="00C22B1F"/>
    <w:rsid w:val="00C45355"/>
    <w:rsid w:val="00C67EE8"/>
    <w:rsid w:val="00C70845"/>
    <w:rsid w:val="00C74D6C"/>
    <w:rsid w:val="00C803DB"/>
    <w:rsid w:val="00C81BCB"/>
    <w:rsid w:val="00CA2AE1"/>
    <w:rsid w:val="00CA7C6A"/>
    <w:rsid w:val="00CB3C3E"/>
    <w:rsid w:val="00CB7212"/>
    <w:rsid w:val="00CB7B54"/>
    <w:rsid w:val="00CC4B1D"/>
    <w:rsid w:val="00CC5AE6"/>
    <w:rsid w:val="00CC617C"/>
    <w:rsid w:val="00CD54AD"/>
    <w:rsid w:val="00CE73C2"/>
    <w:rsid w:val="00CF1DA8"/>
    <w:rsid w:val="00CF5AAA"/>
    <w:rsid w:val="00D0088C"/>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DF7475"/>
    <w:rsid w:val="00E12CE5"/>
    <w:rsid w:val="00E17B52"/>
    <w:rsid w:val="00E35762"/>
    <w:rsid w:val="00E44410"/>
    <w:rsid w:val="00E44CFB"/>
    <w:rsid w:val="00E56F81"/>
    <w:rsid w:val="00E64D2C"/>
    <w:rsid w:val="00E771B1"/>
    <w:rsid w:val="00E818A7"/>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4E57"/>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34</Pages>
  <Words>11278</Words>
  <Characters>64287</Characters>
  <Application>Microsoft Office Word</Application>
  <DocSecurity>0</DocSecurity>
  <Lines>535</Lines>
  <Paragraphs>150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Tarikul Islam Tarek (2435183)</cp:lastModifiedBy>
  <cp:revision>5</cp:revision>
  <dcterms:created xsi:type="dcterms:W3CDTF">2026-06-11T02:03:00Z</dcterms:created>
  <dcterms:modified xsi:type="dcterms:W3CDTF">2026-06-11T02:11:00Z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