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E15AE8" w14:textId="52A0FAC4" w:rsidR="00443C6B" w:rsidRPr="00124FEC" w:rsidRDefault="00443C6B" w:rsidP="00124FEC">
      <w:pPr>
        <w:jc w:val="center"/>
        <w:rPr>
          <w:b/>
          <w:bCs/>
        </w:rPr>
      </w:pPr>
      <w:r w:rsidRPr="00124FEC">
        <w:rPr>
          <w:b/>
          <w:bCs/>
        </w:rPr>
        <w:t xml:space="preserve">Analysis of William of Poitiers Gesta </w:t>
      </w:r>
      <w:proofErr w:type="spellStart"/>
      <w:r w:rsidRPr="00124FEC">
        <w:rPr>
          <w:b/>
          <w:bCs/>
        </w:rPr>
        <w:t>Willelmi</w:t>
      </w:r>
      <w:proofErr w:type="spellEnd"/>
    </w:p>
    <w:p w14:paraId="7C643B94" w14:textId="77777777" w:rsidR="00443C6B" w:rsidRDefault="00443C6B"/>
    <w:p w14:paraId="5F50232F" w14:textId="4159ABE4" w:rsidR="00443C6B" w:rsidRDefault="00443C6B">
      <w:r>
        <w:t xml:space="preserve">William of Poitiers wrote the Gesta </w:t>
      </w:r>
      <w:proofErr w:type="spellStart"/>
      <w:r>
        <w:t>Willelmi</w:t>
      </w:r>
      <w:proofErr w:type="spellEnd"/>
      <w:r>
        <w:t xml:space="preserve"> </w:t>
      </w:r>
      <w:proofErr w:type="spellStart"/>
      <w:r>
        <w:t>ducis</w:t>
      </w:r>
      <w:proofErr w:type="spellEnd"/>
      <w:r>
        <w:t xml:space="preserve"> </w:t>
      </w:r>
      <w:proofErr w:type="spellStart"/>
      <w:r>
        <w:t>Normannorum</w:t>
      </w:r>
      <w:proofErr w:type="spellEnd"/>
      <w:r>
        <w:t xml:space="preserve"> et </w:t>
      </w:r>
      <w:proofErr w:type="spellStart"/>
      <w:r>
        <w:t>regis</w:t>
      </w:r>
      <w:proofErr w:type="spellEnd"/>
      <w:r>
        <w:t xml:space="preserve"> Anglorum in the </w:t>
      </w:r>
      <w:r w:rsidR="00124FEC">
        <w:t>1070s, probably between 1071 and 1077</w:t>
      </w:r>
      <w:r w:rsidR="007663EA">
        <w:rPr>
          <w:rStyle w:val="FootnoteReference"/>
        </w:rPr>
        <w:footnoteReference w:id="1"/>
      </w:r>
      <w:r w:rsidR="00124FEC">
        <w:t>,</w:t>
      </w:r>
      <w:r>
        <w:t xml:space="preserve"> following the Norman Conquest of England. His work presents an important narrative account of the events leading up to the conquest and subsequent reign of William the Conqueror. </w:t>
      </w:r>
      <w:r w:rsidR="00124FEC">
        <w:t>The</w:t>
      </w:r>
      <w:r>
        <w:t xml:space="preserve"> passage describing Harold Godwinson’s mission to Normandy and alleged oath sworn to William is particularly significant within the historical context. During this period, King William I’s hold on England was turbulent and rife with war and rebellion.</w:t>
      </w:r>
      <w:r w:rsidR="00D96A4F">
        <w:rPr>
          <w:rStyle w:val="FootnoteReference"/>
        </w:rPr>
        <w:footnoteReference w:id="2"/>
      </w:r>
      <w:r>
        <w:t xml:space="preserve"> William of Poitiers sought to create legitimacy </w:t>
      </w:r>
      <w:r w:rsidR="00124FEC">
        <w:t>for</w:t>
      </w:r>
      <w:r>
        <w:t xml:space="preserve"> King William’s claim to the English throne. However, </w:t>
      </w:r>
      <w:r w:rsidR="00124FEC" w:rsidRPr="00124FEC">
        <w:t>its clear allegiance to the Norman cause necessitates careful critical evaluation. It must therefore be treated cautiously, particularly given its alignment with Norman political interests.</w:t>
      </w:r>
    </w:p>
    <w:p w14:paraId="0CFBA967" w14:textId="687942B2" w:rsidR="00443C6B" w:rsidRPr="00124FEC" w:rsidRDefault="00443C6B">
      <w:pPr>
        <w:rPr>
          <w:highlight w:val="yellow"/>
        </w:rPr>
      </w:pPr>
      <w:r>
        <w:t xml:space="preserve">To understand the </w:t>
      </w:r>
      <w:r w:rsidR="00124FEC">
        <w:t>excerpt</w:t>
      </w:r>
      <w:r>
        <w:t xml:space="preserve"> from the Gesta, it is important to understand the historical context; King Edward the Confessor had spent much of his early life in exile</w:t>
      </w:r>
      <w:r w:rsidR="00591717">
        <w:t xml:space="preserve"> in Normandy while the Danish kings ruled England. Whilst there, he developed close relationships within Norman noble and ecclesiastical circles. When Edward became king in 1042, he brought several Normans into his court, which created additional tension with English noble families</w:t>
      </w:r>
      <w:r w:rsidR="00591717" w:rsidRPr="009C050D">
        <w:t>, particularly Earl Godwin of Wessex</w:t>
      </w:r>
      <w:r w:rsidR="00124FEC" w:rsidRPr="009C050D">
        <w:t>, father of Harold Godwinson</w:t>
      </w:r>
      <w:r w:rsidR="00591717" w:rsidRPr="009C050D">
        <w:t>.</w:t>
      </w:r>
      <w:r w:rsidR="00D96A4F" w:rsidRPr="009C050D">
        <w:rPr>
          <w:rStyle w:val="FootnoteReference"/>
        </w:rPr>
        <w:footnoteReference w:id="3"/>
      </w:r>
    </w:p>
    <w:p w14:paraId="47E87902" w14:textId="1694AD62" w:rsidR="00591717" w:rsidRDefault="00591717">
      <w:r>
        <w:t xml:space="preserve">Meanwhile, in Normandy, Duke William spent most of his reign as Duke consolidating his authority </w:t>
      </w:r>
      <w:r w:rsidR="00124FEC" w:rsidRPr="00124FEC">
        <w:t>after a period of rebellion and internal conflict following his ascension</w:t>
      </w:r>
      <w:r>
        <w:t>.</w:t>
      </w:r>
      <w:r w:rsidR="00E532FC">
        <w:rPr>
          <w:rStyle w:val="FootnoteReference"/>
        </w:rPr>
        <w:footnoteReference w:id="4"/>
      </w:r>
      <w:r>
        <w:t xml:space="preserve"> By the 1060s he ruled in comparative peace and had become one of the most powerful </w:t>
      </w:r>
      <w:r w:rsidR="00124FEC">
        <w:t>magnates</w:t>
      </w:r>
      <w:r>
        <w:t xml:space="preserve"> in</w:t>
      </w:r>
      <w:r w:rsidR="00124FEC">
        <w:t xml:space="preserve"> northern</w:t>
      </w:r>
      <w:r>
        <w:t xml:space="preserve"> Franc</w:t>
      </w:r>
      <w:r w:rsidR="00124FEC">
        <w:t>ia</w:t>
      </w:r>
      <w:r>
        <w:t xml:space="preserve">. </w:t>
      </w:r>
    </w:p>
    <w:p w14:paraId="703CF260" w14:textId="3DB95B62" w:rsidR="00591717" w:rsidRDefault="00A30097">
      <w:r>
        <w:t>One central Norman claim, emphasised by William of Poitiers in the passage</w:t>
      </w:r>
      <w:r w:rsidR="00124FEC">
        <w:t>,</w:t>
      </w:r>
      <w:r>
        <w:t xml:space="preserve"> was that William was declared the successor to the English crown following Edward the Confessor.</w:t>
      </w:r>
      <w:r w:rsidR="00E532FC">
        <w:rPr>
          <w:rStyle w:val="FootnoteReference"/>
        </w:rPr>
        <w:footnoteReference w:id="5"/>
      </w:r>
      <w:r>
        <w:t xml:space="preserve"> According to the Gesta, Edward had</w:t>
      </w:r>
      <w:r w:rsidR="00124FEC">
        <w:t xml:space="preserve"> allegedly</w:t>
      </w:r>
      <w:r>
        <w:t xml:space="preserve"> sent Harold </w:t>
      </w:r>
      <w:r w:rsidR="00124FEC">
        <w:t xml:space="preserve">Godwinson </w:t>
      </w:r>
      <w:r>
        <w:t>to Normandy to confirm the arrangement through an oath. This later formed legal justification to William’s invasion following Harold’s perceived usurpation.</w:t>
      </w:r>
    </w:p>
    <w:p w14:paraId="579D60C5" w14:textId="2BBFFC91" w:rsidR="00D77623" w:rsidRDefault="00124FEC">
      <w:r>
        <w:t>Another important figure within the extract is</w:t>
      </w:r>
      <w:r w:rsidR="00D77623">
        <w:t xml:space="preserve"> Count Guy I of Ponthieu. Ponthieu lay along the northern French coast between Normandy and Flanders. According to the narrative, Harold’s ship landed there during his journey to Duke William. Guy captures and imprisons Harold, which was a common practice, as Nobles could be ransomed for </w:t>
      </w:r>
      <w:r w:rsidR="00D77623">
        <w:lastRenderedPageBreak/>
        <w:t>a value determined by their status.</w:t>
      </w:r>
      <w:r w:rsidR="00E532FC">
        <w:rPr>
          <w:rStyle w:val="FootnoteReference"/>
        </w:rPr>
        <w:footnoteReference w:id="6"/>
      </w:r>
      <w:r w:rsidR="00D77623">
        <w:t xml:space="preserve"> William of Poitiers condemns this practice as barbaric and seeks to contrast Guy’s behaviour with Duke William</w:t>
      </w:r>
      <w:r>
        <w:t>’</w:t>
      </w:r>
      <w:r w:rsidR="00D77623">
        <w:t>s, which he describes as Honourable and accommodating</w:t>
      </w:r>
      <w:r>
        <w:t xml:space="preserve">. </w:t>
      </w:r>
    </w:p>
    <w:p w14:paraId="6F24084C" w14:textId="7ED14E27" w:rsidR="00130E82" w:rsidRDefault="00D77623">
      <w:r>
        <w:t xml:space="preserve">Duke William’s intervention highlights his position within the region and makes a point to add that this was </w:t>
      </w:r>
      <w:r w:rsidR="00124FEC">
        <w:t>“</w:t>
      </w:r>
      <w:r w:rsidR="00124FEC" w:rsidRPr="00124FEC">
        <w:t>without being persuaded to do so by the lure of gain or the constraint of force</w:t>
      </w:r>
      <w:r w:rsidR="00124FEC">
        <w:t>”</w:t>
      </w:r>
      <w:r w:rsidR="001E18C1">
        <w:rPr>
          <w:rStyle w:val="FootnoteReference"/>
        </w:rPr>
        <w:footnoteReference w:id="7"/>
      </w:r>
      <w:r>
        <w:t xml:space="preserve"> but through </w:t>
      </w:r>
      <w:r w:rsidR="00124FEC">
        <w:t>“</w:t>
      </w:r>
      <w:r w:rsidR="00124FEC" w:rsidRPr="00124FEC">
        <w:t>prayers and threats</w:t>
      </w:r>
      <w:r w:rsidR="00124FEC">
        <w:t>”</w:t>
      </w:r>
      <w:r>
        <w:t>.</w:t>
      </w:r>
      <w:r w:rsidR="00101838">
        <w:rPr>
          <w:rStyle w:val="FootnoteReference"/>
        </w:rPr>
        <w:footnoteReference w:id="8"/>
      </w:r>
      <w:r>
        <w:t xml:space="preserve"> This statement, with the imagery of sending an emissary</w:t>
      </w:r>
      <w:r w:rsidR="00124FEC">
        <w:t>, paired with “the gift of lands and money”</w:t>
      </w:r>
      <w:r w:rsidR="00101838">
        <w:rPr>
          <w:rStyle w:val="FootnoteReference"/>
        </w:rPr>
        <w:footnoteReference w:id="9"/>
      </w:r>
      <w:r>
        <w:t xml:space="preserve"> is used to create the image of an authoritative, religious and </w:t>
      </w:r>
      <w:r w:rsidR="00124FEC">
        <w:t>just</w:t>
      </w:r>
      <w:r>
        <w:t xml:space="preserve"> leader.</w:t>
      </w:r>
    </w:p>
    <w:p w14:paraId="5634993F" w14:textId="269B4D0B" w:rsidR="00130E82" w:rsidRDefault="00130E82">
      <w:r>
        <w:t xml:space="preserve">The oath at Bonneville is the central event to the passage, as this act alone gives </w:t>
      </w:r>
      <w:r w:rsidR="00050B6A">
        <w:t>further justification for Duke William</w:t>
      </w:r>
      <w:r w:rsidR="00124FEC">
        <w:t>’</w:t>
      </w:r>
      <w:r w:rsidR="00050B6A">
        <w:t>s invasion. The Gesta describes a scene where Harold allegedly swore an oath to William. This, according to William of Poitiers, has Harold promising to support Duke William’s claim to the English throne and to assist him in securing strategic castles such as Dover.</w:t>
      </w:r>
    </w:p>
    <w:p w14:paraId="6E0BB67A" w14:textId="4AED972C" w:rsidR="00585772" w:rsidRDefault="00585772">
      <w:r>
        <w:t xml:space="preserve">Oaths of these kinds, particularly sworn on relics, as stated by the Norman sources, are considered as acts of binding, further substantiating their </w:t>
      </w:r>
      <w:r w:rsidR="00124FEC">
        <w:t>oaths</w:t>
      </w:r>
      <w:r>
        <w:t xml:space="preserve"> as divinely administered. If Harold did swear an oath, yet disregarded it entirely, he could be portrayed as a perjurer and a usurper. This further </w:t>
      </w:r>
      <w:r w:rsidR="00124FEC">
        <w:t>legitimises</w:t>
      </w:r>
      <w:r>
        <w:t xml:space="preserve"> </w:t>
      </w:r>
      <w:r w:rsidR="00124FEC">
        <w:t>William’s</w:t>
      </w:r>
      <w:r>
        <w:t xml:space="preserve"> invasion as a punishment. </w:t>
      </w:r>
    </w:p>
    <w:p w14:paraId="70710659" w14:textId="23C9CACC" w:rsidR="00D77623" w:rsidRDefault="00585772">
      <w:r>
        <w:t>Historians, however, debate the reliability of this account, as the circumstances surrounding this particular oath remain uncertain. Harold was in Normandy, therefore under Duke William’s authority, which raises the possibility that the oath may have been given under duress.</w:t>
      </w:r>
      <w:r w:rsidR="00101838">
        <w:rPr>
          <w:rStyle w:val="FootnoteReference"/>
        </w:rPr>
        <w:footnoteReference w:id="10"/>
      </w:r>
    </w:p>
    <w:p w14:paraId="478FCAD6" w14:textId="2D72C35B" w:rsidR="00585772" w:rsidRDefault="00124FEC">
      <w:r>
        <w:t>King Edward was known for favouring Normans where it was possible. By installing Norman priests who accompanied him as bishops in places such as London and Canterbury.</w:t>
      </w:r>
      <w:r w:rsidR="00101838">
        <w:rPr>
          <w:rStyle w:val="FootnoteReference"/>
        </w:rPr>
        <w:footnoteReference w:id="11"/>
      </w:r>
      <w:r>
        <w:t xml:space="preserve"> Due to his turbulent relationship with the </w:t>
      </w:r>
      <w:proofErr w:type="spellStart"/>
      <w:r>
        <w:t>Godwins</w:t>
      </w:r>
      <w:proofErr w:type="spellEnd"/>
      <w:r>
        <w:t xml:space="preserve">, and ailing health in his later years, </w:t>
      </w:r>
      <w:r w:rsidRPr="00124FEC">
        <w:t>this lends some plausibility to the Norman claim that Edward may have indicated William as a potential successor</w:t>
      </w:r>
      <w:r>
        <w:t>. This could be considered as a further slight, and indeed to his marriage bed, as he was not known to have produced any children.</w:t>
      </w:r>
      <w:r w:rsidR="00D02EE7">
        <w:rPr>
          <w:rStyle w:val="FootnoteReference"/>
        </w:rPr>
        <w:footnoteReference w:id="12"/>
      </w:r>
    </w:p>
    <w:p w14:paraId="7CBA94A5" w14:textId="66C1B77E" w:rsidR="00124FEC" w:rsidRDefault="00124FEC">
      <w:r>
        <w:t xml:space="preserve">Other contemporary sources provide useful points of comparison. For example, the Bayeux Tapestry, another pro-Norman source, also depicts Harold swearing an oath to </w:t>
      </w:r>
      <w:r>
        <w:lastRenderedPageBreak/>
        <w:t>William, which shows Harold placing his hands on relics.</w:t>
      </w:r>
      <w:r w:rsidR="00F9291D">
        <w:rPr>
          <w:rStyle w:val="FootnoteReference"/>
        </w:rPr>
        <w:footnoteReference w:id="13"/>
      </w:r>
      <w:r>
        <w:t xml:space="preserve"> However, the tapestry does not directly specify the exact terms of this oath, leaving for further interpretation.</w:t>
      </w:r>
    </w:p>
    <w:p w14:paraId="2AEE8592" w14:textId="5360A01B" w:rsidR="00124FEC" w:rsidRDefault="00124FEC">
      <w:r>
        <w:t>Looking at pro Anglo-Saxon sources, such as the Anglo-Saxon Chronicle, there is no mention of Harold’s oath. Instead, it states that Harold was chosen as king by the Witan after Edward’s death.</w:t>
      </w:r>
      <w:r w:rsidR="00897731">
        <w:rPr>
          <w:rStyle w:val="FootnoteReference"/>
        </w:rPr>
        <w:footnoteReference w:id="14"/>
      </w:r>
      <w:r>
        <w:t xml:space="preserve"> The absence of the oath within largely documented records adds to the question of whether the event occurred, at least how Norman writers describe it. This omission may reflect an English attempt to suppress or even deny a politically damaging narrative.</w:t>
      </w:r>
    </w:p>
    <w:p w14:paraId="7582D8C8" w14:textId="56730A39" w:rsidR="00124FEC" w:rsidRDefault="00124FEC">
      <w:r>
        <w:t xml:space="preserve">Additional comparison can be made with the writings of </w:t>
      </w:r>
      <w:proofErr w:type="spellStart"/>
      <w:r>
        <w:t>Orderic</w:t>
      </w:r>
      <w:proofErr w:type="spellEnd"/>
      <w:r>
        <w:t xml:space="preserve"> Vitalis, writing several decades later.</w:t>
      </w:r>
      <w:r w:rsidR="00897731">
        <w:rPr>
          <w:rStyle w:val="FootnoteReference"/>
        </w:rPr>
        <w:footnoteReference w:id="15"/>
      </w:r>
      <w:r>
        <w:t xml:space="preserve"> He also repeats the story of Harold’s oath, though his account may have relied on earlier Norman narratives such as the Gesta. This indicates how the Norman version of events became established in historical tradition.</w:t>
      </w:r>
    </w:p>
    <w:p w14:paraId="69F9D752" w14:textId="700B175C" w:rsidR="00124FEC" w:rsidRPr="00124FEC" w:rsidRDefault="00124FEC" w:rsidP="00124FEC">
      <w:r w:rsidRPr="00124FEC">
        <w:t xml:space="preserve">William of Poitiers’ account is therefore valuable but problematic. On one hand, it provides detailed information about Norman political arguments and aristocratic culture. His background as a knight and cleric </w:t>
      </w:r>
      <w:r>
        <w:t xml:space="preserve">to Duke William </w:t>
      </w:r>
      <w:r w:rsidRPr="00124FEC">
        <w:t>gives his descriptions of warfare and ceremony a sense of realism.</w:t>
      </w:r>
    </w:p>
    <w:p w14:paraId="30C66298" w14:textId="78A37003" w:rsidR="00124FEC" w:rsidRPr="00124FEC" w:rsidRDefault="00124FEC" w:rsidP="00124FEC">
      <w:r w:rsidRPr="00124FEC">
        <w:t xml:space="preserve">On the other hand, the work clearly reflects </w:t>
      </w:r>
      <w:r>
        <w:t>the intention of pro-</w:t>
      </w:r>
      <w:r w:rsidRPr="00124FEC">
        <w:t xml:space="preserve">Norman </w:t>
      </w:r>
      <w:r>
        <w:t>persuasion</w:t>
      </w:r>
      <w:r w:rsidRPr="00124FEC">
        <w:t>. The author portrays William as noble and generous, while English figures are often depicted as unreliable or treacherous. For example, the passage refers to the “perfidy” of the English, suggesting that rebellion against William would have been typical behaviour for them.</w:t>
      </w:r>
      <w:r w:rsidR="000E0665">
        <w:rPr>
          <w:rStyle w:val="FootnoteReference"/>
        </w:rPr>
        <w:footnoteReference w:id="16"/>
      </w:r>
    </w:p>
    <w:p w14:paraId="45C13A15" w14:textId="56C17EFD" w:rsidR="00124FEC" w:rsidRDefault="00124FEC" w:rsidP="00124FEC">
      <w:r w:rsidRPr="00124FEC">
        <w:t>The insistence that Harold swore the oath “of his own free will”</w:t>
      </w:r>
      <w:r w:rsidR="000E0665">
        <w:rPr>
          <w:rStyle w:val="FootnoteReference"/>
        </w:rPr>
        <w:footnoteReference w:id="17"/>
      </w:r>
      <w:r w:rsidRPr="00124FEC">
        <w:t xml:space="preserve"> also suggests that William of Poitiers was responding to criticisms that the oath may have been forced. By emphasising its voluntary nature, the author strengthens the legal justification for William’s later actions.</w:t>
      </w:r>
    </w:p>
    <w:p w14:paraId="0CA455C8" w14:textId="51DDE41D" w:rsidR="00124FEC" w:rsidRDefault="00124FEC" w:rsidP="00124FEC">
      <w:r>
        <w:t>The Gesta was almost certainly written for an elite Norman audience, as it would have functioned as a court history and chronicle, detailing the pro-Norman rhetoric required to justify the invasion. Rather than simply recording the events, William of Poitiers constructs a legal and moral justification for conquest, transforming disputed succession into rightful inheritance. This is bolstered by the implication of divine justice.</w:t>
      </w:r>
    </w:p>
    <w:p w14:paraId="4F13B33C" w14:textId="452E8E36" w:rsidR="00124FEC" w:rsidRDefault="00124FEC" w:rsidP="00124FEC">
      <w:r w:rsidRPr="00124FEC">
        <w:lastRenderedPageBreak/>
        <w:t>Control within England at the time of writing remained unstable, with resistance movements such as those associated with Hereward the Wake, the harrying of the North, and the siege of Exeter demonstrating the fragility of Norman authority. Such unrest also points to the continued influence of the Godwin family’s network, whose power had not been entirely dismantled following 1066.</w:t>
      </w:r>
      <w:r w:rsidR="000E0665">
        <w:rPr>
          <w:rStyle w:val="FootnoteReference"/>
        </w:rPr>
        <w:footnoteReference w:id="18"/>
      </w:r>
      <w:r w:rsidRPr="00124FEC">
        <w:t xml:space="preserve"> The events at Exeter, often linked to Gytha, Harold’s mother, suggest that elements of the pre-conquest elite retained the capacity to foster opposition. In this context, the Gesta</w:t>
      </w:r>
      <w:r w:rsidRPr="00124FEC">
        <w:rPr>
          <w:i/>
          <w:iCs/>
        </w:rPr>
        <w:t xml:space="preserve"> </w:t>
      </w:r>
      <w:r w:rsidRPr="00124FEC">
        <w:t xml:space="preserve">can be </w:t>
      </w:r>
      <w:r>
        <w:t>considered</w:t>
      </w:r>
      <w:r w:rsidRPr="00124FEC">
        <w:t xml:space="preserve"> as a deliberate attempt to undermine the legitimacy of these rival factions by reinforcing William’s claim as lawful, divinely sanctioned, and unchallengeable.</w:t>
      </w:r>
    </w:p>
    <w:p w14:paraId="4ACCE98B" w14:textId="3FDFE27C" w:rsidR="00124FEC" w:rsidRPr="00124FEC" w:rsidRDefault="00124FEC" w:rsidP="00124FEC">
      <w:r w:rsidRPr="00124FEC">
        <w:t xml:space="preserve">The passage from William of Poitiers’ </w:t>
      </w:r>
      <w:r w:rsidRPr="00124FEC">
        <w:rPr>
          <w:i/>
          <w:iCs/>
        </w:rPr>
        <w:t xml:space="preserve">Gesta </w:t>
      </w:r>
      <w:proofErr w:type="spellStart"/>
      <w:r w:rsidRPr="00124FEC">
        <w:rPr>
          <w:i/>
          <w:iCs/>
        </w:rPr>
        <w:t>Willelmi</w:t>
      </w:r>
      <w:proofErr w:type="spellEnd"/>
      <w:r w:rsidRPr="00124FEC">
        <w:t xml:space="preserve"> is a key example of how Norman writers interpreted the events leading to the Norman Conquest. </w:t>
      </w:r>
      <w:r>
        <w:t>The</w:t>
      </w:r>
      <w:r w:rsidRPr="00124FEC">
        <w:t xml:space="preserve"> work aimed to legitimise William’s rule by portraying his claim to the English throne as lawful and supported by prior agreements</w:t>
      </w:r>
      <w:r>
        <w:t xml:space="preserve">. </w:t>
      </w:r>
    </w:p>
    <w:p w14:paraId="32284BC5" w14:textId="305389D5" w:rsidR="00124FEC" w:rsidRPr="00124FEC" w:rsidRDefault="00124FEC" w:rsidP="00124FEC">
      <w:r w:rsidRPr="00124FEC">
        <w:t>However, comparison with other contemporary reveals uncertainty about the exact circumstances of this oath. While Harold may indeed have made some form of pledge during his visit to Normandy, the precise details remain unclear.</w:t>
      </w:r>
    </w:p>
    <w:p w14:paraId="4EEF88FA" w14:textId="335B6590" w:rsidR="00124FEC" w:rsidRDefault="00124FEC" w:rsidP="00124FEC">
      <w:r w:rsidRPr="00124FEC">
        <w:t xml:space="preserve">For historians, the value of William of Poitiers’ account lies </w:t>
      </w:r>
      <w:r>
        <w:t>less</w:t>
      </w:r>
      <w:r w:rsidRPr="00124FEC">
        <w:t xml:space="preserve"> in the events it describes but </w:t>
      </w:r>
      <w:r>
        <w:t>more so</w:t>
      </w:r>
      <w:r w:rsidRPr="00124FEC">
        <w:t xml:space="preserve"> in what it reveals about Norman political ideology. The text demonstrates how the conquest of England was framed as a legitimate act of justice rather than a simple military invasion. As a result, the source remains essential for understanding both the history of 1066 and the ways in which medieval rulers constructed narratives to justify their power.</w:t>
      </w:r>
    </w:p>
    <w:p w14:paraId="3D9E8C2C" w14:textId="77777777" w:rsidR="00124FEC" w:rsidRPr="00124FEC" w:rsidRDefault="00124FEC" w:rsidP="00124FEC"/>
    <w:p w14:paraId="5BFB1D65" w14:textId="77777777" w:rsidR="00124FEC" w:rsidRDefault="00124FEC"/>
    <w:p w14:paraId="0F5A9C43" w14:textId="77777777" w:rsidR="00D77623" w:rsidRDefault="00D77623"/>
    <w:p w14:paraId="6093390A" w14:textId="77777777" w:rsidR="00A30097" w:rsidRDefault="00A30097"/>
    <w:p w14:paraId="7C96DE9C" w14:textId="4419DF02" w:rsidR="000E0665" w:rsidRDefault="000E0665">
      <w:r>
        <w:br w:type="page"/>
      </w:r>
    </w:p>
    <w:p w14:paraId="2B4F20D2" w14:textId="5508D899" w:rsidR="000E0665" w:rsidRDefault="00893184">
      <w:r>
        <w:lastRenderedPageBreak/>
        <w:t>Bibliography:</w:t>
      </w:r>
    </w:p>
    <w:p w14:paraId="214FC2AB" w14:textId="77777777" w:rsidR="005173CB" w:rsidRDefault="005173CB" w:rsidP="005173CB">
      <w:pPr>
        <w:ind w:left="720" w:hanging="720"/>
      </w:pPr>
      <w:r>
        <w:rPr>
          <w:i/>
          <w:iCs/>
        </w:rPr>
        <w:t>Domesday Book: Volume I</w:t>
      </w:r>
      <w:r>
        <w:t>, ed. by Ann Williams and G. H. Martin (London: The Folio Society, 2002)</w:t>
      </w:r>
    </w:p>
    <w:p w14:paraId="0BEBDF95" w14:textId="77777777" w:rsidR="005173CB" w:rsidRDefault="005173CB" w:rsidP="005173CB">
      <w:pPr>
        <w:ind w:left="720" w:hanging="720"/>
      </w:pPr>
      <w:r>
        <w:rPr>
          <w:i/>
          <w:iCs/>
        </w:rPr>
        <w:t>Domesday Book: Volume II</w:t>
      </w:r>
      <w:r>
        <w:t>, ed. by Ann Williams and G. H. Martin (London: The Folio Society, 2003)</w:t>
      </w:r>
    </w:p>
    <w:p w14:paraId="72ED1936" w14:textId="77777777" w:rsidR="005173CB" w:rsidRDefault="005173CB" w:rsidP="005173CB">
      <w:pPr>
        <w:ind w:left="720" w:hanging="720"/>
      </w:pPr>
      <w:r>
        <w:rPr>
          <w:i/>
          <w:iCs/>
        </w:rPr>
        <w:t>Domesday Book: Volume III</w:t>
      </w:r>
      <w:r>
        <w:t>, ed. by Ann Williams and G. H. Martin (London: The Folio Society, 2003)</w:t>
      </w:r>
    </w:p>
    <w:p w14:paraId="3D06C1C4" w14:textId="6A7222CA" w:rsidR="00893184" w:rsidRDefault="00893184" w:rsidP="005173CB">
      <w:pPr>
        <w:ind w:left="720" w:hanging="720"/>
      </w:pPr>
      <w:r>
        <w:t xml:space="preserve">Morris, Marc, </w:t>
      </w:r>
      <w:r>
        <w:rPr>
          <w:i/>
          <w:iCs/>
        </w:rPr>
        <w:t>The Norman Conquest: The Battle of Hastings and the Fall of Anglo-Saxon England</w:t>
      </w:r>
      <w:r>
        <w:t xml:space="preserve"> (London: Penguin Books, 2024)</w:t>
      </w:r>
    </w:p>
    <w:p w14:paraId="21E910A5" w14:textId="77777777" w:rsidR="005173CB" w:rsidRPr="00F343E8" w:rsidRDefault="005173CB" w:rsidP="005173CB">
      <w:pPr>
        <w:ind w:left="720" w:hanging="720"/>
      </w:pPr>
      <w:r>
        <w:t xml:space="preserve">Rowley, Trevor, </w:t>
      </w:r>
      <w:r>
        <w:rPr>
          <w:i/>
          <w:iCs/>
        </w:rPr>
        <w:t>The Normans</w:t>
      </w:r>
      <w:r>
        <w:t xml:space="preserve"> (Cheltenham: The History Press, 2020)</w:t>
      </w:r>
    </w:p>
    <w:p w14:paraId="2003E48B" w14:textId="3635A1D5" w:rsidR="00893184" w:rsidRDefault="00AC136F" w:rsidP="005173CB">
      <w:pPr>
        <w:ind w:left="720" w:hanging="720"/>
      </w:pPr>
      <w:r w:rsidRPr="008E1680">
        <w:rPr>
          <w:i/>
          <w:iCs/>
        </w:rPr>
        <w:t>The Bayeux Tapestry</w:t>
      </w:r>
      <w:r w:rsidRPr="00AC136F">
        <w:t xml:space="preserve"> [wool embroidery on linen] (c. 1070) &lt;https://www.bayeuxmuseum.com/en/the-bayeux-tapestry/discover-the-bayeux-tapestry/explore-online/&gt; [Accessed 21 March 2026]</w:t>
      </w:r>
    </w:p>
    <w:p w14:paraId="645049E1" w14:textId="76915F3C" w:rsidR="00AC136F" w:rsidRDefault="00291A5C" w:rsidP="005173CB">
      <w:pPr>
        <w:ind w:left="720" w:hanging="720"/>
      </w:pPr>
      <w:r w:rsidRPr="00867A58">
        <w:rPr>
          <w:i/>
          <w:iCs/>
        </w:rPr>
        <w:t>The Anglo-Saxon Chronicles</w:t>
      </w:r>
      <w:r w:rsidR="00065D08">
        <w:t xml:space="preserve">, trans. and ed. by Michael Swanton </w:t>
      </w:r>
      <w:r w:rsidR="008E1680">
        <w:t>(</w:t>
      </w:r>
      <w:r w:rsidR="00D154F1">
        <w:t>London: Phoenix, 2000)</w:t>
      </w:r>
    </w:p>
    <w:p w14:paraId="280DC0CA" w14:textId="77777777" w:rsidR="005173CB" w:rsidRDefault="005173CB" w:rsidP="005173CB">
      <w:pPr>
        <w:ind w:left="720" w:hanging="720"/>
      </w:pPr>
      <w:r>
        <w:t xml:space="preserve">William of Poitiers, </w:t>
      </w:r>
      <w:r>
        <w:rPr>
          <w:i/>
          <w:iCs/>
        </w:rPr>
        <w:t xml:space="preserve">Gesta </w:t>
      </w:r>
      <w:proofErr w:type="spellStart"/>
      <w:r>
        <w:rPr>
          <w:i/>
          <w:iCs/>
        </w:rPr>
        <w:t>Willelmi</w:t>
      </w:r>
      <w:proofErr w:type="spellEnd"/>
      <w:r>
        <w:rPr>
          <w:i/>
          <w:iCs/>
        </w:rPr>
        <w:t xml:space="preserve"> </w:t>
      </w:r>
      <w:proofErr w:type="spellStart"/>
      <w:r>
        <w:rPr>
          <w:i/>
          <w:iCs/>
        </w:rPr>
        <w:t>ducis</w:t>
      </w:r>
      <w:proofErr w:type="spellEnd"/>
      <w:r>
        <w:rPr>
          <w:i/>
          <w:iCs/>
        </w:rPr>
        <w:t xml:space="preserve"> </w:t>
      </w:r>
      <w:proofErr w:type="spellStart"/>
      <w:r>
        <w:rPr>
          <w:i/>
          <w:iCs/>
        </w:rPr>
        <w:t>Normannorum</w:t>
      </w:r>
      <w:proofErr w:type="spellEnd"/>
      <w:r>
        <w:rPr>
          <w:i/>
          <w:iCs/>
        </w:rPr>
        <w:t xml:space="preserve"> et </w:t>
      </w:r>
      <w:proofErr w:type="spellStart"/>
      <w:r>
        <w:rPr>
          <w:i/>
          <w:iCs/>
        </w:rPr>
        <w:t>regis</w:t>
      </w:r>
      <w:proofErr w:type="spellEnd"/>
      <w:r>
        <w:rPr>
          <w:i/>
          <w:iCs/>
        </w:rPr>
        <w:t xml:space="preserve"> Anglorum</w:t>
      </w:r>
      <w:r>
        <w:t>, HPHI5009:Identity and Myth: The Normans and their World. (The University of Wales, 2016)</w:t>
      </w:r>
    </w:p>
    <w:p w14:paraId="7E0B1C86" w14:textId="2EC22F0D" w:rsidR="00D154F1" w:rsidRDefault="00C1346F" w:rsidP="005173CB">
      <w:pPr>
        <w:ind w:left="720" w:hanging="720"/>
      </w:pPr>
      <w:r>
        <w:t xml:space="preserve">Wood, Michael, </w:t>
      </w:r>
      <w:r>
        <w:rPr>
          <w:i/>
          <w:iCs/>
        </w:rPr>
        <w:t>Domesday: A Search for the Roots of England</w:t>
      </w:r>
      <w:r>
        <w:t xml:space="preserve"> (</w:t>
      </w:r>
      <w:r w:rsidR="00867A58">
        <w:t>London: BBC Publications</w:t>
      </w:r>
      <w:r w:rsidR="00002AED">
        <w:t xml:space="preserve">, 1986) </w:t>
      </w:r>
    </w:p>
    <w:p w14:paraId="4EFFAF3E" w14:textId="77777777" w:rsidR="005173CB" w:rsidRPr="00F343E8" w:rsidRDefault="005173CB"/>
    <w:sectPr w:rsidR="005173CB" w:rsidRPr="00F343E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B6F4E" w14:textId="77777777" w:rsidR="00F663A2" w:rsidRDefault="00F663A2" w:rsidP="00D807FF">
      <w:pPr>
        <w:spacing w:after="0" w:line="240" w:lineRule="auto"/>
      </w:pPr>
      <w:r>
        <w:separator/>
      </w:r>
    </w:p>
  </w:endnote>
  <w:endnote w:type="continuationSeparator" w:id="0">
    <w:p w14:paraId="445C28AF" w14:textId="77777777" w:rsidR="00F663A2" w:rsidRDefault="00F663A2" w:rsidP="00D807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3FA82" w14:textId="77777777" w:rsidR="00F663A2" w:rsidRDefault="00F663A2" w:rsidP="00D807FF">
      <w:pPr>
        <w:spacing w:after="0" w:line="240" w:lineRule="auto"/>
      </w:pPr>
      <w:r>
        <w:separator/>
      </w:r>
    </w:p>
  </w:footnote>
  <w:footnote w:type="continuationSeparator" w:id="0">
    <w:p w14:paraId="64AD9526" w14:textId="77777777" w:rsidR="00F663A2" w:rsidRDefault="00F663A2" w:rsidP="00D807FF">
      <w:pPr>
        <w:spacing w:after="0" w:line="240" w:lineRule="auto"/>
      </w:pPr>
      <w:r>
        <w:continuationSeparator/>
      </w:r>
    </w:p>
  </w:footnote>
  <w:footnote w:id="1">
    <w:p w14:paraId="03845181" w14:textId="5F58B088" w:rsidR="007663EA" w:rsidRPr="0062702D" w:rsidRDefault="007663EA">
      <w:pPr>
        <w:pStyle w:val="FootnoteText"/>
      </w:pPr>
      <w:r>
        <w:rPr>
          <w:rStyle w:val="FootnoteReference"/>
        </w:rPr>
        <w:footnoteRef/>
      </w:r>
      <w:r>
        <w:t xml:space="preserve"> </w:t>
      </w:r>
      <w:r w:rsidR="0062702D">
        <w:t xml:space="preserve">Marc Morris, </w:t>
      </w:r>
      <w:r w:rsidR="0062702D">
        <w:rPr>
          <w:i/>
          <w:iCs/>
        </w:rPr>
        <w:t>The Norman Conquest: The Battle of Hastings and the Fall of Anglo-Saxon England</w:t>
      </w:r>
      <w:r w:rsidR="00FE288C">
        <w:t xml:space="preserve"> (</w:t>
      </w:r>
      <w:r w:rsidR="0067079D">
        <w:t>London: Penguin</w:t>
      </w:r>
      <w:r w:rsidR="00D96A4F">
        <w:t xml:space="preserve"> Books, 2024), p. 54.</w:t>
      </w:r>
    </w:p>
  </w:footnote>
  <w:footnote w:id="2">
    <w:p w14:paraId="28242432" w14:textId="609F6E56" w:rsidR="00D96A4F" w:rsidRPr="00D96A4F" w:rsidRDefault="00D96A4F">
      <w:pPr>
        <w:pStyle w:val="FootnoteText"/>
      </w:pPr>
      <w:r>
        <w:rPr>
          <w:rStyle w:val="FootnoteReference"/>
        </w:rPr>
        <w:footnoteRef/>
      </w:r>
      <w:r>
        <w:t xml:space="preserve"> Marc Morris, </w:t>
      </w:r>
      <w:r>
        <w:rPr>
          <w:i/>
          <w:iCs/>
        </w:rPr>
        <w:t>The Norman Conquest</w:t>
      </w:r>
      <w:r>
        <w:t>, pp. 55-58.</w:t>
      </w:r>
    </w:p>
  </w:footnote>
  <w:footnote w:id="3">
    <w:p w14:paraId="0F009915" w14:textId="60ABDB61" w:rsidR="00D96A4F" w:rsidRDefault="00D96A4F">
      <w:pPr>
        <w:pStyle w:val="FootnoteText"/>
      </w:pPr>
      <w:r>
        <w:rPr>
          <w:rStyle w:val="FootnoteReference"/>
        </w:rPr>
        <w:footnoteRef/>
      </w:r>
      <w:r>
        <w:t xml:space="preserve"> Ibid, </w:t>
      </w:r>
      <w:r w:rsidR="00E532FC">
        <w:t>p. 59.</w:t>
      </w:r>
    </w:p>
  </w:footnote>
  <w:footnote w:id="4">
    <w:p w14:paraId="60CC4DD5" w14:textId="3C0C0A0E" w:rsidR="00E532FC" w:rsidRDefault="00E532FC">
      <w:pPr>
        <w:pStyle w:val="FootnoteText"/>
      </w:pPr>
      <w:r>
        <w:rPr>
          <w:rStyle w:val="FootnoteReference"/>
        </w:rPr>
        <w:footnoteRef/>
      </w:r>
      <w:r>
        <w:t xml:space="preserve"> Ibid, pp. 55-58.</w:t>
      </w:r>
    </w:p>
  </w:footnote>
  <w:footnote w:id="5">
    <w:p w14:paraId="0AF3A3C2" w14:textId="34EA918E" w:rsidR="00E532FC" w:rsidRDefault="00E532FC">
      <w:pPr>
        <w:pStyle w:val="FootnoteText"/>
      </w:pPr>
      <w:r>
        <w:rPr>
          <w:rStyle w:val="FootnoteReference"/>
        </w:rPr>
        <w:footnoteRef/>
      </w:r>
      <w:r>
        <w:t xml:space="preserve"> Ibid, pp. 116-117.</w:t>
      </w:r>
    </w:p>
  </w:footnote>
  <w:footnote w:id="6">
    <w:p w14:paraId="7F491A71" w14:textId="1F7BEF80" w:rsidR="00E532FC" w:rsidRPr="001E18C1" w:rsidRDefault="00E532FC">
      <w:pPr>
        <w:pStyle w:val="FootnoteText"/>
      </w:pPr>
      <w:r>
        <w:rPr>
          <w:rStyle w:val="FootnoteReference"/>
        </w:rPr>
        <w:footnoteRef/>
      </w:r>
      <w:r>
        <w:t xml:space="preserve"> </w:t>
      </w:r>
      <w:r w:rsidR="001E18C1">
        <w:t xml:space="preserve">Marc Morris, </w:t>
      </w:r>
      <w:r w:rsidR="001E18C1">
        <w:rPr>
          <w:i/>
          <w:iCs/>
        </w:rPr>
        <w:t>The Norman Conquest</w:t>
      </w:r>
      <w:r w:rsidR="001E18C1">
        <w:t>, p. 113.</w:t>
      </w:r>
    </w:p>
  </w:footnote>
  <w:footnote w:id="7">
    <w:p w14:paraId="68B5EA73" w14:textId="745D1573" w:rsidR="001E18C1" w:rsidRPr="000C039A" w:rsidRDefault="001E18C1">
      <w:pPr>
        <w:pStyle w:val="FootnoteText"/>
      </w:pPr>
      <w:r>
        <w:rPr>
          <w:rStyle w:val="FootnoteReference"/>
        </w:rPr>
        <w:footnoteRef/>
      </w:r>
      <w:r>
        <w:t xml:space="preserve"> </w:t>
      </w:r>
      <w:r w:rsidR="000C039A">
        <w:t xml:space="preserve">William of Poitiers, </w:t>
      </w:r>
      <w:r w:rsidR="000C039A">
        <w:rPr>
          <w:i/>
          <w:iCs/>
        </w:rPr>
        <w:t xml:space="preserve">Gesta </w:t>
      </w:r>
      <w:proofErr w:type="spellStart"/>
      <w:r w:rsidR="000C039A">
        <w:rPr>
          <w:i/>
          <w:iCs/>
        </w:rPr>
        <w:t>Willelmi</w:t>
      </w:r>
      <w:proofErr w:type="spellEnd"/>
      <w:r w:rsidR="000C039A">
        <w:rPr>
          <w:i/>
          <w:iCs/>
        </w:rPr>
        <w:t xml:space="preserve"> </w:t>
      </w:r>
      <w:proofErr w:type="spellStart"/>
      <w:r w:rsidR="000C039A">
        <w:rPr>
          <w:i/>
          <w:iCs/>
        </w:rPr>
        <w:t>ducis</w:t>
      </w:r>
      <w:proofErr w:type="spellEnd"/>
      <w:r w:rsidR="000C039A">
        <w:rPr>
          <w:i/>
          <w:iCs/>
        </w:rPr>
        <w:t xml:space="preserve"> </w:t>
      </w:r>
      <w:proofErr w:type="spellStart"/>
      <w:r w:rsidR="000C039A">
        <w:rPr>
          <w:i/>
          <w:iCs/>
        </w:rPr>
        <w:t>Normannorum</w:t>
      </w:r>
      <w:proofErr w:type="spellEnd"/>
      <w:r w:rsidR="000C039A">
        <w:rPr>
          <w:i/>
          <w:iCs/>
        </w:rPr>
        <w:t xml:space="preserve"> et </w:t>
      </w:r>
      <w:proofErr w:type="spellStart"/>
      <w:r w:rsidR="000C039A">
        <w:rPr>
          <w:i/>
          <w:iCs/>
        </w:rPr>
        <w:t>regis</w:t>
      </w:r>
      <w:proofErr w:type="spellEnd"/>
      <w:r w:rsidR="000C039A">
        <w:rPr>
          <w:i/>
          <w:iCs/>
        </w:rPr>
        <w:t xml:space="preserve"> Anglorum</w:t>
      </w:r>
      <w:r w:rsidR="000C039A">
        <w:t xml:space="preserve">, </w:t>
      </w:r>
      <w:r w:rsidR="0035538F">
        <w:t>HPHI5009</w:t>
      </w:r>
      <w:r w:rsidR="004D5038">
        <w:t>:</w:t>
      </w:r>
      <w:r w:rsidR="008E5FDC">
        <w:t>Identity and Myth: The Normans and their World</w:t>
      </w:r>
      <w:r w:rsidR="00101838">
        <w:t>. (The University of Wales, 2016).</w:t>
      </w:r>
    </w:p>
  </w:footnote>
  <w:footnote w:id="8">
    <w:p w14:paraId="2E4AABC3" w14:textId="102778DC" w:rsidR="00101838" w:rsidRPr="00101838" w:rsidRDefault="00101838">
      <w:pPr>
        <w:pStyle w:val="FootnoteText"/>
      </w:pPr>
      <w:r>
        <w:rPr>
          <w:rStyle w:val="FootnoteReference"/>
        </w:rPr>
        <w:footnoteRef/>
      </w:r>
      <w:r>
        <w:t xml:space="preserve"> William of Poitiers, </w:t>
      </w:r>
      <w:r>
        <w:rPr>
          <w:i/>
          <w:iCs/>
        </w:rPr>
        <w:t xml:space="preserve">Gesta </w:t>
      </w:r>
      <w:proofErr w:type="spellStart"/>
      <w:r>
        <w:rPr>
          <w:i/>
          <w:iCs/>
        </w:rPr>
        <w:t>Willelmi</w:t>
      </w:r>
      <w:proofErr w:type="spellEnd"/>
      <w:r>
        <w:rPr>
          <w:i/>
          <w:iCs/>
        </w:rPr>
        <w:t xml:space="preserve"> </w:t>
      </w:r>
      <w:proofErr w:type="spellStart"/>
      <w:r>
        <w:rPr>
          <w:i/>
          <w:iCs/>
        </w:rPr>
        <w:t>ducis</w:t>
      </w:r>
      <w:proofErr w:type="spellEnd"/>
      <w:r>
        <w:rPr>
          <w:i/>
          <w:iCs/>
        </w:rPr>
        <w:t xml:space="preserve"> </w:t>
      </w:r>
      <w:proofErr w:type="spellStart"/>
      <w:r>
        <w:rPr>
          <w:i/>
          <w:iCs/>
        </w:rPr>
        <w:t>Normannorum</w:t>
      </w:r>
      <w:proofErr w:type="spellEnd"/>
      <w:r>
        <w:rPr>
          <w:i/>
          <w:iCs/>
        </w:rPr>
        <w:t xml:space="preserve"> et </w:t>
      </w:r>
      <w:proofErr w:type="spellStart"/>
      <w:r>
        <w:rPr>
          <w:i/>
          <w:iCs/>
        </w:rPr>
        <w:t>regis</w:t>
      </w:r>
      <w:proofErr w:type="spellEnd"/>
      <w:r>
        <w:rPr>
          <w:i/>
          <w:iCs/>
        </w:rPr>
        <w:t xml:space="preserve"> Anglorum</w:t>
      </w:r>
      <w:r>
        <w:t>.</w:t>
      </w:r>
    </w:p>
  </w:footnote>
  <w:footnote w:id="9">
    <w:p w14:paraId="1D962720" w14:textId="48D80F25" w:rsidR="00101838" w:rsidRDefault="00101838">
      <w:pPr>
        <w:pStyle w:val="FootnoteText"/>
      </w:pPr>
      <w:r>
        <w:rPr>
          <w:rStyle w:val="FootnoteReference"/>
        </w:rPr>
        <w:footnoteRef/>
      </w:r>
      <w:r>
        <w:t xml:space="preserve"> Ibid.</w:t>
      </w:r>
    </w:p>
  </w:footnote>
  <w:footnote w:id="10">
    <w:p w14:paraId="0F75AB1C" w14:textId="07025212" w:rsidR="00101838" w:rsidRPr="00101838" w:rsidRDefault="00101838">
      <w:pPr>
        <w:pStyle w:val="FootnoteText"/>
      </w:pPr>
      <w:r>
        <w:rPr>
          <w:rStyle w:val="FootnoteReference"/>
        </w:rPr>
        <w:footnoteRef/>
      </w:r>
      <w:r>
        <w:t xml:space="preserve"> Marc Morris, </w:t>
      </w:r>
      <w:r>
        <w:rPr>
          <w:i/>
          <w:iCs/>
        </w:rPr>
        <w:t>The Norman Conquest</w:t>
      </w:r>
      <w:r>
        <w:t>, pp. 112-119.</w:t>
      </w:r>
    </w:p>
  </w:footnote>
  <w:footnote w:id="11">
    <w:p w14:paraId="1CA78C54" w14:textId="1CF4815C" w:rsidR="00101838" w:rsidRDefault="00101838">
      <w:pPr>
        <w:pStyle w:val="FootnoteText"/>
      </w:pPr>
      <w:r>
        <w:rPr>
          <w:rStyle w:val="FootnoteReference"/>
        </w:rPr>
        <w:footnoteRef/>
      </w:r>
      <w:r>
        <w:t xml:space="preserve"> Ibid, </w:t>
      </w:r>
      <w:r w:rsidR="00D02EE7">
        <w:t>pp. 98-99.</w:t>
      </w:r>
    </w:p>
  </w:footnote>
  <w:footnote w:id="12">
    <w:p w14:paraId="26BD5639" w14:textId="6B135B8B" w:rsidR="00D02EE7" w:rsidRDefault="00D02EE7">
      <w:pPr>
        <w:pStyle w:val="FootnoteText"/>
      </w:pPr>
      <w:r>
        <w:rPr>
          <w:rStyle w:val="FootnoteReference"/>
        </w:rPr>
        <w:footnoteRef/>
      </w:r>
      <w:r>
        <w:t xml:space="preserve"> Ibid, p. 64.</w:t>
      </w:r>
    </w:p>
  </w:footnote>
  <w:footnote w:id="13">
    <w:p w14:paraId="6189FC41" w14:textId="7DF5B6CE" w:rsidR="00F9291D" w:rsidRPr="00F9291D" w:rsidRDefault="00F9291D">
      <w:pPr>
        <w:pStyle w:val="FootnoteText"/>
      </w:pPr>
      <w:r>
        <w:rPr>
          <w:rStyle w:val="FootnoteReference"/>
        </w:rPr>
        <w:footnoteRef/>
      </w:r>
      <w:r>
        <w:t xml:space="preserve"> </w:t>
      </w:r>
      <w:r>
        <w:rPr>
          <w:i/>
          <w:iCs/>
        </w:rPr>
        <w:t>The Bayeux Tapestry</w:t>
      </w:r>
      <w:r w:rsidR="006248DE">
        <w:t xml:space="preserve"> [wool embroidery on linen] (c. 1070) &lt;</w:t>
      </w:r>
      <w:r w:rsidR="006248DE" w:rsidRPr="006248DE">
        <w:t>https://www.bayeuxmuseum.com/en/the-bayeux-tapestry/discover-the-bayeux-tapestry/explore-online/</w:t>
      </w:r>
      <w:r w:rsidR="006248DE">
        <w:t>&gt; [Accessed 21 March 2026]</w:t>
      </w:r>
      <w:r w:rsidR="00897731">
        <w:t>.</w:t>
      </w:r>
    </w:p>
  </w:footnote>
  <w:footnote w:id="14">
    <w:p w14:paraId="3CEAFF5B" w14:textId="768338EC" w:rsidR="00897731" w:rsidRDefault="00897731">
      <w:pPr>
        <w:pStyle w:val="FootnoteText"/>
      </w:pPr>
      <w:r>
        <w:rPr>
          <w:rStyle w:val="FootnoteReference"/>
        </w:rPr>
        <w:footnoteRef/>
      </w:r>
      <w:r>
        <w:t xml:space="preserve"> </w:t>
      </w:r>
      <w:r w:rsidR="00F2497D" w:rsidRPr="00F2497D">
        <w:rPr>
          <w:i/>
          <w:iCs/>
        </w:rPr>
        <w:t>The Anglo-Saxon Chronicles</w:t>
      </w:r>
      <w:r w:rsidR="00F2497D" w:rsidRPr="00F2497D">
        <w:t>, trans. and ed. by Michael Swanton (London: Phoenix, 2000)</w:t>
      </w:r>
      <w:r w:rsidR="00F2497D">
        <w:t xml:space="preserve">, p. 197. </w:t>
      </w:r>
    </w:p>
  </w:footnote>
  <w:footnote w:id="15">
    <w:p w14:paraId="165C239F" w14:textId="5D99467F" w:rsidR="00897731" w:rsidRPr="003242CA" w:rsidRDefault="00897731">
      <w:pPr>
        <w:pStyle w:val="FootnoteText"/>
      </w:pPr>
      <w:r>
        <w:rPr>
          <w:rStyle w:val="FootnoteReference"/>
        </w:rPr>
        <w:footnoteRef/>
      </w:r>
      <w:r>
        <w:t xml:space="preserve"> </w:t>
      </w:r>
      <w:r w:rsidR="003242CA">
        <w:t xml:space="preserve">Marc Morris, </w:t>
      </w:r>
      <w:r w:rsidR="003242CA">
        <w:rPr>
          <w:i/>
          <w:iCs/>
        </w:rPr>
        <w:t>The Norman World</w:t>
      </w:r>
      <w:r w:rsidR="003242CA">
        <w:t xml:space="preserve">, </w:t>
      </w:r>
      <w:r w:rsidR="005173CB">
        <w:t>pp. 115-116.</w:t>
      </w:r>
    </w:p>
  </w:footnote>
  <w:footnote w:id="16">
    <w:p w14:paraId="310D18E1" w14:textId="24E74151" w:rsidR="000E0665" w:rsidRDefault="000E0665">
      <w:pPr>
        <w:pStyle w:val="FootnoteText"/>
      </w:pPr>
      <w:r>
        <w:rPr>
          <w:rStyle w:val="FootnoteReference"/>
        </w:rPr>
        <w:footnoteRef/>
      </w:r>
      <w:r>
        <w:t xml:space="preserve"> William of Poitiers, </w:t>
      </w:r>
      <w:r>
        <w:rPr>
          <w:i/>
          <w:iCs/>
        </w:rPr>
        <w:t xml:space="preserve">Gesta </w:t>
      </w:r>
      <w:proofErr w:type="spellStart"/>
      <w:r>
        <w:rPr>
          <w:i/>
          <w:iCs/>
        </w:rPr>
        <w:t>Willelmi</w:t>
      </w:r>
      <w:proofErr w:type="spellEnd"/>
      <w:r>
        <w:rPr>
          <w:i/>
          <w:iCs/>
        </w:rPr>
        <w:t xml:space="preserve"> </w:t>
      </w:r>
      <w:proofErr w:type="spellStart"/>
      <w:r>
        <w:rPr>
          <w:i/>
          <w:iCs/>
        </w:rPr>
        <w:t>ducis</w:t>
      </w:r>
      <w:proofErr w:type="spellEnd"/>
      <w:r>
        <w:rPr>
          <w:i/>
          <w:iCs/>
        </w:rPr>
        <w:t xml:space="preserve"> </w:t>
      </w:r>
      <w:proofErr w:type="spellStart"/>
      <w:r>
        <w:rPr>
          <w:i/>
          <w:iCs/>
        </w:rPr>
        <w:t>Normannorum</w:t>
      </w:r>
      <w:proofErr w:type="spellEnd"/>
      <w:r>
        <w:rPr>
          <w:i/>
          <w:iCs/>
        </w:rPr>
        <w:t xml:space="preserve"> et </w:t>
      </w:r>
      <w:proofErr w:type="spellStart"/>
      <w:r>
        <w:rPr>
          <w:i/>
          <w:iCs/>
        </w:rPr>
        <w:t>regis</w:t>
      </w:r>
      <w:proofErr w:type="spellEnd"/>
      <w:r>
        <w:rPr>
          <w:i/>
          <w:iCs/>
        </w:rPr>
        <w:t xml:space="preserve"> Anglorum</w:t>
      </w:r>
      <w:r>
        <w:t>.</w:t>
      </w:r>
    </w:p>
  </w:footnote>
  <w:footnote w:id="17">
    <w:p w14:paraId="5831A373" w14:textId="2A381947" w:rsidR="000E0665" w:rsidRDefault="000E0665">
      <w:pPr>
        <w:pStyle w:val="FootnoteText"/>
      </w:pPr>
      <w:r>
        <w:rPr>
          <w:rStyle w:val="FootnoteReference"/>
        </w:rPr>
        <w:footnoteRef/>
      </w:r>
      <w:r>
        <w:t xml:space="preserve"> Ibid.</w:t>
      </w:r>
    </w:p>
  </w:footnote>
  <w:footnote w:id="18">
    <w:p w14:paraId="26128A28" w14:textId="42C16819" w:rsidR="000E0665" w:rsidRPr="000E0665" w:rsidRDefault="000E0665">
      <w:pPr>
        <w:pStyle w:val="FootnoteText"/>
      </w:pPr>
      <w:r>
        <w:rPr>
          <w:rStyle w:val="FootnoteReference"/>
        </w:rPr>
        <w:footnoteRef/>
      </w:r>
      <w:r>
        <w:t xml:space="preserve"> Marc Morris, </w:t>
      </w:r>
      <w:r>
        <w:rPr>
          <w:i/>
          <w:iCs/>
        </w:rPr>
        <w:t>The Norman Conquest</w:t>
      </w:r>
      <w:r>
        <w:t>, pp. 214-215.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3E62BF" w14:textId="733ECF03" w:rsidR="007707D4" w:rsidRDefault="007707D4">
    <w:pPr>
      <w:pStyle w:val="Header"/>
    </w:pPr>
    <w:r>
      <w:t>Chris Guy</w:t>
    </w:r>
    <w:r>
      <w:tab/>
    </w:r>
    <w:r w:rsidR="002904EA" w:rsidRPr="002904EA">
      <w:rPr>
        <w:b/>
        <w:bCs/>
      </w:rPr>
      <w:t>Identity and Myth: the Normans and their World</w:t>
    </w:r>
    <w:r w:rsidR="002904EA">
      <w:rPr>
        <w:b/>
        <w:bCs/>
      </w:rPr>
      <w:t xml:space="preserve">    </w:t>
    </w:r>
    <w:r w:rsidRPr="003D3692">
      <w:tab/>
    </w:r>
    <w:r w:rsidR="002B0E79">
      <w:t>22/03/2026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C6B"/>
    <w:rsid w:val="00002AED"/>
    <w:rsid w:val="00036EFB"/>
    <w:rsid w:val="00050B6A"/>
    <w:rsid w:val="00065D08"/>
    <w:rsid w:val="000C039A"/>
    <w:rsid w:val="000E0665"/>
    <w:rsid w:val="00101838"/>
    <w:rsid w:val="00102C51"/>
    <w:rsid w:val="00124FEC"/>
    <w:rsid w:val="00130E82"/>
    <w:rsid w:val="00154892"/>
    <w:rsid w:val="001B3217"/>
    <w:rsid w:val="001E18C1"/>
    <w:rsid w:val="002904EA"/>
    <w:rsid w:val="00291A5C"/>
    <w:rsid w:val="002B0E79"/>
    <w:rsid w:val="003242CA"/>
    <w:rsid w:val="0035538F"/>
    <w:rsid w:val="00443C6B"/>
    <w:rsid w:val="0045044B"/>
    <w:rsid w:val="004D5038"/>
    <w:rsid w:val="005173CB"/>
    <w:rsid w:val="00585772"/>
    <w:rsid w:val="00591717"/>
    <w:rsid w:val="005D0105"/>
    <w:rsid w:val="006248DE"/>
    <w:rsid w:val="0062702D"/>
    <w:rsid w:val="0067079D"/>
    <w:rsid w:val="007663EA"/>
    <w:rsid w:val="007707D4"/>
    <w:rsid w:val="007969D5"/>
    <w:rsid w:val="00867A58"/>
    <w:rsid w:val="00876506"/>
    <w:rsid w:val="00893184"/>
    <w:rsid w:val="00896101"/>
    <w:rsid w:val="00897731"/>
    <w:rsid w:val="008B29A7"/>
    <w:rsid w:val="008E1680"/>
    <w:rsid w:val="008E5FDC"/>
    <w:rsid w:val="009C050D"/>
    <w:rsid w:val="00A30097"/>
    <w:rsid w:val="00A53035"/>
    <w:rsid w:val="00A7767C"/>
    <w:rsid w:val="00AC136F"/>
    <w:rsid w:val="00C1346F"/>
    <w:rsid w:val="00C21588"/>
    <w:rsid w:val="00C64523"/>
    <w:rsid w:val="00D02EE7"/>
    <w:rsid w:val="00D154F1"/>
    <w:rsid w:val="00D77623"/>
    <w:rsid w:val="00D807FF"/>
    <w:rsid w:val="00D96A4F"/>
    <w:rsid w:val="00E532FC"/>
    <w:rsid w:val="00F2497D"/>
    <w:rsid w:val="00F343E8"/>
    <w:rsid w:val="00F65208"/>
    <w:rsid w:val="00F663A2"/>
    <w:rsid w:val="00F9291D"/>
    <w:rsid w:val="00FA0C9B"/>
    <w:rsid w:val="00FE2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761C41"/>
  <w15:chartTrackingRefBased/>
  <w15:docId w15:val="{B97984E7-22A3-43AA-9FA9-E6FEC9888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C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3C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3C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3C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3C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3C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3C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3C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3C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C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3C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3C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3C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3C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3C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3C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3C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3C6B"/>
    <w:rPr>
      <w:rFonts w:eastAsiaTheme="majorEastAsia" w:cstheme="majorBidi"/>
      <w:color w:val="272727" w:themeColor="text1" w:themeTint="D8"/>
    </w:rPr>
  </w:style>
  <w:style w:type="paragraph" w:styleId="Title">
    <w:name w:val="Title"/>
    <w:basedOn w:val="Normal"/>
    <w:next w:val="Normal"/>
    <w:link w:val="TitleChar"/>
    <w:uiPriority w:val="10"/>
    <w:qFormat/>
    <w:rsid w:val="00443C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3C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3C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3C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3C6B"/>
    <w:pPr>
      <w:spacing w:before="160"/>
      <w:jc w:val="center"/>
    </w:pPr>
    <w:rPr>
      <w:i/>
      <w:iCs/>
      <w:color w:val="404040" w:themeColor="text1" w:themeTint="BF"/>
    </w:rPr>
  </w:style>
  <w:style w:type="character" w:customStyle="1" w:styleId="QuoteChar">
    <w:name w:val="Quote Char"/>
    <w:basedOn w:val="DefaultParagraphFont"/>
    <w:link w:val="Quote"/>
    <w:uiPriority w:val="29"/>
    <w:rsid w:val="00443C6B"/>
    <w:rPr>
      <w:i/>
      <w:iCs/>
      <w:color w:val="404040" w:themeColor="text1" w:themeTint="BF"/>
    </w:rPr>
  </w:style>
  <w:style w:type="paragraph" w:styleId="ListParagraph">
    <w:name w:val="List Paragraph"/>
    <w:basedOn w:val="Normal"/>
    <w:uiPriority w:val="34"/>
    <w:qFormat/>
    <w:rsid w:val="00443C6B"/>
    <w:pPr>
      <w:ind w:left="720"/>
      <w:contextualSpacing/>
    </w:pPr>
  </w:style>
  <w:style w:type="character" w:styleId="IntenseEmphasis">
    <w:name w:val="Intense Emphasis"/>
    <w:basedOn w:val="DefaultParagraphFont"/>
    <w:uiPriority w:val="21"/>
    <w:qFormat/>
    <w:rsid w:val="00443C6B"/>
    <w:rPr>
      <w:i/>
      <w:iCs/>
      <w:color w:val="0F4761" w:themeColor="accent1" w:themeShade="BF"/>
    </w:rPr>
  </w:style>
  <w:style w:type="paragraph" w:styleId="IntenseQuote">
    <w:name w:val="Intense Quote"/>
    <w:basedOn w:val="Normal"/>
    <w:next w:val="Normal"/>
    <w:link w:val="IntenseQuoteChar"/>
    <w:uiPriority w:val="30"/>
    <w:qFormat/>
    <w:rsid w:val="00443C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3C6B"/>
    <w:rPr>
      <w:i/>
      <w:iCs/>
      <w:color w:val="0F4761" w:themeColor="accent1" w:themeShade="BF"/>
    </w:rPr>
  </w:style>
  <w:style w:type="character" w:styleId="IntenseReference">
    <w:name w:val="Intense Reference"/>
    <w:basedOn w:val="DefaultParagraphFont"/>
    <w:uiPriority w:val="32"/>
    <w:qFormat/>
    <w:rsid w:val="00443C6B"/>
    <w:rPr>
      <w:b/>
      <w:bCs/>
      <w:smallCaps/>
      <w:color w:val="0F4761" w:themeColor="accent1" w:themeShade="BF"/>
      <w:spacing w:val="5"/>
    </w:rPr>
  </w:style>
  <w:style w:type="character" w:styleId="CommentReference">
    <w:name w:val="annotation reference"/>
    <w:basedOn w:val="DefaultParagraphFont"/>
    <w:uiPriority w:val="99"/>
    <w:semiHidden/>
    <w:unhideWhenUsed/>
    <w:rsid w:val="00D77623"/>
    <w:rPr>
      <w:sz w:val="16"/>
      <w:szCs w:val="16"/>
    </w:rPr>
  </w:style>
  <w:style w:type="paragraph" w:styleId="CommentText">
    <w:name w:val="annotation text"/>
    <w:basedOn w:val="Normal"/>
    <w:link w:val="CommentTextChar"/>
    <w:uiPriority w:val="99"/>
    <w:unhideWhenUsed/>
    <w:rsid w:val="00D77623"/>
    <w:pPr>
      <w:spacing w:line="240" w:lineRule="auto"/>
    </w:pPr>
    <w:rPr>
      <w:sz w:val="20"/>
      <w:szCs w:val="20"/>
    </w:rPr>
  </w:style>
  <w:style w:type="character" w:customStyle="1" w:styleId="CommentTextChar">
    <w:name w:val="Comment Text Char"/>
    <w:basedOn w:val="DefaultParagraphFont"/>
    <w:link w:val="CommentText"/>
    <w:uiPriority w:val="99"/>
    <w:rsid w:val="00D77623"/>
    <w:rPr>
      <w:sz w:val="20"/>
      <w:szCs w:val="20"/>
    </w:rPr>
  </w:style>
  <w:style w:type="paragraph" w:styleId="CommentSubject">
    <w:name w:val="annotation subject"/>
    <w:basedOn w:val="CommentText"/>
    <w:next w:val="CommentText"/>
    <w:link w:val="CommentSubjectChar"/>
    <w:uiPriority w:val="99"/>
    <w:semiHidden/>
    <w:unhideWhenUsed/>
    <w:rsid w:val="00D77623"/>
    <w:rPr>
      <w:b/>
      <w:bCs/>
    </w:rPr>
  </w:style>
  <w:style w:type="character" w:customStyle="1" w:styleId="CommentSubjectChar">
    <w:name w:val="Comment Subject Char"/>
    <w:basedOn w:val="CommentTextChar"/>
    <w:link w:val="CommentSubject"/>
    <w:uiPriority w:val="99"/>
    <w:semiHidden/>
    <w:rsid w:val="00D77623"/>
    <w:rPr>
      <w:b/>
      <w:bCs/>
      <w:sz w:val="20"/>
      <w:szCs w:val="20"/>
    </w:rPr>
  </w:style>
  <w:style w:type="paragraph" w:styleId="Revision">
    <w:name w:val="Revision"/>
    <w:hidden/>
    <w:uiPriority w:val="99"/>
    <w:semiHidden/>
    <w:rsid w:val="00124FEC"/>
    <w:pPr>
      <w:spacing w:after="0" w:line="240" w:lineRule="auto"/>
    </w:pPr>
  </w:style>
  <w:style w:type="paragraph" w:styleId="FootnoteText">
    <w:name w:val="footnote text"/>
    <w:basedOn w:val="Normal"/>
    <w:link w:val="FootnoteTextChar"/>
    <w:uiPriority w:val="99"/>
    <w:semiHidden/>
    <w:unhideWhenUsed/>
    <w:rsid w:val="00D807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07FF"/>
    <w:rPr>
      <w:sz w:val="20"/>
      <w:szCs w:val="20"/>
    </w:rPr>
  </w:style>
  <w:style w:type="character" w:styleId="FootnoteReference">
    <w:name w:val="footnote reference"/>
    <w:basedOn w:val="DefaultParagraphFont"/>
    <w:uiPriority w:val="99"/>
    <w:semiHidden/>
    <w:unhideWhenUsed/>
    <w:rsid w:val="00D807FF"/>
    <w:rPr>
      <w:vertAlign w:val="superscript"/>
    </w:rPr>
  </w:style>
  <w:style w:type="character" w:styleId="Hyperlink">
    <w:name w:val="Hyperlink"/>
    <w:basedOn w:val="DefaultParagraphFont"/>
    <w:uiPriority w:val="99"/>
    <w:unhideWhenUsed/>
    <w:rsid w:val="006248DE"/>
    <w:rPr>
      <w:color w:val="467886" w:themeColor="hyperlink"/>
      <w:u w:val="single"/>
    </w:rPr>
  </w:style>
  <w:style w:type="character" w:styleId="UnresolvedMention">
    <w:name w:val="Unresolved Mention"/>
    <w:basedOn w:val="DefaultParagraphFont"/>
    <w:uiPriority w:val="99"/>
    <w:semiHidden/>
    <w:unhideWhenUsed/>
    <w:rsid w:val="006248DE"/>
    <w:rPr>
      <w:color w:val="605E5C"/>
      <w:shd w:val="clear" w:color="auto" w:fill="E1DFDD"/>
    </w:rPr>
  </w:style>
  <w:style w:type="paragraph" w:styleId="Header">
    <w:name w:val="header"/>
    <w:basedOn w:val="Normal"/>
    <w:link w:val="HeaderChar"/>
    <w:uiPriority w:val="99"/>
    <w:unhideWhenUsed/>
    <w:rsid w:val="007707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7D4"/>
  </w:style>
  <w:style w:type="paragraph" w:styleId="Footer">
    <w:name w:val="footer"/>
    <w:basedOn w:val="Normal"/>
    <w:link w:val="FooterChar"/>
    <w:uiPriority w:val="99"/>
    <w:unhideWhenUsed/>
    <w:rsid w:val="007707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7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dd0f7c240aabd4f08330554573b14731">
  <xsd:schema xmlns:xsd="http://www.w3.org/2001/XMLSchema" xmlns:xs="http://www.w3.org/2001/XMLSchema" xmlns:p="http://schemas.microsoft.com/office/2006/metadata/properties" xmlns:ns3="bf244c3e-e0b4-4871-bb4e-fd032a14544d" targetNamespace="http://schemas.microsoft.com/office/2006/metadata/properties" ma:root="true" ma:fieldsID="d1012e7cbc9b79f1ac06ccd81a1bf5c6"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B1D2AF-79B8-4398-8C20-6BBFA9184BA6}">
  <ds:schemaRefs>
    <ds:schemaRef ds:uri="http://schemas.openxmlformats.org/officeDocument/2006/bibliography"/>
  </ds:schemaRefs>
</ds:datastoreItem>
</file>

<file path=customXml/itemProps2.xml><?xml version="1.0" encoding="utf-8"?>
<ds:datastoreItem xmlns:ds="http://schemas.openxmlformats.org/officeDocument/2006/customXml" ds:itemID="{26A5AADF-9417-44C6-A4BC-742961341EF8}">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C0E44926-DAE2-44FA-926E-E877215BE449}">
  <ds:schemaRefs>
    <ds:schemaRef ds:uri="http://schemas.microsoft.com/sharepoint/v3/contenttype/forms"/>
  </ds:schemaRefs>
</ds:datastoreItem>
</file>

<file path=customXml/itemProps4.xml><?xml version="1.0" encoding="utf-8"?>
<ds:datastoreItem xmlns:ds="http://schemas.openxmlformats.org/officeDocument/2006/customXml" ds:itemID="{C96264D1-F210-44AC-BEF0-9BDE4747D6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1501</Words>
  <Characters>8286</Characters>
  <Application>Microsoft Office Word</Application>
  <DocSecurity>0</DocSecurity>
  <Lines>142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5</cp:revision>
  <dcterms:created xsi:type="dcterms:W3CDTF">2026-03-22T19:19:00Z</dcterms:created>
  <dcterms:modified xsi:type="dcterms:W3CDTF">2026-03-22T19:24:00Z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