
<file path=[Content_Types].xml><?xml version="1.0" encoding="utf-8"?>
<Types xmlns="http://schemas.openxmlformats.org/package/2006/content-types">
  <Default Extension="png" ContentType="image/png"/>
  <Default Extension="jpeg" ContentType="image/jpeg"/>
  <Default Extension="jpg" ContentType="image/jpeg"/>
  <Default Extension="bmp" ContentType="image/bmp"/>
  <Default Extension="gif" ContentType="image/gif"/>
  <Default Extension="svg" ContentType="image/svg+xml"/>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sdt>
      <w:sdtPr>
        <w:id w:val="1571319786"/>
        <w:alias w:val="Table of Contents"/>
        <w:placeholder>
          <w:docPart w:val="DefaultPlaceholder_1081868574"/>
        </w:placeholder>
      </w:sdtPr>
      <w:sdtContent>
        <w:p xmlns:wp14="http://schemas.microsoft.com/office/word/2010/wordml" w14:paraId="32A53F17" wp14:textId="7771379D">
          <w:r w:rsidR="5BB50C5A">
            <w:rPr/>
            <w:t>Problem Solving and Decision Making</w:t>
          </w:r>
        </w:p>
        <w:p w:rsidR="0E41A0C6" w:rsidRDefault="0E41A0C6" w14:paraId="22F04497" w14:textId="4687B3DC">
          <w:r w:rsidR="0E41A0C6">
            <w:rPr/>
            <w:t xml:space="preserve">Cpmponent 2 </w:t>
          </w:r>
        </w:p>
        <w:p w:rsidR="0E41A0C6" w:rsidP="59C001F6" w:rsidRDefault="0E41A0C6" w14:paraId="125CB330" w14:textId="2CAEAA67">
          <w:pPr>
            <w:pStyle w:val="Subtitle"/>
          </w:pPr>
          <w:r w:rsidRPr="59C001F6" w:rsidR="0E41A0C6">
            <w:rPr>
              <w:lang w:val="en-GB"/>
            </w:rPr>
            <w:t xml:space="preserve">Module Code: LCLM 4004 </w:t>
          </w:r>
        </w:p>
        <w:p w:rsidR="0E41A0C6" w:rsidP="59C001F6" w:rsidRDefault="0E41A0C6" w14:paraId="755B5711" w14:textId="4244A81E">
          <w:pPr>
            <w:pStyle w:val="Subtitle"/>
          </w:pPr>
          <w:r w:rsidRPr="59C001F6" w:rsidR="0E41A0C6">
            <w:rPr>
              <w:lang w:val="en-GB"/>
            </w:rPr>
            <w:t xml:space="preserve"> Student Name: Alessandro Zarafu </w:t>
          </w:r>
        </w:p>
        <w:p w:rsidR="0E41A0C6" w:rsidP="59C001F6" w:rsidRDefault="0E41A0C6" w14:paraId="6FD19E27" w14:textId="3166E65A">
          <w:pPr>
            <w:pStyle w:val="Subtitle"/>
          </w:pPr>
          <w:r w:rsidRPr="59C001F6" w:rsidR="0E41A0C6">
            <w:rPr>
              <w:lang w:val="en-GB"/>
            </w:rPr>
            <w:t xml:space="preserve">Student Number: 2529421 </w:t>
          </w:r>
        </w:p>
        <w:p w:rsidR="0E41A0C6" w:rsidP="59C001F6" w:rsidRDefault="0E41A0C6" w14:paraId="51B0A385" w14:textId="34D32E69">
          <w:pPr>
            <w:pStyle w:val="Subtitle"/>
            <w:rPr>
              <w:rFonts w:ascii="Segoe UI" w:hAnsi="Segoe UI" w:eastAsia="Segoe UI" w:cs="Segoe UI"/>
              <w:b w:val="0"/>
              <w:bCs w:val="0"/>
              <w:i w:val="0"/>
              <w:iCs w:val="0"/>
              <w:caps w:val="0"/>
              <w:smallCaps w:val="0"/>
              <w:noProof w:val="0"/>
              <w:color w:val="1D2125"/>
              <w:lang w:val="en-GB"/>
            </w:rPr>
          </w:pPr>
          <w:r w:rsidRPr="59C001F6" w:rsidR="0E41A0C6">
            <w:rPr>
              <w:lang w:val="en-GB"/>
            </w:rPr>
            <w:t xml:space="preserve"> Lecturer’s Name: Deji Olagboye</w:t>
          </w:r>
        </w:p>
        <w:p w:rsidR="59C001F6" w:rsidRDefault="59C001F6" w14:paraId="335EBB0F" w14:textId="354CC3C7">
          <w:r>
            <w:fldChar w:fldCharType="begin" w:dirty="true"/>
          </w:r>
          <w:r>
            <w:instrText xml:space="preserve">TOC \h \o "1-3"</w:instrText>
          </w:r>
          <w:r>
            <w:fldChar w:fldCharType="separate"/>
          </w:r>
        </w:p>
        <w:p xmlns:wp14="http://schemas.microsoft.com/office/word/2010/wordml" w:rsidP="59C001F6" w14:paraId="41D7F299" wp14:textId="35499C90">
          <w:pPr/>
          <w:r>
            <w:fldChar w:fldCharType="end"/>
          </w:r>
        </w:p>
      </w:sdtContent>
    </w:sdt>
    <w:p xmlns:wp14="http://schemas.microsoft.com/office/word/2010/wordml" w14:paraId="01099A7D" wp14:textId="094E5A03">
      <w:pPr>
        <w:pStyle w:val="Heading1"/>
      </w:pPr>
      <w:r w:rsidRPr="59C001F6" w:rsidR="0CFE3DAE">
        <w:rPr>
          <w:rFonts w:ascii="system-ui" w:hAnsi="system-ui" w:eastAsia="system-ui" w:cs="system-ui"/>
          <w:b w:val="0"/>
          <w:bCs w:val="0"/>
          <w:i w:val="0"/>
          <w:iCs w:val="0"/>
          <w:caps w:val="0"/>
          <w:smallCaps w:val="0"/>
          <w:color w:val="000000"/>
          <w:sz w:val="25"/>
          <w:szCs w:val="25"/>
          <w:lang w:val="en-GB"/>
        </w:rPr>
        <w:t xml:space="preserve">Task 1: Overview of Case-study Basil’s Bakery is a small city bakery seeing </w:t>
      </w:r>
      <w:r w:rsidRPr="59C001F6" w:rsidR="0CFE3DAE">
        <w:rPr>
          <w:rFonts w:ascii="system-ui" w:hAnsi="system-ui" w:eastAsia="system-ui" w:cs="system-ui"/>
          <w:b w:val="0"/>
          <w:bCs w:val="0"/>
          <w:i w:val="0"/>
          <w:iCs w:val="0"/>
          <w:caps w:val="0"/>
          <w:smallCaps w:val="0"/>
          <w:color w:val="000000"/>
          <w:sz w:val="25"/>
          <w:szCs w:val="25"/>
          <w:lang w:val="en-GB"/>
        </w:rPr>
        <w:t>less</w:t>
      </w:r>
      <w:r w:rsidRPr="59C001F6" w:rsidR="0CFE3DAE">
        <w:rPr>
          <w:rFonts w:ascii="system-ui" w:hAnsi="system-ui" w:eastAsia="system-ui" w:cs="system-ui"/>
          <w:b w:val="0"/>
          <w:bCs w:val="0"/>
          <w:i w:val="0"/>
          <w:iCs w:val="0"/>
          <w:caps w:val="0"/>
          <w:smallCaps w:val="0"/>
          <w:color w:val="000000"/>
          <w:sz w:val="25"/>
          <w:szCs w:val="25"/>
          <w:lang w:val="en-GB"/>
        </w:rPr>
        <w:t xml:space="preserve"> repeat sales, but also more customer complaints, mostly around unclear product information and service that feels inconsistent. The main issue </w:t>
      </w:r>
      <w:r w:rsidRPr="59C001F6" w:rsidR="0CFE3DAE">
        <w:rPr>
          <w:rFonts w:ascii="system-ui" w:hAnsi="system-ui" w:eastAsia="system-ui" w:cs="system-ui"/>
          <w:b w:val="0"/>
          <w:bCs w:val="0"/>
          <w:i w:val="0"/>
          <w:iCs w:val="0"/>
          <w:caps w:val="0"/>
          <w:smallCaps w:val="0"/>
          <w:color w:val="000000"/>
          <w:sz w:val="25"/>
          <w:szCs w:val="25"/>
          <w:lang w:val="en-GB"/>
        </w:rPr>
        <w:t>seems to be</w:t>
      </w:r>
      <w:r w:rsidRPr="59C001F6" w:rsidR="0CFE3DAE">
        <w:rPr>
          <w:rFonts w:ascii="system-ui" w:hAnsi="system-ui" w:eastAsia="system-ui" w:cs="system-ui"/>
          <w:b w:val="0"/>
          <w:bCs w:val="0"/>
          <w:i w:val="0"/>
          <w:iCs w:val="0"/>
          <w:caps w:val="0"/>
          <w:smallCaps w:val="0"/>
          <w:color w:val="000000"/>
          <w:sz w:val="25"/>
          <w:szCs w:val="25"/>
          <w:lang w:val="en-GB"/>
        </w:rPr>
        <w:t xml:space="preserve"> </w:t>
      </w:r>
      <w:r w:rsidRPr="59C001F6" w:rsidR="0CFE3DAE">
        <w:rPr>
          <w:rFonts w:ascii="system-ui" w:hAnsi="system-ui" w:eastAsia="system-ui" w:cs="system-ui"/>
          <w:b w:val="0"/>
          <w:bCs w:val="0"/>
          <w:i w:val="0"/>
          <w:iCs w:val="0"/>
          <w:caps w:val="0"/>
          <w:smallCaps w:val="0"/>
          <w:color w:val="000000"/>
          <w:sz w:val="25"/>
          <w:szCs w:val="25"/>
          <w:lang w:val="en-GB"/>
        </w:rPr>
        <w:t>pretty simple</w:t>
      </w:r>
      <w:r w:rsidRPr="59C001F6" w:rsidR="0CFE3DAE">
        <w:rPr>
          <w:rFonts w:ascii="system-ui" w:hAnsi="system-ui" w:eastAsia="system-ui" w:cs="system-ui"/>
          <w:b w:val="0"/>
          <w:bCs w:val="0"/>
          <w:i w:val="0"/>
          <w:iCs w:val="0"/>
          <w:caps w:val="0"/>
          <w:smallCaps w:val="0"/>
          <w:color w:val="000000"/>
          <w:sz w:val="25"/>
          <w:szCs w:val="25"/>
          <w:lang w:val="en-GB"/>
        </w:rPr>
        <w:t xml:space="preserve">, weak operational knowledge at the point of sale. </w:t>
      </w:r>
      <w:r w:rsidRPr="59C001F6" w:rsidR="0CFE3DAE">
        <w:rPr>
          <w:rFonts w:ascii="system-ui" w:hAnsi="system-ui" w:eastAsia="system-ui" w:cs="system-ui"/>
          <w:b w:val="0"/>
          <w:bCs w:val="0"/>
          <w:i w:val="0"/>
          <w:iCs w:val="0"/>
          <w:caps w:val="0"/>
          <w:smallCaps w:val="0"/>
          <w:color w:val="000000"/>
          <w:sz w:val="25"/>
          <w:szCs w:val="25"/>
          <w:lang w:val="en-GB"/>
        </w:rPr>
        <w:t>Basically</w:t>
      </w:r>
      <w:r w:rsidRPr="59C001F6" w:rsidR="0CFE3DAE">
        <w:rPr>
          <w:rFonts w:ascii="system-ui" w:hAnsi="system-ui" w:eastAsia="system-ui" w:cs="system-ui"/>
          <w:b w:val="0"/>
          <w:bCs w:val="0"/>
          <w:i w:val="0"/>
          <w:iCs w:val="0"/>
          <w:caps w:val="0"/>
          <w:smallCaps w:val="0"/>
          <w:color w:val="000000"/>
          <w:sz w:val="25"/>
          <w:szCs w:val="25"/>
          <w:lang w:val="en-GB"/>
        </w:rPr>
        <w:t xml:space="preserve"> the staff </w:t>
      </w:r>
      <w:r w:rsidRPr="59C001F6" w:rsidR="0CFE3DAE">
        <w:rPr>
          <w:rFonts w:ascii="system-ui" w:hAnsi="system-ui" w:eastAsia="system-ui" w:cs="system-ui"/>
          <w:b w:val="0"/>
          <w:bCs w:val="0"/>
          <w:i w:val="0"/>
          <w:iCs w:val="0"/>
          <w:caps w:val="0"/>
          <w:smallCaps w:val="0"/>
          <w:color w:val="000000"/>
          <w:sz w:val="25"/>
          <w:szCs w:val="25"/>
          <w:lang w:val="en-GB"/>
        </w:rPr>
        <w:t>can’t</w:t>
      </w:r>
      <w:r w:rsidRPr="59C001F6" w:rsidR="0CFE3DAE">
        <w:rPr>
          <w:rFonts w:ascii="system-ui" w:hAnsi="system-ui" w:eastAsia="system-ui" w:cs="system-ui"/>
          <w:b w:val="0"/>
          <w:bCs w:val="0"/>
          <w:i w:val="0"/>
          <w:iCs w:val="0"/>
          <w:caps w:val="0"/>
          <w:smallCaps w:val="0"/>
          <w:color w:val="000000"/>
          <w:sz w:val="25"/>
          <w:szCs w:val="25"/>
          <w:lang w:val="en-GB"/>
        </w:rPr>
        <w:t xml:space="preserve"> always answer ingredient or allergen questions in a reliable way, and that turns into lost trust fast, plus the negative word of mouth. There are a few </w:t>
      </w:r>
      <w:r w:rsidRPr="59C001F6" w:rsidR="0CFE3DAE">
        <w:rPr>
          <w:rFonts w:ascii="system-ui" w:hAnsi="system-ui" w:eastAsia="system-ui" w:cs="system-ui"/>
          <w:b w:val="0"/>
          <w:bCs w:val="0"/>
          <w:i w:val="0"/>
          <w:iCs w:val="0"/>
          <w:caps w:val="0"/>
          <w:smallCaps w:val="0"/>
          <w:color w:val="000000"/>
          <w:sz w:val="25"/>
          <w:szCs w:val="25"/>
          <w:lang w:val="en-GB"/>
        </w:rPr>
        <w:t>side</w:t>
      </w:r>
      <w:r w:rsidRPr="59C001F6" w:rsidR="0CFE3DAE">
        <w:rPr>
          <w:rFonts w:ascii="system-ui" w:hAnsi="system-ui" w:eastAsia="system-ui" w:cs="system-ui"/>
          <w:b w:val="0"/>
          <w:bCs w:val="0"/>
          <w:i w:val="0"/>
          <w:iCs w:val="0"/>
          <w:caps w:val="0"/>
          <w:smallCaps w:val="0"/>
          <w:color w:val="000000"/>
          <w:sz w:val="25"/>
          <w:szCs w:val="25"/>
          <w:lang w:val="en-GB"/>
        </w:rPr>
        <w:t xml:space="preserve"> causes too, like not enough staff training, product information that </w:t>
      </w:r>
      <w:r w:rsidRPr="59C001F6" w:rsidR="0CFE3DAE">
        <w:rPr>
          <w:rFonts w:ascii="system-ui" w:hAnsi="system-ui" w:eastAsia="system-ui" w:cs="system-ui"/>
          <w:b w:val="0"/>
          <w:bCs w:val="0"/>
          <w:i w:val="0"/>
          <w:iCs w:val="0"/>
          <w:caps w:val="0"/>
          <w:smallCaps w:val="0"/>
          <w:color w:val="000000"/>
          <w:sz w:val="25"/>
          <w:szCs w:val="25"/>
          <w:lang w:val="en-GB"/>
        </w:rPr>
        <w:t>isn’t</w:t>
      </w:r>
      <w:r w:rsidRPr="59C001F6" w:rsidR="0CFE3DAE">
        <w:rPr>
          <w:rFonts w:ascii="system-ui" w:hAnsi="system-ui" w:eastAsia="system-ui" w:cs="system-ui"/>
          <w:b w:val="0"/>
          <w:bCs w:val="0"/>
          <w:i w:val="0"/>
          <w:iCs w:val="0"/>
          <w:caps w:val="0"/>
          <w:smallCaps w:val="0"/>
          <w:color w:val="000000"/>
          <w:sz w:val="25"/>
          <w:szCs w:val="25"/>
          <w:lang w:val="en-GB"/>
        </w:rPr>
        <w:t xml:space="preserve"> standardised, and </w:t>
      </w:r>
      <w:r w:rsidRPr="59C001F6" w:rsidR="0CFE3DAE">
        <w:rPr>
          <w:rFonts w:ascii="system-ui" w:hAnsi="system-ui" w:eastAsia="system-ui" w:cs="system-ui"/>
          <w:b w:val="0"/>
          <w:bCs w:val="0"/>
          <w:i w:val="0"/>
          <w:iCs w:val="0"/>
          <w:caps w:val="0"/>
          <w:smallCaps w:val="0"/>
          <w:color w:val="000000"/>
          <w:sz w:val="25"/>
          <w:szCs w:val="25"/>
          <w:lang w:val="en-GB"/>
        </w:rPr>
        <w:t>labeling</w:t>
      </w:r>
      <w:r w:rsidRPr="59C001F6" w:rsidR="0CFE3DAE">
        <w:rPr>
          <w:rFonts w:ascii="system-ui" w:hAnsi="system-ui" w:eastAsia="system-ui" w:cs="system-ui"/>
          <w:b w:val="0"/>
          <w:bCs w:val="0"/>
          <w:i w:val="0"/>
          <w:iCs w:val="0"/>
          <w:caps w:val="0"/>
          <w:smallCaps w:val="0"/>
          <w:color w:val="000000"/>
          <w:sz w:val="25"/>
          <w:szCs w:val="25"/>
          <w:lang w:val="en-GB"/>
        </w:rPr>
        <w:t xml:space="preserve"> updates done in a sort of ad</w:t>
      </w:r>
      <w:r>
        <w:noBreakHyphen/>
      </w:r>
      <w:r w:rsidRPr="59C001F6" w:rsidR="0CFE3DAE">
        <w:rPr>
          <w:rFonts w:ascii="system-ui" w:hAnsi="system-ui" w:eastAsia="system-ui" w:cs="system-ui"/>
          <w:b w:val="0"/>
          <w:bCs w:val="0"/>
          <w:i w:val="0"/>
          <w:iCs w:val="0"/>
          <w:caps w:val="0"/>
          <w:smallCaps w:val="0"/>
          <w:color w:val="000000"/>
          <w:sz w:val="25"/>
          <w:szCs w:val="25"/>
          <w:lang w:val="en-GB"/>
        </w:rPr>
        <w:t xml:space="preserve">hoc manner. On top of that, they use limited data, and scheduling is reactive, which makes the inconsistency keep happening. The bakery needs a solution that improves service reliability compliance and customer confidence, while not messing with the everyday production flow. </w:t>
      </w:r>
    </w:p>
    <w:p xmlns:wp14="http://schemas.microsoft.com/office/word/2010/wordml" w:rsidP="59C001F6" w14:paraId="40D0542C" wp14:textId="5F688955">
      <w:pPr>
        <w:pStyle w:val="Heading1"/>
        <w:rPr>
          <w:lang w:val="en-GB"/>
        </w:rPr>
      </w:pPr>
      <w:r w:rsidRPr="59C001F6" w:rsidR="0CFE3DAE">
        <w:rPr>
          <w:rFonts w:ascii="system-ui" w:hAnsi="system-ui" w:eastAsia="system-ui" w:cs="system-ui"/>
          <w:b w:val="0"/>
          <w:bCs w:val="0"/>
          <w:i w:val="0"/>
          <w:iCs w:val="0"/>
          <w:caps w:val="0"/>
          <w:smallCaps w:val="0"/>
          <w:color w:val="000000"/>
          <w:sz w:val="25"/>
          <w:szCs w:val="25"/>
          <w:lang w:val="en-GB"/>
        </w:rPr>
        <w:t>Task 2: Two Proposed Solutions Solution A Proposal — Staff Training Programme Create a structured in person staff training programme that concentrates on product knowledge, like ingredients and allergens, plus service scripts, and proper complaint handling. The training contains a short pre training diagnostic, then a 3 hour workshop, followed by job aids such as counter cards and FAQ sheets. After that there’s a post training assessment to check what stuck. The expected outcome is pretty direct, fewer wrong answers at the counter, higher customer confidence, and responses that are consistent across staff. That should bring back trust, and indirectly help repeat sales. This approach uses existing managers as facilitators, so the cost stays lower. It can also be repeated for new hires to keep the capability alive over time. Solution B Proposal — Digital Product Information System Put in place a lightweight digital product information system. This system would include a shared database with version control, so the ingredient and allergen data is consistent and updateable. That database would feed the printed labels, and also support a tablet based counter lookup. In practice, it helps standardise and update the ingredient/allergen facts in close to real time, which reduces human error. Staff could search products quickly during customer questions, and the labels can auto generate to match compliance requirements. This option does require some initial setup and integration work, which might take a bit more effort at first, but it should reduce drift over time.</w:t>
      </w:r>
    </w:p>
    <w:p xmlns:wp14="http://schemas.microsoft.com/office/word/2010/wordml" w14:paraId="5D872F36" wp14:textId="7FE37CC0">
      <w:pPr>
        <w:pStyle w:val="Heading1"/>
      </w:pPr>
      <w:r w:rsidRPr="59C001F6" w:rsidR="1FE241F2">
        <w:rPr>
          <w:rFonts w:ascii="system-ui" w:hAnsi="system-ui" w:eastAsia="system-ui" w:cs="system-ui"/>
          <w:b w:val="0"/>
          <w:bCs w:val="0"/>
          <w:i w:val="0"/>
          <w:iCs w:val="0"/>
          <w:caps w:val="0"/>
          <w:smallCaps w:val="0"/>
          <w:color w:val="000000"/>
          <w:sz w:val="25"/>
          <w:szCs w:val="25"/>
          <w:lang w:val="en-GB"/>
        </w:rPr>
        <w:t>Task 3b</w:t>
      </w:r>
      <w:r w:rsidRPr="59C001F6" w:rsidR="7439FED2">
        <w:rPr>
          <w:rFonts w:ascii="system-ui" w:hAnsi="system-ui" w:eastAsia="system-ui" w:cs="system-ui"/>
          <w:b w:val="0"/>
          <w:bCs w:val="0"/>
          <w:i w:val="0"/>
          <w:iCs w:val="0"/>
          <w:caps w:val="0"/>
          <w:smallCaps w:val="0"/>
          <w:color w:val="000000"/>
          <w:sz w:val="25"/>
          <w:szCs w:val="25"/>
          <w:lang w:val="en-GB"/>
        </w:rPr>
        <w:t xml:space="preserve">: </w:t>
      </w:r>
      <w:r w:rsidRPr="59C001F6" w:rsidR="1FE241F2">
        <w:rPr>
          <w:rFonts w:ascii="system-ui" w:hAnsi="system-ui" w:eastAsia="system-ui" w:cs="system-ui"/>
          <w:b w:val="0"/>
          <w:bCs w:val="0"/>
          <w:i w:val="0"/>
          <w:iCs w:val="0"/>
          <w:caps w:val="0"/>
          <w:smallCaps w:val="0"/>
          <w:color w:val="000000"/>
          <w:sz w:val="25"/>
          <w:szCs w:val="25"/>
          <w:lang w:val="en-GB"/>
        </w:rPr>
        <w:t>Evaluation Results and Justifications Using the PMI method (Appendix 1), Solution A came out pretty well on speed, low cost, and quick service uplift, while Solution B performed strongly on long</w:t>
      </w:r>
      <w:r>
        <w:noBreakHyphen/>
      </w:r>
      <w:r w:rsidRPr="59C001F6" w:rsidR="1FE241F2">
        <w:rPr>
          <w:rFonts w:ascii="system-ui" w:hAnsi="system-ui" w:eastAsia="system-ui" w:cs="system-ui"/>
          <w:b w:val="0"/>
          <w:bCs w:val="0"/>
          <w:i w:val="0"/>
          <w:iCs w:val="0"/>
          <w:caps w:val="0"/>
          <w:smallCaps w:val="0"/>
          <w:color w:val="000000"/>
          <w:sz w:val="25"/>
          <w:szCs w:val="25"/>
          <w:lang w:val="en-GB"/>
        </w:rPr>
        <w:t>term accuracy, compliance, and scalability. The weighted criteria were Impact on customer trust (5), Accuracy/compliance (5), Speed to implement (4), Cost (3), Sustainability (4). Accuracy/compliance and customer trust ended up being the heaviest weights because wrong or unclear info creates legal exposure, and can damage reputation, or at least thats the risk picture. Sustainability matters too, since the improvements shouldn’t just survive one event. Even though Solution B slightly edges Solution A on enduring accuracy, the combined scores still tipped toward Solution A as the first move. That’s mainly because it rolls out faster, costs less, and delivers something tangible right at the counter. So we select Solution A now, with a planned Phase 2 to bring in the digital system once the basic behaviours and scripts are actually embedded and used consistently.</w:t>
      </w:r>
    </w:p>
    <w:p xmlns:wp14="http://schemas.microsoft.com/office/word/2010/wordml" w:rsidP="59C001F6" w14:paraId="45585847" wp14:textId="1CA0852F">
      <w:pPr>
        <w:pStyle w:val="Heading1"/>
        <w:rPr>
          <w:lang w:val="en-GB"/>
        </w:rPr>
      </w:pPr>
      <w:r w:rsidRPr="59C001F6" w:rsidR="1FE241F2">
        <w:rPr>
          <w:rFonts w:ascii="system-ui" w:hAnsi="system-ui" w:eastAsia="system-ui" w:cs="system-ui"/>
          <w:b w:val="0"/>
          <w:bCs w:val="0"/>
          <w:i w:val="0"/>
          <w:iCs w:val="0"/>
          <w:caps w:val="0"/>
          <w:smallCaps w:val="0"/>
          <w:color w:val="000000"/>
          <w:sz w:val="25"/>
          <w:szCs w:val="25"/>
          <w:lang w:val="en-GB"/>
        </w:rPr>
        <w:t xml:space="preserve"> Task 4b</w:t>
      </w:r>
      <w:r w:rsidRPr="59C001F6" w:rsidR="65E8AF91">
        <w:rPr>
          <w:rFonts w:ascii="system-ui" w:hAnsi="system-ui" w:eastAsia="system-ui" w:cs="system-ui"/>
          <w:b w:val="0"/>
          <w:bCs w:val="0"/>
          <w:i w:val="0"/>
          <w:iCs w:val="0"/>
          <w:caps w:val="0"/>
          <w:smallCaps w:val="0"/>
          <w:color w:val="000000"/>
          <w:sz w:val="25"/>
          <w:szCs w:val="25"/>
          <w:lang w:val="en-GB"/>
        </w:rPr>
        <w:t>:</w:t>
      </w:r>
      <w:r w:rsidRPr="59C001F6" w:rsidR="1FE241F2">
        <w:rPr>
          <w:rFonts w:ascii="system-ui" w:hAnsi="system-ui" w:eastAsia="system-ui" w:cs="system-ui"/>
          <w:b w:val="0"/>
          <w:bCs w:val="0"/>
          <w:i w:val="0"/>
          <w:iCs w:val="0"/>
          <w:caps w:val="0"/>
          <w:smallCaps w:val="0"/>
          <w:color w:val="000000"/>
          <w:sz w:val="25"/>
          <w:szCs w:val="25"/>
          <w:lang w:val="en-GB"/>
        </w:rPr>
        <w:t xml:space="preserve"> Justifications for the Implementation Plan The plan (Appendix 2) begins with a diagnostic step to spot the knowledge gaps first, so the training targets the real problems and not the assumptions. Then a short workshop, kept focused and scheduled within one week, reduces operational disruption and speeds up the benefits. Responsibilities are split across the Bakery Manager (content ownership and credibility), Store Manager (</w:t>
      </w:r>
      <w:r w:rsidRPr="59C001F6" w:rsidR="1FE241F2">
        <w:rPr>
          <w:rFonts w:ascii="system-ui" w:hAnsi="system-ui" w:eastAsia="system-ui" w:cs="system-ui"/>
          <w:b w:val="0"/>
          <w:bCs w:val="0"/>
          <w:i w:val="0"/>
          <w:iCs w:val="0"/>
          <w:caps w:val="0"/>
          <w:smallCaps w:val="0"/>
          <w:color w:val="000000"/>
          <w:sz w:val="25"/>
          <w:szCs w:val="25"/>
          <w:lang w:val="en-GB"/>
        </w:rPr>
        <w:t>logistics</w:t>
      </w:r>
      <w:r w:rsidRPr="59C001F6" w:rsidR="1FE241F2">
        <w:rPr>
          <w:rFonts w:ascii="system-ui" w:hAnsi="system-ui" w:eastAsia="system-ui" w:cs="system-ui"/>
          <w:b w:val="0"/>
          <w:bCs w:val="0"/>
          <w:i w:val="0"/>
          <w:iCs w:val="0"/>
          <w:caps w:val="0"/>
          <w:smallCaps w:val="0"/>
          <w:color w:val="000000"/>
          <w:sz w:val="25"/>
          <w:szCs w:val="25"/>
          <w:lang w:val="en-GB"/>
        </w:rPr>
        <w:t xml:space="preserve">), and IT/admin (material collation). This creates clear accountability and prevents that, you know, “who does what” confusion. Job aids are ready before delivery, so staff can put the learning into practice </w:t>
      </w:r>
      <w:r w:rsidRPr="59C001F6" w:rsidR="1FE241F2">
        <w:rPr>
          <w:rFonts w:ascii="system-ui" w:hAnsi="system-ui" w:eastAsia="system-ui" w:cs="system-ui"/>
          <w:b w:val="0"/>
          <w:bCs w:val="0"/>
          <w:i w:val="0"/>
          <w:iCs w:val="0"/>
          <w:caps w:val="0"/>
          <w:smallCaps w:val="0"/>
          <w:color w:val="000000"/>
          <w:sz w:val="25"/>
          <w:szCs w:val="25"/>
          <w:lang w:val="en-GB"/>
        </w:rPr>
        <w:t>immediately</w:t>
      </w:r>
      <w:r w:rsidRPr="59C001F6" w:rsidR="1FE241F2">
        <w:rPr>
          <w:rFonts w:ascii="system-ui" w:hAnsi="system-ui" w:eastAsia="system-ui" w:cs="system-ui"/>
          <w:b w:val="0"/>
          <w:bCs w:val="0"/>
          <w:i w:val="0"/>
          <w:iCs w:val="0"/>
          <w:caps w:val="0"/>
          <w:smallCaps w:val="0"/>
          <w:color w:val="000000"/>
          <w:sz w:val="25"/>
          <w:szCs w:val="25"/>
          <w:lang w:val="en-GB"/>
        </w:rPr>
        <w:t xml:space="preserve"> on shift. After training there are post assessments, plus a two</w:t>
      </w:r>
      <w:r>
        <w:noBreakHyphen/>
      </w:r>
      <w:r w:rsidRPr="59C001F6" w:rsidR="1FE241F2">
        <w:rPr>
          <w:rFonts w:ascii="system-ui" w:hAnsi="system-ui" w:eastAsia="system-ui" w:cs="system-ui"/>
          <w:b w:val="0"/>
          <w:bCs w:val="0"/>
          <w:i w:val="0"/>
          <w:iCs w:val="0"/>
          <w:caps w:val="0"/>
          <w:smallCaps w:val="0"/>
          <w:color w:val="000000"/>
          <w:sz w:val="25"/>
          <w:szCs w:val="25"/>
          <w:lang w:val="en-GB"/>
        </w:rPr>
        <w:t>week on</w:t>
      </w:r>
      <w:r>
        <w:noBreakHyphen/>
      </w:r>
      <w:r w:rsidRPr="59C001F6" w:rsidR="1FE241F2">
        <w:rPr>
          <w:rFonts w:ascii="system-ui" w:hAnsi="system-ui" w:eastAsia="system-ui" w:cs="system-ui"/>
          <w:b w:val="0"/>
          <w:bCs w:val="0"/>
          <w:i w:val="0"/>
          <w:iCs w:val="0"/>
          <w:caps w:val="0"/>
          <w:smallCaps w:val="0"/>
          <w:color w:val="000000"/>
          <w:sz w:val="25"/>
          <w:szCs w:val="25"/>
          <w:lang w:val="en-GB"/>
        </w:rPr>
        <w:t>the</w:t>
      </w:r>
      <w:r>
        <w:noBreakHyphen/>
      </w:r>
      <w:r w:rsidRPr="59C001F6" w:rsidR="1FE241F2">
        <w:rPr>
          <w:rFonts w:ascii="system-ui" w:hAnsi="system-ui" w:eastAsia="system-ui" w:cs="system-ui"/>
          <w:b w:val="0"/>
          <w:bCs w:val="0"/>
          <w:i w:val="0"/>
          <w:iCs w:val="0"/>
          <w:caps w:val="0"/>
          <w:smallCaps w:val="0"/>
          <w:color w:val="000000"/>
          <w:sz w:val="25"/>
          <w:szCs w:val="25"/>
          <w:lang w:val="en-GB"/>
        </w:rPr>
        <w:t xml:space="preserve">job reinforcement period to turn knowledge into routine. Finally, a follow up review at four weeks checks the results against KPIs, and that allows small adjustments quickly. </w:t>
      </w:r>
      <w:r w:rsidRPr="59C001F6" w:rsidR="1FE241F2">
        <w:rPr>
          <w:rFonts w:ascii="system-ui" w:hAnsi="system-ui" w:eastAsia="system-ui" w:cs="system-ui"/>
          <w:b w:val="0"/>
          <w:bCs w:val="0"/>
          <w:i w:val="0"/>
          <w:iCs w:val="0"/>
          <w:caps w:val="0"/>
          <w:smallCaps w:val="0"/>
          <w:color w:val="000000"/>
          <w:sz w:val="25"/>
          <w:szCs w:val="25"/>
          <w:lang w:val="en-GB"/>
        </w:rPr>
        <w:t>Overall</w:t>
      </w:r>
      <w:r w:rsidRPr="59C001F6" w:rsidR="1FE241F2">
        <w:rPr>
          <w:rFonts w:ascii="system-ui" w:hAnsi="system-ui" w:eastAsia="system-ui" w:cs="system-ui"/>
          <w:b w:val="0"/>
          <w:bCs w:val="0"/>
          <w:i w:val="0"/>
          <w:iCs w:val="0"/>
          <w:caps w:val="0"/>
          <w:smallCaps w:val="0"/>
          <w:color w:val="000000"/>
          <w:sz w:val="25"/>
          <w:szCs w:val="25"/>
          <w:lang w:val="en-GB"/>
        </w:rPr>
        <w:t xml:space="preserve"> the sequencing keeps resources in motion, </w:t>
      </w:r>
      <w:r w:rsidRPr="59C001F6" w:rsidR="1FE241F2">
        <w:rPr>
          <w:rFonts w:ascii="system-ui" w:hAnsi="system-ui" w:eastAsia="system-ui" w:cs="system-ui"/>
          <w:b w:val="0"/>
          <w:bCs w:val="0"/>
          <w:i w:val="0"/>
          <w:iCs w:val="0"/>
          <w:caps w:val="0"/>
          <w:smallCaps w:val="0"/>
          <w:color w:val="000000"/>
          <w:sz w:val="25"/>
          <w:szCs w:val="25"/>
          <w:lang w:val="en-GB"/>
        </w:rPr>
        <w:t>maintains</w:t>
      </w:r>
      <w:r w:rsidRPr="59C001F6" w:rsidR="1FE241F2">
        <w:rPr>
          <w:rFonts w:ascii="system-ui" w:hAnsi="system-ui" w:eastAsia="system-ui" w:cs="system-ui"/>
          <w:b w:val="0"/>
          <w:bCs w:val="0"/>
          <w:i w:val="0"/>
          <w:iCs w:val="0"/>
          <w:caps w:val="0"/>
          <w:smallCaps w:val="0"/>
          <w:color w:val="000000"/>
          <w:sz w:val="25"/>
          <w:szCs w:val="25"/>
          <w:lang w:val="en-GB"/>
        </w:rPr>
        <w:t xml:space="preserve"> momentum, and closes the loop from learning to measurable performance, not just training completion.</w:t>
      </w:r>
    </w:p>
    <w:p xmlns:wp14="http://schemas.microsoft.com/office/word/2010/wordml" w14:paraId="7E2C41CB" wp14:textId="4F97236E">
      <w:pPr>
        <w:pStyle w:val="Heading1"/>
      </w:pPr>
      <w:r w:rsidRPr="59C001F6" w:rsidR="24AD37DB">
        <w:rPr>
          <w:rFonts w:ascii="system-ui" w:hAnsi="system-ui" w:eastAsia="system-ui" w:cs="system-ui"/>
          <w:b w:val="0"/>
          <w:bCs w:val="0"/>
          <w:i w:val="0"/>
          <w:iCs w:val="0"/>
          <w:caps w:val="0"/>
          <w:smallCaps w:val="0"/>
          <w:color w:val="000000"/>
          <w:sz w:val="25"/>
          <w:szCs w:val="25"/>
          <w:lang w:val="en-GB"/>
        </w:rPr>
        <w:t xml:space="preserve">Task 5b:  Justifications for the KPI and SMART </w:t>
      </w:r>
      <w:r w:rsidRPr="59C001F6" w:rsidR="24AD37DB">
        <w:rPr>
          <w:rFonts w:ascii="system-ui" w:hAnsi="system-ui" w:eastAsia="system-ui" w:cs="system-ui"/>
          <w:b w:val="0"/>
          <w:bCs w:val="0"/>
          <w:i w:val="0"/>
          <w:iCs w:val="0"/>
          <w:caps w:val="0"/>
          <w:smallCaps w:val="0"/>
          <w:color w:val="000000"/>
          <w:sz w:val="25"/>
          <w:szCs w:val="25"/>
          <w:lang w:val="en-GB"/>
        </w:rPr>
        <w:t>objectives</w:t>
      </w:r>
      <w:r w:rsidRPr="59C001F6" w:rsidR="24AD37DB">
        <w:rPr>
          <w:rFonts w:ascii="system-ui" w:hAnsi="system-ui" w:eastAsia="system-ui" w:cs="system-ui"/>
          <w:b w:val="0"/>
          <w:bCs w:val="0"/>
          <w:i w:val="0"/>
          <w:iCs w:val="0"/>
          <w:caps w:val="0"/>
          <w:smallCaps w:val="0"/>
          <w:color w:val="000000"/>
          <w:sz w:val="25"/>
          <w:szCs w:val="25"/>
          <w:lang w:val="en-GB"/>
        </w:rPr>
        <w:t xml:space="preserve"> (and yes, it matters) KPI: Percentage of customer interactions where staff give the right ingredient and allergen details on the very first ask. Honestly, this KPI keeps focus on the exact service breakdown that tends to trigger </w:t>
      </w:r>
      <w:r w:rsidRPr="59C001F6" w:rsidR="24AD37DB">
        <w:rPr>
          <w:rFonts w:ascii="system-ui" w:hAnsi="system-ui" w:eastAsia="system-ui" w:cs="system-ui"/>
          <w:b w:val="0"/>
          <w:bCs w:val="0"/>
          <w:i w:val="0"/>
          <w:iCs w:val="0"/>
          <w:caps w:val="0"/>
          <w:smallCaps w:val="0"/>
          <w:color w:val="000000"/>
          <w:sz w:val="25"/>
          <w:szCs w:val="25"/>
          <w:lang w:val="en-GB"/>
        </w:rPr>
        <w:t>complaints</w:t>
      </w:r>
      <w:r w:rsidRPr="59C001F6" w:rsidR="24AD37DB">
        <w:rPr>
          <w:rFonts w:ascii="system-ui" w:hAnsi="system-ui" w:eastAsia="system-ui" w:cs="system-ui"/>
          <w:b w:val="0"/>
          <w:bCs w:val="0"/>
          <w:i w:val="0"/>
          <w:iCs w:val="0"/>
          <w:caps w:val="0"/>
          <w:smallCaps w:val="0"/>
          <w:color w:val="000000"/>
          <w:sz w:val="25"/>
          <w:szCs w:val="25"/>
          <w:lang w:val="en-GB"/>
        </w:rPr>
        <w:t xml:space="preserve"> and it also ties </w:t>
      </w:r>
      <w:r w:rsidRPr="59C001F6" w:rsidR="24AD37DB">
        <w:rPr>
          <w:rFonts w:ascii="system-ui" w:hAnsi="system-ui" w:eastAsia="system-ui" w:cs="system-ui"/>
          <w:b w:val="0"/>
          <w:bCs w:val="0"/>
          <w:i w:val="0"/>
          <w:iCs w:val="0"/>
          <w:caps w:val="0"/>
          <w:smallCaps w:val="0"/>
          <w:color w:val="000000"/>
          <w:sz w:val="25"/>
          <w:szCs w:val="25"/>
          <w:lang w:val="en-GB"/>
        </w:rPr>
        <w:t>pretty clearly</w:t>
      </w:r>
      <w:r w:rsidRPr="59C001F6" w:rsidR="24AD37DB">
        <w:rPr>
          <w:rFonts w:ascii="system-ui" w:hAnsi="system-ui" w:eastAsia="system-ui" w:cs="system-ui"/>
          <w:b w:val="0"/>
          <w:bCs w:val="0"/>
          <w:i w:val="0"/>
          <w:iCs w:val="0"/>
          <w:caps w:val="0"/>
          <w:smallCaps w:val="0"/>
          <w:color w:val="000000"/>
          <w:sz w:val="25"/>
          <w:szCs w:val="25"/>
          <w:lang w:val="en-GB"/>
        </w:rPr>
        <w:t xml:space="preserve"> to confidence in the brand and repeat buying. It is something you can </w:t>
      </w:r>
      <w:r w:rsidRPr="59C001F6" w:rsidR="24AD37DB">
        <w:rPr>
          <w:rFonts w:ascii="system-ui" w:hAnsi="system-ui" w:eastAsia="system-ui" w:cs="system-ui"/>
          <w:b w:val="0"/>
          <w:bCs w:val="0"/>
          <w:i w:val="0"/>
          <w:iCs w:val="0"/>
          <w:caps w:val="0"/>
          <w:smallCaps w:val="0"/>
          <w:color w:val="000000"/>
          <w:sz w:val="25"/>
          <w:szCs w:val="25"/>
          <w:lang w:val="en-GB"/>
        </w:rPr>
        <w:t>actually see</w:t>
      </w:r>
      <w:r w:rsidRPr="59C001F6" w:rsidR="24AD37DB">
        <w:rPr>
          <w:rFonts w:ascii="system-ui" w:hAnsi="system-ui" w:eastAsia="system-ui" w:cs="system-ui"/>
          <w:b w:val="0"/>
          <w:bCs w:val="0"/>
          <w:i w:val="0"/>
          <w:iCs w:val="0"/>
          <w:caps w:val="0"/>
          <w:smallCaps w:val="0"/>
          <w:color w:val="000000"/>
          <w:sz w:val="25"/>
          <w:szCs w:val="25"/>
          <w:lang w:val="en-GB"/>
        </w:rPr>
        <w:t xml:space="preserve"> and later verify, for example by mystery shopping, plus spot checks too. And it is not just </w:t>
      </w:r>
      <w:r w:rsidRPr="59C001F6" w:rsidR="24AD37DB">
        <w:rPr>
          <w:rFonts w:ascii="system-ui" w:hAnsi="system-ui" w:eastAsia="system-ui" w:cs="system-ui"/>
          <w:b w:val="0"/>
          <w:bCs w:val="0"/>
          <w:i w:val="0"/>
          <w:iCs w:val="0"/>
          <w:caps w:val="0"/>
          <w:smallCaps w:val="0"/>
          <w:color w:val="000000"/>
          <w:sz w:val="25"/>
          <w:szCs w:val="25"/>
          <w:lang w:val="en-GB"/>
        </w:rPr>
        <w:t>theoretical,</w:t>
      </w:r>
      <w:r w:rsidRPr="59C001F6" w:rsidR="24AD37DB">
        <w:rPr>
          <w:rFonts w:ascii="system-ui" w:hAnsi="system-ui" w:eastAsia="system-ui" w:cs="system-ui"/>
          <w:b w:val="0"/>
          <w:bCs w:val="0"/>
          <w:i w:val="0"/>
          <w:iCs w:val="0"/>
          <w:caps w:val="0"/>
          <w:smallCaps w:val="0"/>
          <w:color w:val="000000"/>
          <w:sz w:val="25"/>
          <w:szCs w:val="25"/>
          <w:lang w:val="en-GB"/>
        </w:rPr>
        <w:t xml:space="preserve"> it is fixable via coaching sessions and small process tweaks in the background. SMART </w:t>
      </w:r>
      <w:r w:rsidRPr="59C001F6" w:rsidR="24AD37DB">
        <w:rPr>
          <w:rFonts w:ascii="system-ui" w:hAnsi="system-ui" w:eastAsia="system-ui" w:cs="system-ui"/>
          <w:b w:val="0"/>
          <w:bCs w:val="0"/>
          <w:i w:val="0"/>
          <w:iCs w:val="0"/>
          <w:caps w:val="0"/>
          <w:smallCaps w:val="0"/>
          <w:color w:val="000000"/>
          <w:sz w:val="25"/>
          <w:szCs w:val="25"/>
          <w:lang w:val="en-GB"/>
        </w:rPr>
        <w:t>objectives</w:t>
      </w:r>
      <w:r w:rsidRPr="59C001F6" w:rsidR="24AD37DB">
        <w:rPr>
          <w:rFonts w:ascii="system-ui" w:hAnsi="system-ui" w:eastAsia="system-ui" w:cs="system-ui"/>
          <w:b w:val="0"/>
          <w:bCs w:val="0"/>
          <w:i w:val="0"/>
          <w:iCs w:val="0"/>
          <w:caps w:val="0"/>
          <w:smallCaps w:val="0"/>
          <w:color w:val="000000"/>
          <w:sz w:val="25"/>
          <w:szCs w:val="25"/>
          <w:lang w:val="en-GB"/>
        </w:rPr>
        <w:t>: Raise the first</w:t>
      </w:r>
      <w:r>
        <w:noBreakHyphen/>
      </w:r>
      <w:r w:rsidRPr="59C001F6" w:rsidR="24AD37DB">
        <w:rPr>
          <w:rFonts w:ascii="system-ui" w:hAnsi="system-ui" w:eastAsia="system-ui" w:cs="system-ui"/>
          <w:b w:val="0"/>
          <w:bCs w:val="0"/>
          <w:i w:val="0"/>
          <w:iCs w:val="0"/>
          <w:caps w:val="0"/>
          <w:smallCaps w:val="0"/>
          <w:color w:val="000000"/>
          <w:sz w:val="25"/>
          <w:szCs w:val="25"/>
          <w:lang w:val="en-GB"/>
        </w:rPr>
        <w:t xml:space="preserve">time correct responses to 95% during all opening </w:t>
      </w:r>
      <w:r w:rsidRPr="59C001F6" w:rsidR="24AD37DB">
        <w:rPr>
          <w:rFonts w:ascii="system-ui" w:hAnsi="system-ui" w:eastAsia="system-ui" w:cs="system-ui"/>
          <w:b w:val="0"/>
          <w:bCs w:val="0"/>
          <w:i w:val="0"/>
          <w:iCs w:val="0"/>
          <w:caps w:val="0"/>
          <w:smallCaps w:val="0"/>
          <w:color w:val="000000"/>
          <w:sz w:val="25"/>
          <w:szCs w:val="25"/>
          <w:lang w:val="en-GB"/>
        </w:rPr>
        <w:t>shifts, and</w:t>
      </w:r>
      <w:r w:rsidRPr="59C001F6" w:rsidR="24AD37DB">
        <w:rPr>
          <w:rFonts w:ascii="system-ui" w:hAnsi="system-ui" w:eastAsia="system-ui" w:cs="system-ui"/>
          <w:b w:val="0"/>
          <w:bCs w:val="0"/>
          <w:i w:val="0"/>
          <w:iCs w:val="0"/>
          <w:caps w:val="0"/>
          <w:smallCaps w:val="0"/>
          <w:color w:val="000000"/>
          <w:sz w:val="25"/>
          <w:szCs w:val="25"/>
          <w:lang w:val="en-GB"/>
        </w:rPr>
        <w:t xml:space="preserve"> track it using weekly audits (n = 10). Cut the number of weekly complaints about misinformation by 50% within six weeks. Make sure 100% of products have current allergen sheets sitting at the counter starting from the training </w:t>
      </w:r>
      <w:r w:rsidRPr="59C001F6" w:rsidR="24AD37DB">
        <w:rPr>
          <w:rFonts w:ascii="system-ui" w:hAnsi="system-ui" w:eastAsia="system-ui" w:cs="system-ui"/>
          <w:b w:val="0"/>
          <w:bCs w:val="0"/>
          <w:i w:val="0"/>
          <w:iCs w:val="0"/>
          <w:caps w:val="0"/>
          <w:smallCaps w:val="0"/>
          <w:color w:val="000000"/>
          <w:sz w:val="25"/>
          <w:szCs w:val="25"/>
          <w:lang w:val="en-GB"/>
        </w:rPr>
        <w:t>date, and</w:t>
      </w:r>
      <w:r w:rsidRPr="59C001F6" w:rsidR="24AD37DB">
        <w:rPr>
          <w:rFonts w:ascii="system-ui" w:hAnsi="system-ui" w:eastAsia="system-ui" w:cs="system-ui"/>
          <w:b w:val="0"/>
          <w:bCs w:val="0"/>
          <w:i w:val="0"/>
          <w:iCs w:val="0"/>
          <w:caps w:val="0"/>
          <w:smallCaps w:val="0"/>
          <w:color w:val="000000"/>
          <w:sz w:val="25"/>
          <w:szCs w:val="25"/>
          <w:lang w:val="en-GB"/>
        </w:rPr>
        <w:t xml:space="preserve"> keep doing a weekly check so it stays true. Train 100% of front</w:t>
      </w:r>
      <w:r>
        <w:noBreakHyphen/>
      </w:r>
      <w:r w:rsidRPr="59C001F6" w:rsidR="24AD37DB">
        <w:rPr>
          <w:rFonts w:ascii="system-ui" w:hAnsi="system-ui" w:eastAsia="system-ui" w:cs="system-ui"/>
          <w:b w:val="0"/>
          <w:bCs w:val="0"/>
          <w:i w:val="0"/>
          <w:iCs w:val="0"/>
          <w:caps w:val="0"/>
          <w:smallCaps w:val="0"/>
          <w:color w:val="000000"/>
          <w:sz w:val="25"/>
          <w:szCs w:val="25"/>
          <w:lang w:val="en-GB"/>
        </w:rPr>
        <w:t>of</w:t>
      </w:r>
      <w:r>
        <w:noBreakHyphen/>
      </w:r>
      <w:r w:rsidRPr="59C001F6" w:rsidR="24AD37DB">
        <w:rPr>
          <w:rFonts w:ascii="system-ui" w:hAnsi="system-ui" w:eastAsia="system-ui" w:cs="system-ui"/>
          <w:b w:val="0"/>
          <w:bCs w:val="0"/>
          <w:i w:val="0"/>
          <w:iCs w:val="0"/>
          <w:caps w:val="0"/>
          <w:smallCaps w:val="0"/>
          <w:color w:val="000000"/>
          <w:sz w:val="25"/>
          <w:szCs w:val="25"/>
          <w:lang w:val="en-GB"/>
        </w:rPr>
        <w:t xml:space="preserve">house staff within two </w:t>
      </w:r>
      <w:r w:rsidRPr="59C001F6" w:rsidR="24AD37DB">
        <w:rPr>
          <w:rFonts w:ascii="system-ui" w:hAnsi="system-ui" w:eastAsia="system-ui" w:cs="system-ui"/>
          <w:b w:val="0"/>
          <w:bCs w:val="0"/>
          <w:i w:val="0"/>
          <w:iCs w:val="0"/>
          <w:caps w:val="0"/>
          <w:smallCaps w:val="0"/>
          <w:color w:val="000000"/>
          <w:sz w:val="25"/>
          <w:szCs w:val="25"/>
          <w:lang w:val="en-GB"/>
        </w:rPr>
        <w:t>weeks, and</w:t>
      </w:r>
      <w:r w:rsidRPr="59C001F6" w:rsidR="24AD37DB">
        <w:rPr>
          <w:rFonts w:ascii="system-ui" w:hAnsi="system-ui" w:eastAsia="system-ui" w:cs="system-ui"/>
          <w:b w:val="0"/>
          <w:bCs w:val="0"/>
          <w:i w:val="0"/>
          <w:iCs w:val="0"/>
          <w:caps w:val="0"/>
          <w:smallCaps w:val="0"/>
          <w:color w:val="000000"/>
          <w:sz w:val="25"/>
          <w:szCs w:val="25"/>
          <w:lang w:val="en-GB"/>
        </w:rPr>
        <w:t xml:space="preserve"> aim for an outcome of at least ≥80% on the post</w:t>
      </w:r>
      <w:r>
        <w:noBreakHyphen/>
      </w:r>
      <w:r w:rsidRPr="59C001F6" w:rsidR="24AD37DB">
        <w:rPr>
          <w:rFonts w:ascii="system-ui" w:hAnsi="system-ui" w:eastAsia="system-ui" w:cs="system-ui"/>
          <w:b w:val="0"/>
          <w:bCs w:val="0"/>
          <w:i w:val="0"/>
          <w:iCs w:val="0"/>
          <w:caps w:val="0"/>
          <w:smallCaps w:val="0"/>
          <w:color w:val="000000"/>
          <w:sz w:val="25"/>
          <w:szCs w:val="25"/>
          <w:lang w:val="en-GB"/>
        </w:rPr>
        <w:t xml:space="preserve">training assessment, </w:t>
      </w:r>
      <w:r w:rsidRPr="59C001F6" w:rsidR="24AD37DB">
        <w:rPr>
          <w:rFonts w:ascii="system-ui" w:hAnsi="system-ui" w:eastAsia="system-ui" w:cs="system-ui"/>
          <w:b w:val="0"/>
          <w:bCs w:val="0"/>
          <w:i w:val="0"/>
          <w:iCs w:val="0"/>
          <w:caps w:val="0"/>
          <w:smallCaps w:val="0"/>
          <w:color w:val="000000"/>
          <w:sz w:val="25"/>
          <w:szCs w:val="25"/>
          <w:lang w:val="en-GB"/>
        </w:rPr>
        <w:t>kind of like</w:t>
      </w:r>
      <w:r w:rsidRPr="59C001F6" w:rsidR="24AD37DB">
        <w:rPr>
          <w:rFonts w:ascii="system-ui" w:hAnsi="system-ui" w:eastAsia="system-ui" w:cs="system-ui"/>
          <w:b w:val="0"/>
          <w:bCs w:val="0"/>
          <w:i w:val="0"/>
          <w:iCs w:val="0"/>
          <w:caps w:val="0"/>
          <w:smallCaps w:val="0"/>
          <w:color w:val="000000"/>
          <w:sz w:val="25"/>
          <w:szCs w:val="25"/>
          <w:lang w:val="en-GB"/>
        </w:rPr>
        <w:t xml:space="preserve"> that.</w:t>
      </w:r>
      <w:r w:rsidRPr="59C001F6" w:rsidR="24AD37DB">
        <w:rPr>
          <w:lang w:val="en-GB"/>
        </w:rPr>
        <w:t xml:space="preserve"> </w:t>
      </w:r>
    </w:p>
    <w:p xmlns:wp14="http://schemas.microsoft.com/office/word/2010/wordml" w14:paraId="345D1545" wp14:textId="6267119B">
      <w:pPr>
        <w:pStyle w:val="Heading1"/>
      </w:pPr>
      <w:r w:rsidRPr="59C001F6" w:rsidR="59C001F6">
        <w:rPr>
          <w:lang w:val="en-GB"/>
        </w:rPr>
        <w:t>Task 7) Key Findings</w:t>
      </w:r>
    </w:p>
    <w:p xmlns:wp14="http://schemas.microsoft.com/office/word/2010/wordml" w14:paraId="29C2F1DB" wp14:textId="77777777">
      <w:pPr>
        <w:pStyle w:val="ListParagraph"/>
        <w:numPr>
          <w:ilvl w:val="0"/>
          <w:numId w:val="1"/>
        </w:numPr>
      </w:pPr>
      <w:r>
        <w:t xml:space="preserve">The root problem is inaccurate, inconsistent product information at point‑of‑sale, eroding trust and repeat sales.</w:t>
      </w:r>
    </w:p>
    <w:p xmlns:wp14="http://schemas.microsoft.com/office/word/2010/wordml" w14:paraId="648C2062" wp14:textId="77777777">
      <w:pPr>
        <w:pStyle w:val="ListParagraph"/>
        <w:numPr>
          <w:ilvl w:val="0"/>
          <w:numId w:val="1"/>
        </w:numPr>
      </w:pPr>
      <w:r>
        <w:t xml:space="preserve">Training (Solution A) delivers immediate, low‑cost impact; a digital system (Solution B) strengthens long‑term accuracy.</w:t>
      </w:r>
    </w:p>
    <w:p xmlns:wp14="http://schemas.microsoft.com/office/word/2010/wordml" w14:paraId="78E704EE" wp14:textId="77777777">
      <w:pPr>
        <w:pStyle w:val="ListParagraph"/>
        <w:numPr>
          <w:ilvl w:val="0"/>
          <w:numId w:val="1"/>
        </w:numPr>
        <w:rPr/>
      </w:pPr>
      <w:r w:rsidRPr="59C001F6" w:rsidR="59C001F6">
        <w:rPr>
          <w:lang w:val="en-US"/>
        </w:rPr>
        <w:t>PMI results support implementing Solution A first, complemented by a planned Phase 2 for digitisation.</w:t>
      </w:r>
    </w:p>
    <w:p xmlns:wp14="http://schemas.microsoft.com/office/word/2010/wordml" w14:paraId="0F7859AF" wp14:textId="77777777">
      <w:pPr>
        <w:pStyle w:val="ListParagraph"/>
        <w:numPr>
          <w:ilvl w:val="0"/>
          <w:numId w:val="1"/>
        </w:numPr>
        <w:rPr/>
      </w:pPr>
      <w:r w:rsidRPr="59C001F6" w:rsidR="59C001F6">
        <w:rPr>
          <w:lang w:val="en-US"/>
        </w:rPr>
        <w:t>A sequenced implementation converts learning into sustained behaviour and measurable outcomes.</w:t>
      </w:r>
    </w:p>
    <w:p xmlns:wp14="http://schemas.microsoft.com/office/word/2010/wordml" w14:paraId="45F1CAC6" wp14:textId="77777777">
      <w:pPr>
        <w:pStyle w:val="ListParagraph"/>
        <w:numPr>
          <w:ilvl w:val="0"/>
          <w:numId w:val="1"/>
        </w:numPr>
        <w:rPr/>
      </w:pPr>
      <w:r w:rsidRPr="59C001F6" w:rsidR="59C001F6">
        <w:rPr>
          <w:lang w:val="en-US"/>
        </w:rPr>
        <w:t>A focused KPI with SMART objectives enables monitoring, accountability, and continuous improvement.</w:t>
      </w:r>
    </w:p>
    <w:p xmlns:wp14="http://schemas.microsoft.com/office/word/2010/wordml" w14:paraId="415A6A99" wp14:textId="77777777">
      <w:pPr>
        <w:pStyle w:val="Heading1"/>
      </w:pPr>
      <w:r>
        <w:t xml:space="preserve">Appendices</w:t>
      </w:r>
    </w:p>
    <w:p xmlns:wp14="http://schemas.microsoft.com/office/word/2010/wordml" w14:paraId="12BD2FB7" wp14:textId="77777777">
      <w:pPr>
        <w:pStyle w:val="Heading2"/>
      </w:pPr>
      <w:r w:rsidRPr="59C001F6" w:rsidR="59C001F6">
        <w:rPr>
          <w:lang w:val="en-US"/>
        </w:rPr>
        <w:t>Appendix 1: Task 3a) PMI Evaluation Table — Solution A: Staff Training Programme</w:t>
      </w:r>
    </w:p>
    <w:tbl>
      <w:tblPr>
        <w:tblW w:w="9360" w:type="dxa"/>
        <w:tblBorders>
          <w:top w:val="single" w:color="D7DBE3" w:sz="4"/>
          <w:left w:val="single" w:color="D7DBE3" w:sz="4"/>
          <w:bottom w:val="single" w:color="D7DBE3" w:sz="4"/>
          <w:right w:val="single" w:color="D7DBE3" w:sz="4"/>
          <w:insideH w:val="single" w:color="D7DBE3" w:sz="4"/>
          <w:insideV w:val="single" w:color="D7DBE3" w:sz="4"/>
        </w:tblBorders>
        <w:tblLayout w:type="fixed"/>
      </w:tblPr>
      <w:tblGrid>
        <w:gridCol w:w="3451"/>
        <w:gridCol w:w="3154"/>
        <w:gridCol w:w="2755"/>
      </w:tblGrid>
      <w:tr xmlns:wp14="http://schemas.microsoft.com/office/word/2010/wordml" w14:paraId="7083E4AE" wp14:textId="77777777">
        <w:trPr>
          <w:tblHeader/>
        </w:trPr>
        <w:tc>
          <w:tcPr>
            <w:tcW w:w="3451" w:type="dxa"/>
            <w:tcBorders>
              <w:top w:val="single" w:color="D7DBE3" w:sz="4"/>
              <w:left w:val="single" w:color="D7DBE3" w:sz="4"/>
              <w:bottom w:val="single" w:color="D7DBE3" w:sz="4"/>
              <w:right w:val="single" w:color="D7DBE3" w:sz="4"/>
            </w:tcBorders>
            <w:shd w:val="clear" w:fill="1F3864"/>
            <w:tcMar>
              <w:top w:w="60" w:type="dxa"/>
              <w:left w:w="108" w:type="dxa"/>
              <w:bottom w:w="60" w:type="dxa"/>
              <w:right w:w="108" w:type="dxa"/>
            </w:tcMar>
          </w:tcPr>
          <w:p w14:paraId="32972A78" wp14:textId="77777777">
            <w:pPr>
              <w:jc w:val="left"/>
            </w:pPr>
            <w:r>
              <w:rPr>
                <w:rFonts w:ascii="Calibri" w:hAnsi="Calibri" w:eastAsia="Calibri" w:cs="Calibri"/>
                <w:b/>
                <w:bCs/>
                <w:color w:val="FFFFFF"/>
                <w:sz w:val="20"/>
                <w:szCs w:val="20"/>
              </w:rPr>
              <w:t xml:space="preserve">Plus</w:t>
            </w:r>
          </w:p>
        </w:tc>
        <w:tc>
          <w:tcPr>
            <w:tcW w:w="3154" w:type="dxa"/>
            <w:tcBorders>
              <w:top w:val="single" w:color="D7DBE3" w:sz="4"/>
              <w:left w:val="single" w:color="D7DBE3" w:sz="4"/>
              <w:bottom w:val="single" w:color="D7DBE3" w:sz="4"/>
              <w:right w:val="single" w:color="D7DBE3" w:sz="4"/>
            </w:tcBorders>
            <w:shd w:val="clear" w:fill="1F3864"/>
            <w:tcMar>
              <w:top w:w="60" w:type="dxa"/>
              <w:left w:w="108" w:type="dxa"/>
              <w:bottom w:w="60" w:type="dxa"/>
              <w:right w:w="108" w:type="dxa"/>
            </w:tcMar>
          </w:tcPr>
          <w:p w14:paraId="669778E0" wp14:textId="77777777">
            <w:pPr>
              <w:jc w:val="left"/>
            </w:pPr>
            <w:r>
              <w:rPr>
                <w:rFonts w:ascii="Calibri" w:hAnsi="Calibri" w:eastAsia="Calibri" w:cs="Calibri"/>
                <w:b/>
                <w:bCs/>
                <w:color w:val="FFFFFF"/>
                <w:sz w:val="20"/>
                <w:szCs w:val="20"/>
              </w:rPr>
              <w:t xml:space="preserve">Minus</w:t>
            </w:r>
          </w:p>
        </w:tc>
        <w:tc>
          <w:tcPr>
            <w:tcW w:w="2755" w:type="dxa"/>
            <w:tcBorders>
              <w:top w:val="single" w:color="D7DBE3" w:sz="4"/>
              <w:left w:val="single" w:color="D7DBE3" w:sz="4"/>
              <w:bottom w:val="single" w:color="D7DBE3" w:sz="4"/>
              <w:right w:val="single" w:color="D7DBE3" w:sz="4"/>
            </w:tcBorders>
            <w:shd w:val="clear" w:fill="1F3864"/>
            <w:tcMar>
              <w:top w:w="60" w:type="dxa"/>
              <w:left w:w="108" w:type="dxa"/>
              <w:bottom w:w="60" w:type="dxa"/>
              <w:right w:w="108" w:type="dxa"/>
            </w:tcMar>
          </w:tcPr>
          <w:p w14:paraId="137AD845" wp14:textId="77777777">
            <w:pPr>
              <w:jc w:val="left"/>
            </w:pPr>
            <w:r>
              <w:rPr>
                <w:rFonts w:ascii="Calibri" w:hAnsi="Calibri" w:eastAsia="Calibri" w:cs="Calibri"/>
                <w:b/>
                <w:bCs/>
                <w:color w:val="FFFFFF"/>
                <w:sz w:val="20"/>
                <w:szCs w:val="20"/>
              </w:rPr>
              <w:t xml:space="preserve">Interesting</w:t>
            </w:r>
          </w:p>
        </w:tc>
      </w:tr>
      <w:tr xmlns:wp14="http://schemas.microsoft.com/office/word/2010/wordml" w14:paraId="6542CACD" wp14:textId="77777777">
        <w:tc>
          <w:tcPr>
            <w:tcW w:w="3451" w:type="dxa"/>
            <w:tcBorders>
              <w:top w:val="single" w:color="D7DBE3" w:sz="4"/>
              <w:left w:val="single" w:color="D7DBE3" w:sz="4"/>
              <w:bottom w:val="single" w:color="D7DBE3" w:sz="4"/>
              <w:right w:val="single" w:color="D7DBE3" w:sz="4"/>
            </w:tcBorders>
            <w:tcMar>
              <w:top w:w="60" w:type="dxa"/>
              <w:left w:w="108" w:type="dxa"/>
              <w:bottom w:w="60" w:type="dxa"/>
              <w:right w:w="108" w:type="dxa"/>
            </w:tcMar>
          </w:tcPr>
          <w:p w14:paraId="349AEF5B" wp14:textId="77777777">
            <w:pPr>
              <w:jc w:val="left"/>
            </w:pPr>
            <w:r>
              <w:rPr>
                <w:rFonts w:ascii="Calibri" w:hAnsi="Calibri" w:eastAsia="Calibri" w:cs="Calibri"/>
                <w:b w:val="false"/>
                <w:bCs w:val="false"/>
                <w:sz w:val="20"/>
                <w:szCs w:val="20"/>
              </w:rPr>
              <w:t xml:space="preserve">Improves confidence and service consistency (+5)</w:t>
            </w:r>
          </w:p>
        </w:tc>
        <w:tc>
          <w:tcPr>
            <w:tcW w:w="3154" w:type="dxa"/>
            <w:tcBorders>
              <w:top w:val="single" w:color="D7DBE3" w:sz="4"/>
              <w:left w:val="single" w:color="D7DBE3" w:sz="4"/>
              <w:bottom w:val="single" w:color="D7DBE3" w:sz="4"/>
              <w:right w:val="single" w:color="D7DBE3" w:sz="4"/>
            </w:tcBorders>
            <w:tcMar>
              <w:top w:w="60" w:type="dxa"/>
              <w:left w:w="108" w:type="dxa"/>
              <w:bottom w:w="60" w:type="dxa"/>
              <w:right w:w="108" w:type="dxa"/>
            </w:tcMar>
          </w:tcPr>
          <w:p w14:paraId="2D2012F9" wp14:textId="77777777">
            <w:pPr>
              <w:jc w:val="left"/>
            </w:pPr>
            <w:r>
              <w:rPr>
                <w:rFonts w:ascii="Calibri" w:hAnsi="Calibri" w:eastAsia="Calibri" w:cs="Calibri"/>
                <w:b w:val="false"/>
                <w:bCs w:val="false"/>
                <w:sz w:val="20"/>
                <w:szCs w:val="20"/>
              </w:rPr>
              <w:t xml:space="preserve">Requires time off counter (-2)</w:t>
            </w:r>
          </w:p>
        </w:tc>
        <w:tc>
          <w:tcPr>
            <w:tcW w:w="2755" w:type="dxa"/>
            <w:tcBorders>
              <w:top w:val="single" w:color="D7DBE3" w:sz="4"/>
              <w:left w:val="single" w:color="D7DBE3" w:sz="4"/>
              <w:bottom w:val="single" w:color="D7DBE3" w:sz="4"/>
              <w:right w:val="single" w:color="D7DBE3" w:sz="4"/>
            </w:tcBorders>
            <w:tcMar>
              <w:top w:w="60" w:type="dxa"/>
              <w:left w:w="108" w:type="dxa"/>
              <w:bottom w:w="60" w:type="dxa"/>
              <w:right w:w="108" w:type="dxa"/>
            </w:tcMar>
          </w:tcPr>
          <w:p w14:paraId="42F3380B" wp14:textId="77777777">
            <w:pPr>
              <w:jc w:val="left"/>
            </w:pPr>
            <w:r>
              <w:rPr>
                <w:rFonts w:ascii="Calibri" w:hAnsi="Calibri" w:eastAsia="Calibri" w:cs="Calibri"/>
                <w:b w:val="false"/>
                <w:bCs w:val="false"/>
                <w:sz w:val="20"/>
                <w:szCs w:val="20"/>
              </w:rPr>
              <w:t xml:space="preserve">Can be embedded into onboarding (+3)</w:t>
            </w:r>
          </w:p>
        </w:tc>
      </w:tr>
      <w:tr xmlns:wp14="http://schemas.microsoft.com/office/word/2010/wordml" w14:paraId="2199406E" wp14:textId="77777777">
        <w:tc>
          <w:tcPr>
            <w:tcW w:w="3451" w:type="dxa"/>
            <w:tcBorders>
              <w:top w:val="single" w:color="D7DBE3" w:sz="4"/>
              <w:left w:val="single" w:color="D7DBE3" w:sz="4"/>
              <w:bottom w:val="single" w:color="D7DBE3" w:sz="4"/>
              <w:right w:val="single" w:color="D7DBE3" w:sz="4"/>
            </w:tcBorders>
            <w:shd w:val="clear" w:fill="EFF1F4"/>
            <w:tcMar>
              <w:top w:w="60" w:type="dxa"/>
              <w:left w:w="108" w:type="dxa"/>
              <w:bottom w:w="60" w:type="dxa"/>
              <w:right w:w="108" w:type="dxa"/>
            </w:tcMar>
          </w:tcPr>
          <w:p w14:paraId="79A402AA" wp14:textId="77777777">
            <w:pPr>
              <w:jc w:val="left"/>
            </w:pPr>
            <w:r>
              <w:rPr>
                <w:rFonts w:ascii="Calibri" w:hAnsi="Calibri" w:eastAsia="Calibri" w:cs="Calibri"/>
                <w:b w:val="false"/>
                <w:bCs w:val="false"/>
                <w:sz w:val="20"/>
                <w:szCs w:val="20"/>
              </w:rPr>
              <w:t xml:space="preserve">Fast to deploy, low cost (+4)</w:t>
            </w:r>
          </w:p>
        </w:tc>
        <w:tc>
          <w:tcPr>
            <w:tcW w:w="3154" w:type="dxa"/>
            <w:tcBorders>
              <w:top w:val="single" w:color="D7DBE3" w:sz="4"/>
              <w:left w:val="single" w:color="D7DBE3" w:sz="4"/>
              <w:bottom w:val="single" w:color="D7DBE3" w:sz="4"/>
              <w:right w:val="single" w:color="D7DBE3" w:sz="4"/>
            </w:tcBorders>
            <w:shd w:val="clear" w:fill="EFF1F4"/>
            <w:tcMar>
              <w:top w:w="60" w:type="dxa"/>
              <w:left w:w="108" w:type="dxa"/>
              <w:bottom w:w="60" w:type="dxa"/>
              <w:right w:w="108" w:type="dxa"/>
            </w:tcMar>
          </w:tcPr>
          <w:p w14:paraId="7B8B288D" wp14:textId="77777777">
            <w:pPr>
              <w:jc w:val="left"/>
            </w:pPr>
            <w:r>
              <w:rPr>
                <w:rFonts w:ascii="Calibri" w:hAnsi="Calibri" w:eastAsia="Calibri" w:cs="Calibri"/>
                <w:b w:val="false"/>
                <w:bCs w:val="false"/>
                <w:sz w:val="20"/>
                <w:szCs w:val="20"/>
              </w:rPr>
              <w:t xml:space="preserve">Impact may decay without reinforcement (-3)</w:t>
            </w:r>
          </w:p>
        </w:tc>
        <w:tc>
          <w:tcPr>
            <w:tcW w:w="2755" w:type="dxa"/>
            <w:tcBorders>
              <w:top w:val="single" w:color="D7DBE3" w:sz="4"/>
              <w:left w:val="single" w:color="D7DBE3" w:sz="4"/>
              <w:bottom w:val="single" w:color="D7DBE3" w:sz="4"/>
              <w:right w:val="single" w:color="D7DBE3" w:sz="4"/>
            </w:tcBorders>
            <w:shd w:val="clear" w:fill="EFF1F4"/>
            <w:tcMar>
              <w:top w:w="60" w:type="dxa"/>
              <w:left w:w="108" w:type="dxa"/>
              <w:bottom w:w="60" w:type="dxa"/>
              <w:right w:w="108" w:type="dxa"/>
            </w:tcMar>
          </w:tcPr>
          <w:p w14:paraId="4FCCD0F2" wp14:textId="77777777">
            <w:pPr>
              <w:jc w:val="left"/>
            </w:pPr>
            <w:r>
              <w:rPr>
                <w:rFonts w:ascii="Calibri" w:hAnsi="Calibri" w:eastAsia="Calibri" w:cs="Calibri"/>
                <w:b w:val="false"/>
                <w:bCs w:val="false"/>
                <w:sz w:val="20"/>
                <w:szCs w:val="20"/>
              </w:rPr>
              <w:t xml:space="preserve">Opens path to standard scripts (+3)</w:t>
            </w:r>
          </w:p>
        </w:tc>
      </w:tr>
      <w:tr xmlns:wp14="http://schemas.microsoft.com/office/word/2010/wordml" w14:paraId="50B6B041" wp14:textId="77777777">
        <w:tc>
          <w:tcPr>
            <w:tcW w:w="3451" w:type="dxa"/>
            <w:tcBorders>
              <w:top w:val="single" w:color="D7DBE3" w:sz="4"/>
              <w:left w:val="single" w:color="D7DBE3" w:sz="4"/>
              <w:bottom w:val="single" w:color="D7DBE3" w:sz="4"/>
              <w:right w:val="single" w:color="D7DBE3" w:sz="4"/>
            </w:tcBorders>
            <w:tcMar>
              <w:top w:w="60" w:type="dxa"/>
              <w:left w:w="108" w:type="dxa"/>
              <w:bottom w:w="60" w:type="dxa"/>
              <w:right w:w="108" w:type="dxa"/>
            </w:tcMar>
          </w:tcPr>
          <w:p w14:paraId="639D5434" wp14:textId="77777777">
            <w:pPr>
              <w:jc w:val="left"/>
            </w:pPr>
            <w:r>
              <w:rPr>
                <w:rFonts w:ascii="Calibri" w:hAnsi="Calibri" w:eastAsia="Calibri" w:cs="Calibri"/>
                <w:b w:val="false"/>
                <w:bCs w:val="false"/>
                <w:sz w:val="20"/>
                <w:szCs w:val="20"/>
              </w:rPr>
              <w:t xml:space="preserve">Immediate reduction in misinformation (+5)</w:t>
            </w:r>
          </w:p>
        </w:tc>
        <w:tc>
          <w:tcPr>
            <w:tcW w:w="3154" w:type="dxa"/>
            <w:tcBorders>
              <w:top w:val="single" w:color="D7DBE3" w:sz="4"/>
              <w:left w:val="single" w:color="D7DBE3" w:sz="4"/>
              <w:bottom w:val="single" w:color="D7DBE3" w:sz="4"/>
              <w:right w:val="single" w:color="D7DBE3" w:sz="4"/>
            </w:tcBorders>
            <w:tcMar>
              <w:top w:w="60" w:type="dxa"/>
              <w:left w:w="108" w:type="dxa"/>
              <w:bottom w:w="60" w:type="dxa"/>
              <w:right w:w="108" w:type="dxa"/>
            </w:tcMar>
          </w:tcPr>
          <w:p w14:paraId="72C3A81A" wp14:textId="77777777">
            <w:pPr>
              <w:jc w:val="left"/>
            </w:pPr>
            <w:r>
              <w:rPr>
                <w:rFonts w:ascii="Calibri" w:hAnsi="Calibri" w:eastAsia="Calibri" w:cs="Calibri"/>
                <w:b w:val="false"/>
                <w:bCs w:val="false"/>
                <w:sz w:val="20"/>
                <w:szCs w:val="20"/>
              </w:rPr>
              <w:t xml:space="preserve">Dependent on trainer quality (-2)</w:t>
            </w:r>
          </w:p>
        </w:tc>
        <w:tc>
          <w:tcPr>
            <w:tcW w:w="2755" w:type="dxa"/>
            <w:tcBorders>
              <w:top w:val="single" w:color="D7DBE3" w:sz="4"/>
              <w:left w:val="single" w:color="D7DBE3" w:sz="4"/>
              <w:bottom w:val="single" w:color="D7DBE3" w:sz="4"/>
              <w:right w:val="single" w:color="D7DBE3" w:sz="4"/>
            </w:tcBorders>
            <w:tcMar>
              <w:top w:w="60" w:type="dxa"/>
              <w:left w:w="108" w:type="dxa"/>
              <w:bottom w:w="60" w:type="dxa"/>
              <w:right w:w="108" w:type="dxa"/>
            </w:tcMar>
          </w:tcPr>
          <w:p w14:paraId="2B198C9D" wp14:textId="77777777">
            <w:pPr>
              <w:jc w:val="left"/>
            </w:pPr>
            <w:r>
              <w:rPr>
                <w:rFonts w:ascii="Calibri" w:hAnsi="Calibri" w:eastAsia="Calibri" w:cs="Calibri"/>
                <w:b w:val="false"/>
                <w:bCs w:val="false"/>
                <w:sz w:val="20"/>
                <w:szCs w:val="20"/>
              </w:rPr>
              <w:t xml:space="preserve">Enables peer coaching culture (+2)</w:t>
            </w:r>
          </w:p>
        </w:tc>
      </w:tr>
      <w:tr xmlns:wp14="http://schemas.microsoft.com/office/word/2010/wordml" w14:paraId="1FA71B1C" wp14:textId="77777777">
        <w:tc>
          <w:tcPr>
            <w:tcW w:w="3451" w:type="dxa"/>
            <w:tcBorders>
              <w:top w:val="single" w:color="D7DBE3" w:sz="4"/>
              <w:left w:val="single" w:color="D7DBE3" w:sz="4"/>
              <w:bottom w:val="single" w:color="D7DBE3" w:sz="4"/>
              <w:right w:val="single" w:color="D7DBE3" w:sz="4"/>
            </w:tcBorders>
            <w:shd w:val="clear" w:fill="EFF1F4"/>
            <w:tcMar>
              <w:top w:w="60" w:type="dxa"/>
              <w:left w:w="108" w:type="dxa"/>
              <w:bottom w:w="60" w:type="dxa"/>
              <w:right w:w="108" w:type="dxa"/>
            </w:tcMar>
          </w:tcPr>
          <w:p w14:paraId="32BFEF1A" wp14:textId="77777777">
            <w:pPr>
              <w:jc w:val="left"/>
            </w:pPr>
            <w:r>
              <w:rPr>
                <w:rFonts w:ascii="Calibri" w:hAnsi="Calibri" w:eastAsia="Calibri" w:cs="Calibri"/>
                <w:b w:val="false"/>
                <w:bCs w:val="false"/>
                <w:sz w:val="20"/>
                <w:szCs w:val="20"/>
              </w:rPr>
              <w:t xml:space="preserve">Enhances complaint‑handling skills (+3)</w:t>
            </w:r>
          </w:p>
        </w:tc>
        <w:tc>
          <w:tcPr>
            <w:tcW w:w="3154" w:type="dxa"/>
            <w:tcBorders>
              <w:top w:val="single" w:color="D7DBE3" w:sz="4"/>
              <w:left w:val="single" w:color="D7DBE3" w:sz="4"/>
              <w:bottom w:val="single" w:color="D7DBE3" w:sz="4"/>
              <w:right w:val="single" w:color="D7DBE3" w:sz="4"/>
            </w:tcBorders>
            <w:shd w:val="clear" w:fill="EFF1F4"/>
            <w:tcMar>
              <w:top w:w="60" w:type="dxa"/>
              <w:left w:w="108" w:type="dxa"/>
              <w:bottom w:w="60" w:type="dxa"/>
              <w:right w:w="108" w:type="dxa"/>
            </w:tcMar>
          </w:tcPr>
          <w:p w14:paraId="678061DF" wp14:textId="77777777">
            <w:pPr>
              <w:jc w:val="left"/>
            </w:pPr>
            <w:r>
              <w:rPr>
                <w:rFonts w:ascii="Calibri" w:hAnsi="Calibri" w:eastAsia="Calibri" w:cs="Calibri"/>
                <w:b w:val="false"/>
                <w:bCs w:val="false"/>
                <w:sz w:val="20"/>
                <w:szCs w:val="20"/>
              </w:rPr>
              <w:t xml:space="preserve">Coverage challenges for part‑timers (-2)</w:t>
            </w:r>
          </w:p>
        </w:tc>
        <w:tc>
          <w:tcPr>
            <w:tcW w:w="2755" w:type="dxa"/>
            <w:tcBorders>
              <w:top w:val="single" w:color="D7DBE3" w:sz="4"/>
              <w:left w:val="single" w:color="D7DBE3" w:sz="4"/>
              <w:bottom w:val="single" w:color="D7DBE3" w:sz="4"/>
              <w:right w:val="single" w:color="D7DBE3" w:sz="4"/>
            </w:tcBorders>
            <w:shd w:val="clear" w:fill="EFF1F4"/>
            <w:tcMar>
              <w:top w:w="60" w:type="dxa"/>
              <w:left w:w="108" w:type="dxa"/>
              <w:bottom w:w="60" w:type="dxa"/>
              <w:right w:w="108" w:type="dxa"/>
            </w:tcMar>
          </w:tcPr>
          <w:p w14:paraId="7901019B" wp14:textId="77777777">
            <w:pPr>
              <w:jc w:val="left"/>
            </w:pPr>
            <w:r>
              <w:rPr>
                <w:rFonts w:ascii="Calibri" w:hAnsi="Calibri" w:eastAsia="Calibri" w:cs="Calibri"/>
                <w:b w:val="false"/>
                <w:bCs w:val="false"/>
                <w:sz w:val="20"/>
                <w:szCs w:val="20"/>
              </w:rPr>
              <w:t xml:space="preserve">Opportunity to align brand tone (+2)</w:t>
            </w:r>
          </w:p>
        </w:tc>
      </w:tr>
    </w:tbl>
    <w:p xmlns:wp14="http://schemas.microsoft.com/office/word/2010/wordml" w14:paraId="73A6635A" wp14:textId="7E7CF5C0">
      <w:r w:rsidR="59C001F6">
        <w:rPr/>
        <w:t>Totals: Plus +17 · Minus −9    Interesting +10    Overall Total = +18.</w:t>
      </w:r>
    </w:p>
    <w:p xmlns:wp14="http://schemas.microsoft.com/office/word/2010/wordml" w14:paraId="0BBCE68E" wp14:textId="77777777">
      <w:pPr>
        <w:pStyle w:val="Heading2"/>
      </w:pPr>
      <w:r>
        <w:t xml:space="preserve">Appendix 1: Task 3a) PMI Evaluation Table — Solution B: Digital Product Information System</w:t>
      </w:r>
    </w:p>
    <w:tbl>
      <w:tblPr>
        <w:tblW w:w="9360" w:type="dxa"/>
        <w:tblBorders>
          <w:top w:val="single" w:color="D7DBE3" w:sz="4"/>
          <w:left w:val="single" w:color="D7DBE3" w:sz="4"/>
          <w:bottom w:val="single" w:color="D7DBE3" w:sz="4"/>
          <w:right w:val="single" w:color="D7DBE3" w:sz="4"/>
          <w:insideH w:val="single" w:color="D7DBE3" w:sz="4"/>
          <w:insideV w:val="single" w:color="D7DBE3" w:sz="4"/>
        </w:tblBorders>
        <w:tblLayout w:type="fixed"/>
      </w:tblPr>
      <w:tblGrid>
        <w:gridCol w:w="3607"/>
        <w:gridCol w:w="2944"/>
        <w:gridCol w:w="2809"/>
      </w:tblGrid>
      <w:tr xmlns:wp14="http://schemas.microsoft.com/office/word/2010/wordml" w:rsidTr="59C001F6" w14:paraId="54AB37C7" wp14:textId="77777777">
        <w:trPr>
          <w:tblHeader/>
        </w:trPr>
        <w:tc>
          <w:tcPr>
            <w:tcW w:w="3607" w:type="dxa"/>
            <w:tcBorders>
              <w:top w:val="single" w:color="D7DBE3" w:sz="4"/>
              <w:left w:val="single" w:color="D7DBE3" w:sz="4"/>
              <w:bottom w:val="single" w:color="D7DBE3" w:sz="4"/>
              <w:right w:val="single" w:color="D7DBE3" w:sz="4"/>
            </w:tcBorders>
            <w:shd w:val="clear" w:color="auto" w:fill="1F3864"/>
            <w:tcMar>
              <w:top w:w="60" w:type="dxa"/>
              <w:left w:w="108" w:type="dxa"/>
              <w:bottom w:w="60" w:type="dxa"/>
              <w:right w:w="108" w:type="dxa"/>
            </w:tcMar>
          </w:tcPr>
          <w:p w14:paraId="42DF60D8" wp14:textId="77777777">
            <w:pPr>
              <w:jc w:val="left"/>
            </w:pPr>
            <w:r>
              <w:rPr>
                <w:rFonts w:ascii="Calibri" w:hAnsi="Calibri" w:eastAsia="Calibri" w:cs="Calibri"/>
                <w:b/>
                <w:bCs/>
                <w:color w:val="FFFFFF"/>
                <w:sz w:val="20"/>
                <w:szCs w:val="20"/>
              </w:rPr>
              <w:t xml:space="preserve">Plus</w:t>
            </w:r>
          </w:p>
        </w:tc>
        <w:tc>
          <w:tcPr>
            <w:tcW w:w="2944" w:type="dxa"/>
            <w:tcBorders>
              <w:top w:val="single" w:color="D7DBE3" w:sz="4"/>
              <w:left w:val="single" w:color="D7DBE3" w:sz="4"/>
              <w:bottom w:val="single" w:color="D7DBE3" w:sz="4"/>
              <w:right w:val="single" w:color="D7DBE3" w:sz="4"/>
            </w:tcBorders>
            <w:shd w:val="clear" w:color="auto" w:fill="1F3864"/>
            <w:tcMar>
              <w:top w:w="60" w:type="dxa"/>
              <w:left w:w="108" w:type="dxa"/>
              <w:bottom w:w="60" w:type="dxa"/>
              <w:right w:w="108" w:type="dxa"/>
            </w:tcMar>
          </w:tcPr>
          <w:p w14:paraId="4D2BC746" wp14:textId="77777777">
            <w:pPr>
              <w:jc w:val="left"/>
            </w:pPr>
            <w:r>
              <w:rPr>
                <w:rFonts w:ascii="Calibri" w:hAnsi="Calibri" w:eastAsia="Calibri" w:cs="Calibri"/>
                <w:b/>
                <w:bCs/>
                <w:color w:val="FFFFFF"/>
                <w:sz w:val="20"/>
                <w:szCs w:val="20"/>
              </w:rPr>
              <w:t xml:space="preserve">Minus</w:t>
            </w:r>
          </w:p>
        </w:tc>
        <w:tc>
          <w:tcPr>
            <w:tcW w:w="2809" w:type="dxa"/>
            <w:tcBorders>
              <w:top w:val="single" w:color="D7DBE3" w:sz="4"/>
              <w:left w:val="single" w:color="D7DBE3" w:sz="4"/>
              <w:bottom w:val="single" w:color="D7DBE3" w:sz="4"/>
              <w:right w:val="single" w:color="D7DBE3" w:sz="4"/>
            </w:tcBorders>
            <w:shd w:val="clear" w:color="auto" w:fill="1F3864"/>
            <w:tcMar>
              <w:top w:w="60" w:type="dxa"/>
              <w:left w:w="108" w:type="dxa"/>
              <w:bottom w:w="60" w:type="dxa"/>
              <w:right w:w="108" w:type="dxa"/>
            </w:tcMar>
          </w:tcPr>
          <w:p w14:paraId="378EB10F" wp14:textId="77777777">
            <w:pPr>
              <w:jc w:val="left"/>
            </w:pPr>
            <w:r>
              <w:rPr>
                <w:rFonts w:ascii="Calibri" w:hAnsi="Calibri" w:eastAsia="Calibri" w:cs="Calibri"/>
                <w:b/>
                <w:bCs/>
                <w:color w:val="FFFFFF"/>
                <w:sz w:val="20"/>
                <w:szCs w:val="20"/>
              </w:rPr>
              <w:t xml:space="preserve">Interesting</w:t>
            </w:r>
          </w:p>
        </w:tc>
      </w:tr>
      <w:tr xmlns:wp14="http://schemas.microsoft.com/office/word/2010/wordml" w:rsidTr="59C001F6" w14:paraId="59B9ADAB" wp14:textId="77777777">
        <w:tc>
          <w:tcPr>
            <w:tcW w:w="3607" w:type="dxa"/>
            <w:tcBorders>
              <w:top w:val="single" w:color="D7DBE3" w:sz="4"/>
              <w:left w:val="single" w:color="D7DBE3" w:sz="4"/>
              <w:bottom w:val="single" w:color="D7DBE3" w:sz="4"/>
              <w:right w:val="single" w:color="D7DBE3" w:sz="4"/>
            </w:tcBorders>
            <w:tcMar>
              <w:top w:w="60" w:type="dxa"/>
              <w:left w:w="108" w:type="dxa"/>
              <w:bottom w:w="60" w:type="dxa"/>
              <w:right w:w="108" w:type="dxa"/>
            </w:tcMar>
          </w:tcPr>
          <w:p w14:paraId="0391583C" wp14:textId="77777777">
            <w:pPr>
              <w:jc w:val="left"/>
            </w:pPr>
            <w:r w:rsidRPr="59C001F6" w:rsidR="59C001F6">
              <w:rPr>
                <w:rFonts w:ascii="Calibri" w:hAnsi="Calibri" w:eastAsia="Calibri" w:cs="Calibri"/>
                <w:b w:val="0"/>
                <w:bCs w:val="0"/>
                <w:sz w:val="20"/>
                <w:szCs w:val="20"/>
                <w:lang w:val="en-US"/>
              </w:rPr>
              <w:t>Single source of truth for ingredients/allergens (+5)</w:t>
            </w:r>
          </w:p>
        </w:tc>
        <w:tc>
          <w:tcPr>
            <w:tcW w:w="2944" w:type="dxa"/>
            <w:tcBorders>
              <w:top w:val="single" w:color="D7DBE3" w:sz="4"/>
              <w:left w:val="single" w:color="D7DBE3" w:sz="4"/>
              <w:bottom w:val="single" w:color="D7DBE3" w:sz="4"/>
              <w:right w:val="single" w:color="D7DBE3" w:sz="4"/>
            </w:tcBorders>
            <w:tcMar>
              <w:top w:w="60" w:type="dxa"/>
              <w:left w:w="108" w:type="dxa"/>
              <w:bottom w:w="60" w:type="dxa"/>
              <w:right w:w="108" w:type="dxa"/>
            </w:tcMar>
          </w:tcPr>
          <w:p w14:paraId="293E6FE7" wp14:textId="77777777">
            <w:pPr>
              <w:jc w:val="left"/>
            </w:pPr>
            <w:r>
              <w:rPr>
                <w:rFonts w:ascii="Calibri" w:hAnsi="Calibri" w:eastAsia="Calibri" w:cs="Calibri"/>
                <w:b w:val="false"/>
                <w:bCs w:val="false"/>
                <w:sz w:val="20"/>
                <w:szCs w:val="20"/>
              </w:rPr>
              <w:t xml:space="preserve">Upfront setup and data hygiene effort (-3)</w:t>
            </w:r>
          </w:p>
        </w:tc>
        <w:tc>
          <w:tcPr>
            <w:tcW w:w="2809" w:type="dxa"/>
            <w:tcBorders>
              <w:top w:val="single" w:color="D7DBE3" w:sz="4"/>
              <w:left w:val="single" w:color="D7DBE3" w:sz="4"/>
              <w:bottom w:val="single" w:color="D7DBE3" w:sz="4"/>
              <w:right w:val="single" w:color="D7DBE3" w:sz="4"/>
            </w:tcBorders>
            <w:tcMar>
              <w:top w:w="60" w:type="dxa"/>
              <w:left w:w="108" w:type="dxa"/>
              <w:bottom w:w="60" w:type="dxa"/>
              <w:right w:w="108" w:type="dxa"/>
            </w:tcMar>
          </w:tcPr>
          <w:p w14:paraId="3C0ACEA4" wp14:textId="77777777">
            <w:pPr>
              <w:jc w:val="left"/>
            </w:pPr>
            <w:r>
              <w:rPr>
                <w:rFonts w:ascii="Calibri" w:hAnsi="Calibri" w:eastAsia="Calibri" w:cs="Calibri"/>
                <w:b w:val="false"/>
                <w:bCs w:val="false"/>
                <w:sz w:val="20"/>
                <w:szCs w:val="20"/>
              </w:rPr>
              <w:t xml:space="preserve">Can auto‑generate compliant labels (+4)</w:t>
            </w:r>
          </w:p>
        </w:tc>
      </w:tr>
      <w:tr xmlns:wp14="http://schemas.microsoft.com/office/word/2010/wordml" w:rsidTr="59C001F6" w14:paraId="1AC05B0B" wp14:textId="77777777">
        <w:tc>
          <w:tcPr>
            <w:tcW w:w="3607" w:type="dxa"/>
            <w:tcBorders>
              <w:top w:val="single" w:color="D7DBE3" w:sz="4"/>
              <w:left w:val="single" w:color="D7DBE3" w:sz="4"/>
              <w:bottom w:val="single" w:color="D7DBE3" w:sz="4"/>
              <w:right w:val="single" w:color="D7DBE3" w:sz="4"/>
            </w:tcBorders>
            <w:shd w:val="clear" w:color="auto" w:fill="EFF1F4"/>
            <w:tcMar>
              <w:top w:w="60" w:type="dxa"/>
              <w:left w:w="108" w:type="dxa"/>
              <w:bottom w:w="60" w:type="dxa"/>
              <w:right w:w="108" w:type="dxa"/>
            </w:tcMar>
          </w:tcPr>
          <w:p w14:paraId="2007003E" wp14:textId="77777777">
            <w:pPr>
              <w:jc w:val="left"/>
            </w:pPr>
            <w:r>
              <w:rPr>
                <w:rFonts w:ascii="Calibri" w:hAnsi="Calibri" w:eastAsia="Calibri" w:cs="Calibri"/>
                <w:b w:val="false"/>
                <w:bCs w:val="false"/>
                <w:sz w:val="20"/>
                <w:szCs w:val="20"/>
              </w:rPr>
              <w:t xml:space="preserve">Reduces memory reliance, human error (+5)</w:t>
            </w:r>
          </w:p>
        </w:tc>
        <w:tc>
          <w:tcPr>
            <w:tcW w:w="2944" w:type="dxa"/>
            <w:tcBorders>
              <w:top w:val="single" w:color="D7DBE3" w:sz="4"/>
              <w:left w:val="single" w:color="D7DBE3" w:sz="4"/>
              <w:bottom w:val="single" w:color="D7DBE3" w:sz="4"/>
              <w:right w:val="single" w:color="D7DBE3" w:sz="4"/>
            </w:tcBorders>
            <w:shd w:val="clear" w:color="auto" w:fill="EFF1F4"/>
            <w:tcMar>
              <w:top w:w="60" w:type="dxa"/>
              <w:left w:w="108" w:type="dxa"/>
              <w:bottom w:w="60" w:type="dxa"/>
              <w:right w:w="108" w:type="dxa"/>
            </w:tcMar>
          </w:tcPr>
          <w:p w14:paraId="7A83476D" wp14:textId="77777777">
            <w:pPr>
              <w:jc w:val="left"/>
            </w:pPr>
            <w:r>
              <w:rPr>
                <w:rFonts w:ascii="Calibri" w:hAnsi="Calibri" w:eastAsia="Calibri" w:cs="Calibri"/>
                <w:b w:val="false"/>
                <w:bCs w:val="false"/>
                <w:sz w:val="20"/>
                <w:szCs w:val="20"/>
              </w:rPr>
              <w:t xml:space="preserve">Device cost/maintenance (-2)</w:t>
            </w:r>
          </w:p>
        </w:tc>
        <w:tc>
          <w:tcPr>
            <w:tcW w:w="2809" w:type="dxa"/>
            <w:tcBorders>
              <w:top w:val="single" w:color="D7DBE3" w:sz="4"/>
              <w:left w:val="single" w:color="D7DBE3" w:sz="4"/>
              <w:bottom w:val="single" w:color="D7DBE3" w:sz="4"/>
              <w:right w:val="single" w:color="D7DBE3" w:sz="4"/>
            </w:tcBorders>
            <w:shd w:val="clear" w:color="auto" w:fill="EFF1F4"/>
            <w:tcMar>
              <w:top w:w="60" w:type="dxa"/>
              <w:left w:w="108" w:type="dxa"/>
              <w:bottom w:w="60" w:type="dxa"/>
              <w:right w:w="108" w:type="dxa"/>
            </w:tcMar>
          </w:tcPr>
          <w:p w14:paraId="721BC96F" wp14:textId="77777777">
            <w:pPr>
              <w:jc w:val="left"/>
            </w:pPr>
            <w:r>
              <w:rPr>
                <w:rFonts w:ascii="Calibri" w:hAnsi="Calibri" w:eastAsia="Calibri" w:cs="Calibri"/>
                <w:b w:val="false"/>
                <w:bCs w:val="false"/>
                <w:sz w:val="20"/>
                <w:szCs w:val="20"/>
              </w:rPr>
              <w:t xml:space="preserve">Scales with menu changes (+3)</w:t>
            </w:r>
          </w:p>
        </w:tc>
      </w:tr>
      <w:tr xmlns:wp14="http://schemas.microsoft.com/office/word/2010/wordml" w:rsidTr="59C001F6" w14:paraId="323B0F05" wp14:textId="77777777">
        <w:tc>
          <w:tcPr>
            <w:tcW w:w="3607" w:type="dxa"/>
            <w:tcBorders>
              <w:top w:val="single" w:color="D7DBE3" w:sz="4"/>
              <w:left w:val="single" w:color="D7DBE3" w:sz="4"/>
              <w:bottom w:val="single" w:color="D7DBE3" w:sz="4"/>
              <w:right w:val="single" w:color="D7DBE3" w:sz="4"/>
            </w:tcBorders>
            <w:tcMar>
              <w:top w:w="60" w:type="dxa"/>
              <w:left w:w="108" w:type="dxa"/>
              <w:bottom w:w="60" w:type="dxa"/>
              <w:right w:w="108" w:type="dxa"/>
            </w:tcMar>
          </w:tcPr>
          <w:p w14:paraId="21C3C2FF" wp14:textId="77777777">
            <w:pPr>
              <w:jc w:val="left"/>
            </w:pPr>
            <w:r>
              <w:rPr>
                <w:rFonts w:ascii="Calibri" w:hAnsi="Calibri" w:eastAsia="Calibri" w:cs="Calibri"/>
                <w:b w:val="false"/>
                <w:bCs w:val="false"/>
                <w:sz w:val="20"/>
                <w:szCs w:val="20"/>
              </w:rPr>
              <w:t xml:space="preserve">Improves auditability and compliance (+5)</w:t>
            </w:r>
          </w:p>
        </w:tc>
        <w:tc>
          <w:tcPr>
            <w:tcW w:w="2944" w:type="dxa"/>
            <w:tcBorders>
              <w:top w:val="single" w:color="D7DBE3" w:sz="4"/>
              <w:left w:val="single" w:color="D7DBE3" w:sz="4"/>
              <w:bottom w:val="single" w:color="D7DBE3" w:sz="4"/>
              <w:right w:val="single" w:color="D7DBE3" w:sz="4"/>
            </w:tcBorders>
            <w:tcMar>
              <w:top w:w="60" w:type="dxa"/>
              <w:left w:w="108" w:type="dxa"/>
              <w:bottom w:w="60" w:type="dxa"/>
              <w:right w:w="108" w:type="dxa"/>
            </w:tcMar>
          </w:tcPr>
          <w:p w14:paraId="2BFBAAE6" wp14:textId="77777777">
            <w:pPr>
              <w:jc w:val="left"/>
            </w:pPr>
            <w:r>
              <w:rPr>
                <w:rFonts w:ascii="Calibri" w:hAnsi="Calibri" w:eastAsia="Calibri" w:cs="Calibri"/>
                <w:b w:val="false"/>
                <w:bCs w:val="false"/>
                <w:sz w:val="20"/>
                <w:szCs w:val="20"/>
              </w:rPr>
              <w:t xml:space="preserve">Staff adoption/usage risk (-2)</w:t>
            </w:r>
          </w:p>
        </w:tc>
        <w:tc>
          <w:tcPr>
            <w:tcW w:w="2809" w:type="dxa"/>
            <w:tcBorders>
              <w:top w:val="single" w:color="D7DBE3" w:sz="4"/>
              <w:left w:val="single" w:color="D7DBE3" w:sz="4"/>
              <w:bottom w:val="single" w:color="D7DBE3" w:sz="4"/>
              <w:right w:val="single" w:color="D7DBE3" w:sz="4"/>
            </w:tcBorders>
            <w:tcMar>
              <w:top w:w="60" w:type="dxa"/>
              <w:left w:w="108" w:type="dxa"/>
              <w:bottom w:w="60" w:type="dxa"/>
              <w:right w:w="108" w:type="dxa"/>
            </w:tcMar>
          </w:tcPr>
          <w:p w14:paraId="22994CA5" wp14:textId="77777777">
            <w:pPr>
              <w:jc w:val="left"/>
            </w:pPr>
            <w:r>
              <w:rPr>
                <w:rFonts w:ascii="Calibri" w:hAnsi="Calibri" w:eastAsia="Calibri" w:cs="Calibri"/>
                <w:b w:val="false"/>
                <w:bCs w:val="false"/>
                <w:sz w:val="20"/>
                <w:szCs w:val="20"/>
              </w:rPr>
              <w:t xml:space="preserve">Potential customer‑facing display (+2)</w:t>
            </w:r>
          </w:p>
        </w:tc>
      </w:tr>
      <w:tr xmlns:wp14="http://schemas.microsoft.com/office/word/2010/wordml" w:rsidTr="59C001F6" w14:paraId="74516AEA" wp14:textId="77777777">
        <w:tc>
          <w:tcPr>
            <w:tcW w:w="3607" w:type="dxa"/>
            <w:tcBorders>
              <w:top w:val="single" w:color="D7DBE3" w:sz="4"/>
              <w:left w:val="single" w:color="D7DBE3" w:sz="4"/>
              <w:bottom w:val="single" w:color="D7DBE3" w:sz="4"/>
              <w:right w:val="single" w:color="D7DBE3" w:sz="4"/>
            </w:tcBorders>
            <w:shd w:val="clear" w:color="auto" w:fill="EFF1F4"/>
            <w:tcMar>
              <w:top w:w="60" w:type="dxa"/>
              <w:left w:w="108" w:type="dxa"/>
              <w:bottom w:w="60" w:type="dxa"/>
              <w:right w:w="108" w:type="dxa"/>
            </w:tcMar>
          </w:tcPr>
          <w:p w14:paraId="5F052FDC" wp14:textId="77777777">
            <w:pPr>
              <w:jc w:val="left"/>
            </w:pPr>
            <w:r>
              <w:rPr>
                <w:rFonts w:ascii="Calibri" w:hAnsi="Calibri" w:eastAsia="Calibri" w:cs="Calibri"/>
                <w:b w:val="false"/>
                <w:bCs w:val="false"/>
                <w:sz w:val="20"/>
                <w:szCs w:val="20"/>
              </w:rPr>
              <w:t xml:space="preserve">Faster lookups at counter (+3)</w:t>
            </w:r>
          </w:p>
        </w:tc>
        <w:tc>
          <w:tcPr>
            <w:tcW w:w="2944" w:type="dxa"/>
            <w:tcBorders>
              <w:top w:val="single" w:color="D7DBE3" w:sz="4"/>
              <w:left w:val="single" w:color="D7DBE3" w:sz="4"/>
              <w:bottom w:val="single" w:color="D7DBE3" w:sz="4"/>
              <w:right w:val="single" w:color="D7DBE3" w:sz="4"/>
            </w:tcBorders>
            <w:shd w:val="clear" w:color="auto" w:fill="EFF1F4"/>
            <w:tcMar>
              <w:top w:w="60" w:type="dxa"/>
              <w:left w:w="108" w:type="dxa"/>
              <w:bottom w:w="60" w:type="dxa"/>
              <w:right w:w="108" w:type="dxa"/>
            </w:tcMar>
          </w:tcPr>
          <w:p w14:paraId="1626BB8C" wp14:textId="77777777">
            <w:pPr>
              <w:jc w:val="left"/>
            </w:pPr>
            <w:r w:rsidRPr="59C001F6" w:rsidR="59C001F6">
              <w:rPr>
                <w:rFonts w:ascii="Calibri" w:hAnsi="Calibri" w:eastAsia="Calibri" w:cs="Calibri"/>
                <w:b w:val="0"/>
                <w:bCs w:val="0"/>
                <w:sz w:val="20"/>
                <w:szCs w:val="20"/>
                <w:lang w:val="en-US"/>
              </w:rPr>
              <w:t>Process discipline required (-2)</w:t>
            </w:r>
          </w:p>
        </w:tc>
        <w:tc>
          <w:tcPr>
            <w:tcW w:w="2809" w:type="dxa"/>
            <w:tcBorders>
              <w:top w:val="single" w:color="D7DBE3" w:sz="4"/>
              <w:left w:val="single" w:color="D7DBE3" w:sz="4"/>
              <w:bottom w:val="single" w:color="D7DBE3" w:sz="4"/>
              <w:right w:val="single" w:color="D7DBE3" w:sz="4"/>
            </w:tcBorders>
            <w:shd w:val="clear" w:color="auto" w:fill="EFF1F4"/>
            <w:tcMar>
              <w:top w:w="60" w:type="dxa"/>
              <w:left w:w="108" w:type="dxa"/>
              <w:bottom w:w="60" w:type="dxa"/>
              <w:right w:w="108" w:type="dxa"/>
            </w:tcMar>
          </w:tcPr>
          <w:p w14:paraId="7FD22FC4" wp14:textId="77777777">
            <w:pPr>
              <w:jc w:val="left"/>
            </w:pPr>
            <w:r>
              <w:rPr>
                <w:rFonts w:ascii="Calibri" w:hAnsi="Calibri" w:eastAsia="Calibri" w:cs="Calibri"/>
                <w:b w:val="false"/>
                <w:bCs w:val="false"/>
                <w:sz w:val="20"/>
                <w:szCs w:val="20"/>
              </w:rPr>
              <w:t xml:space="preserve">Integrates with training materials (+2)</w:t>
            </w:r>
          </w:p>
        </w:tc>
      </w:tr>
    </w:tbl>
    <w:p xmlns:wp14="http://schemas.microsoft.com/office/word/2010/wordml" w14:paraId="34850B70" wp14:textId="6622D8A7">
      <w:r w:rsidR="59C001F6">
        <w:rPr/>
        <w:t xml:space="preserve">Totals: Plus +18 · Minus −9    Interesting +11. Overall Total = +20. </w:t>
      </w:r>
    </w:p>
    <w:p xmlns:wp14="http://schemas.microsoft.com/office/word/2010/wordml" w14:paraId="0E5CD642" wp14:textId="77777777">
      <w:pPr>
        <w:pStyle w:val="Heading2"/>
      </w:pPr>
      <w:r>
        <w:t xml:space="preserve">Appendix 2: Task 4a) Implementation Plan</w:t>
      </w:r>
    </w:p>
    <w:p xmlns:wp14="http://schemas.microsoft.com/office/word/2010/wordml" w14:paraId="4E7EA4FA" wp14:textId="77777777">
      <w:r>
        <w:t xml:space="preserve">Name the problem you are solving: Inaccurate/inconsistent product information provided to customers at point‑of‑sale.</w:t>
      </w:r>
    </w:p>
    <w:p xmlns:wp14="http://schemas.microsoft.com/office/word/2010/wordml" w14:paraId="68A4CEC5" wp14:textId="77777777">
      <w:r w:rsidRPr="59C001F6" w:rsidR="59C001F6">
        <w:rPr>
          <w:lang w:val="en-US"/>
        </w:rPr>
        <w:t>Name the solution you are implementing: In‑person Staff Training Programme with job aids and follow‑up assessment.</w:t>
      </w:r>
    </w:p>
    <w:tbl>
      <w:tblPr>
        <w:tblW w:w="9360" w:type="dxa"/>
        <w:tblBorders>
          <w:top w:val="single" w:color="D7DBE3" w:sz="4"/>
          <w:left w:val="single" w:color="D7DBE3" w:sz="4"/>
          <w:bottom w:val="single" w:color="D7DBE3" w:sz="4"/>
          <w:right w:val="single" w:color="D7DBE3" w:sz="4"/>
          <w:insideH w:val="single" w:color="D7DBE3" w:sz="4"/>
          <w:insideV w:val="single" w:color="D7DBE3" w:sz="4"/>
        </w:tblBorders>
        <w:tblLayout w:type="fixed"/>
      </w:tblPr>
      <w:tblGrid>
        <w:gridCol w:w="400"/>
        <w:gridCol w:w="1151"/>
        <w:gridCol w:w="3856"/>
        <w:gridCol w:w="1117"/>
        <w:gridCol w:w="1153"/>
        <w:gridCol w:w="1683"/>
      </w:tblGrid>
      <w:tr xmlns:wp14="http://schemas.microsoft.com/office/word/2010/wordml" w:rsidTr="59C001F6" w14:paraId="36652B0E" wp14:textId="77777777">
        <w:trPr>
          <w:tblHeader/>
        </w:trPr>
        <w:tc>
          <w:tcPr>
            <w:tcW w:w="400" w:type="dxa"/>
            <w:tcBorders>
              <w:top w:val="single" w:color="D7DBE3" w:sz="4"/>
              <w:left w:val="single" w:color="D7DBE3" w:sz="4"/>
              <w:bottom w:val="single" w:color="D7DBE3" w:sz="4"/>
              <w:right w:val="single" w:color="D7DBE3" w:sz="4"/>
            </w:tcBorders>
            <w:shd w:val="clear" w:color="auto" w:fill="1F3864"/>
            <w:tcMar>
              <w:top w:w="60" w:type="dxa"/>
              <w:left w:w="108" w:type="dxa"/>
              <w:bottom w:w="60" w:type="dxa"/>
              <w:right w:w="108" w:type="dxa"/>
            </w:tcMar>
          </w:tcPr>
          <w:p w14:paraId="5AFC7B24" wp14:textId="77777777">
            <w:pPr>
              <w:jc w:val="right"/>
            </w:pPr>
            <w:r>
              <w:rPr>
                <w:rFonts w:ascii="Calibri" w:hAnsi="Calibri" w:eastAsia="Calibri" w:cs="Calibri"/>
                <w:b/>
                <w:bCs/>
                <w:color w:val="FFFFFF"/>
                <w:sz w:val="20"/>
                <w:szCs w:val="20"/>
              </w:rPr>
              <w:t xml:space="preserve">#</w:t>
            </w:r>
          </w:p>
        </w:tc>
        <w:tc>
          <w:tcPr>
            <w:tcW w:w="1151" w:type="dxa"/>
            <w:tcBorders>
              <w:top w:val="single" w:color="D7DBE3" w:sz="4"/>
              <w:left w:val="single" w:color="D7DBE3" w:sz="4"/>
              <w:bottom w:val="single" w:color="D7DBE3" w:sz="4"/>
              <w:right w:val="single" w:color="D7DBE3" w:sz="4"/>
            </w:tcBorders>
            <w:shd w:val="clear" w:color="auto" w:fill="1F3864"/>
            <w:tcMar>
              <w:top w:w="60" w:type="dxa"/>
              <w:left w:w="108" w:type="dxa"/>
              <w:bottom w:w="60" w:type="dxa"/>
              <w:right w:w="108" w:type="dxa"/>
            </w:tcMar>
          </w:tcPr>
          <w:p w14:paraId="15F68445" wp14:textId="77777777">
            <w:pPr>
              <w:jc w:val="left"/>
            </w:pPr>
            <w:r>
              <w:rPr>
                <w:rFonts w:ascii="Calibri" w:hAnsi="Calibri" w:eastAsia="Calibri" w:cs="Calibri"/>
                <w:b/>
                <w:bCs/>
                <w:color w:val="FFFFFF"/>
                <w:sz w:val="20"/>
                <w:szCs w:val="20"/>
              </w:rPr>
              <w:t xml:space="preserve">Task</w:t>
            </w:r>
          </w:p>
        </w:tc>
        <w:tc>
          <w:tcPr>
            <w:tcW w:w="3856" w:type="dxa"/>
            <w:tcBorders>
              <w:top w:val="single" w:color="D7DBE3" w:sz="4"/>
              <w:left w:val="single" w:color="D7DBE3" w:sz="4"/>
              <w:bottom w:val="single" w:color="D7DBE3" w:sz="4"/>
              <w:right w:val="single" w:color="D7DBE3" w:sz="4"/>
            </w:tcBorders>
            <w:shd w:val="clear" w:color="auto" w:fill="1F3864"/>
            <w:tcMar>
              <w:top w:w="60" w:type="dxa"/>
              <w:left w:w="108" w:type="dxa"/>
              <w:bottom w:w="60" w:type="dxa"/>
              <w:right w:w="108" w:type="dxa"/>
            </w:tcMar>
          </w:tcPr>
          <w:p w14:paraId="281684B4" wp14:textId="77777777">
            <w:pPr>
              <w:jc w:val="left"/>
            </w:pPr>
            <w:r>
              <w:rPr>
                <w:rFonts w:ascii="Calibri" w:hAnsi="Calibri" w:eastAsia="Calibri" w:cs="Calibri"/>
                <w:b/>
                <w:bCs/>
                <w:color w:val="FFFFFF"/>
                <w:sz w:val="20"/>
                <w:szCs w:val="20"/>
              </w:rPr>
              <w:t xml:space="preserve">WHAT</w:t>
            </w:r>
          </w:p>
        </w:tc>
        <w:tc>
          <w:tcPr>
            <w:tcW w:w="1117" w:type="dxa"/>
            <w:tcBorders>
              <w:top w:val="single" w:color="D7DBE3" w:sz="4"/>
              <w:left w:val="single" w:color="D7DBE3" w:sz="4"/>
              <w:bottom w:val="single" w:color="D7DBE3" w:sz="4"/>
              <w:right w:val="single" w:color="D7DBE3" w:sz="4"/>
            </w:tcBorders>
            <w:shd w:val="clear" w:color="auto" w:fill="1F3864"/>
            <w:tcMar>
              <w:top w:w="60" w:type="dxa"/>
              <w:left w:w="108" w:type="dxa"/>
              <w:bottom w:w="60" w:type="dxa"/>
              <w:right w:w="108" w:type="dxa"/>
            </w:tcMar>
          </w:tcPr>
          <w:p w14:paraId="24225700" wp14:textId="77777777">
            <w:pPr>
              <w:jc w:val="left"/>
            </w:pPr>
            <w:r>
              <w:rPr>
                <w:rFonts w:ascii="Calibri" w:hAnsi="Calibri" w:eastAsia="Calibri" w:cs="Calibri"/>
                <w:b/>
                <w:bCs/>
                <w:color w:val="FFFFFF"/>
                <w:sz w:val="20"/>
                <w:szCs w:val="20"/>
              </w:rPr>
              <w:t xml:space="preserve">WHEN</w:t>
            </w:r>
          </w:p>
        </w:tc>
        <w:tc>
          <w:tcPr>
            <w:tcW w:w="1153" w:type="dxa"/>
            <w:tcBorders>
              <w:top w:val="single" w:color="D7DBE3" w:sz="4"/>
              <w:left w:val="single" w:color="D7DBE3" w:sz="4"/>
              <w:bottom w:val="single" w:color="D7DBE3" w:sz="4"/>
              <w:right w:val="single" w:color="D7DBE3" w:sz="4"/>
            </w:tcBorders>
            <w:shd w:val="clear" w:color="auto" w:fill="1F3864"/>
            <w:tcMar>
              <w:top w:w="60" w:type="dxa"/>
              <w:left w:w="108" w:type="dxa"/>
              <w:bottom w:w="60" w:type="dxa"/>
              <w:right w:w="108" w:type="dxa"/>
            </w:tcMar>
          </w:tcPr>
          <w:p w14:paraId="2166ADE5" wp14:textId="77777777">
            <w:pPr>
              <w:jc w:val="left"/>
            </w:pPr>
            <w:r>
              <w:rPr>
                <w:rFonts w:ascii="Calibri" w:hAnsi="Calibri" w:eastAsia="Calibri" w:cs="Calibri"/>
                <w:b/>
                <w:bCs/>
                <w:color w:val="FFFFFF"/>
                <w:sz w:val="20"/>
                <w:szCs w:val="20"/>
              </w:rPr>
              <w:t xml:space="preserve">WHO</w:t>
            </w:r>
          </w:p>
        </w:tc>
        <w:tc>
          <w:tcPr>
            <w:tcW w:w="1683" w:type="dxa"/>
            <w:tcBorders>
              <w:top w:val="single" w:color="D7DBE3" w:sz="4"/>
              <w:left w:val="single" w:color="D7DBE3" w:sz="4"/>
              <w:bottom w:val="single" w:color="D7DBE3" w:sz="4"/>
              <w:right w:val="single" w:color="D7DBE3" w:sz="4"/>
            </w:tcBorders>
            <w:shd w:val="clear" w:color="auto" w:fill="1F3864"/>
            <w:tcMar>
              <w:top w:w="60" w:type="dxa"/>
              <w:left w:w="108" w:type="dxa"/>
              <w:bottom w:w="60" w:type="dxa"/>
              <w:right w:w="108" w:type="dxa"/>
            </w:tcMar>
          </w:tcPr>
          <w:p w14:paraId="68533AF2" wp14:textId="77777777">
            <w:pPr>
              <w:jc w:val="left"/>
            </w:pPr>
            <w:r>
              <w:rPr>
                <w:rFonts w:ascii="Calibri" w:hAnsi="Calibri" w:eastAsia="Calibri" w:cs="Calibri"/>
                <w:b/>
                <w:bCs/>
                <w:color w:val="FFFFFF"/>
                <w:sz w:val="20"/>
                <w:szCs w:val="20"/>
              </w:rPr>
              <w:t xml:space="preserve">Done</w:t>
            </w:r>
          </w:p>
        </w:tc>
      </w:tr>
      <w:tr xmlns:wp14="http://schemas.microsoft.com/office/word/2010/wordml" w:rsidTr="59C001F6" w14:paraId="2E4831F5" wp14:textId="77777777">
        <w:tc>
          <w:tcPr>
            <w:tcW w:w="400" w:type="dxa"/>
            <w:tcBorders>
              <w:top w:val="single" w:color="D7DBE3" w:sz="4"/>
              <w:left w:val="single" w:color="D7DBE3" w:sz="4"/>
              <w:bottom w:val="single" w:color="D7DBE3" w:sz="4"/>
              <w:right w:val="single" w:color="D7DBE3" w:sz="4"/>
            </w:tcBorders>
            <w:tcMar>
              <w:top w:w="60" w:type="dxa"/>
              <w:left w:w="108" w:type="dxa"/>
              <w:bottom w:w="60" w:type="dxa"/>
              <w:right w:w="108" w:type="dxa"/>
            </w:tcMar>
          </w:tcPr>
          <w:p w14:paraId="649841BE" wp14:textId="77777777">
            <w:pPr>
              <w:jc w:val="right"/>
            </w:pPr>
            <w:r>
              <w:rPr>
                <w:rFonts w:ascii="Calibri" w:hAnsi="Calibri" w:eastAsia="Calibri" w:cs="Calibri"/>
                <w:b w:val="false"/>
                <w:bCs w:val="false"/>
                <w:sz w:val="20"/>
                <w:szCs w:val="20"/>
              </w:rPr>
              <w:t xml:space="preserve">1</w:t>
            </w:r>
          </w:p>
        </w:tc>
        <w:tc>
          <w:tcPr>
            <w:tcW w:w="1151" w:type="dxa"/>
            <w:tcBorders>
              <w:top w:val="single" w:color="D7DBE3" w:sz="4"/>
              <w:left w:val="single" w:color="D7DBE3" w:sz="4"/>
              <w:bottom w:val="single" w:color="D7DBE3" w:sz="4"/>
              <w:right w:val="single" w:color="D7DBE3" w:sz="4"/>
            </w:tcBorders>
            <w:tcMar>
              <w:top w:w="60" w:type="dxa"/>
              <w:left w:w="108" w:type="dxa"/>
              <w:bottom w:w="60" w:type="dxa"/>
              <w:right w:w="108" w:type="dxa"/>
            </w:tcMar>
          </w:tcPr>
          <w:p w14:paraId="4AF627BA" wp14:textId="77777777">
            <w:pPr>
              <w:jc w:val="left"/>
            </w:pPr>
            <w:r>
              <w:rPr>
                <w:rFonts w:ascii="Calibri" w:hAnsi="Calibri" w:eastAsia="Calibri" w:cs="Calibri"/>
                <w:b w:val="false"/>
                <w:bCs w:val="false"/>
                <w:sz w:val="20"/>
                <w:szCs w:val="20"/>
              </w:rPr>
              <w:t xml:space="preserve">Diagnose gaps</w:t>
            </w:r>
          </w:p>
        </w:tc>
        <w:tc>
          <w:tcPr>
            <w:tcW w:w="3856" w:type="dxa"/>
            <w:tcBorders>
              <w:top w:val="single" w:color="D7DBE3" w:sz="4"/>
              <w:left w:val="single" w:color="D7DBE3" w:sz="4"/>
              <w:bottom w:val="single" w:color="D7DBE3" w:sz="4"/>
              <w:right w:val="single" w:color="D7DBE3" w:sz="4"/>
            </w:tcBorders>
            <w:tcMar>
              <w:top w:w="60" w:type="dxa"/>
              <w:left w:w="108" w:type="dxa"/>
              <w:bottom w:w="60" w:type="dxa"/>
              <w:right w:w="108" w:type="dxa"/>
            </w:tcMar>
          </w:tcPr>
          <w:p w14:paraId="6BC435D4" wp14:textId="77777777">
            <w:pPr>
              <w:jc w:val="left"/>
            </w:pPr>
            <w:r>
              <w:rPr>
                <w:rFonts w:ascii="Calibri" w:hAnsi="Calibri" w:eastAsia="Calibri" w:cs="Calibri"/>
                <w:b w:val="false"/>
                <w:bCs w:val="false"/>
                <w:sz w:val="20"/>
                <w:szCs w:val="20"/>
              </w:rPr>
              <w:t xml:space="preserve">10‑item quiz and brief observation across shifts; compile results and priority topics.</w:t>
            </w:r>
          </w:p>
        </w:tc>
        <w:tc>
          <w:tcPr>
            <w:tcW w:w="1117" w:type="dxa"/>
            <w:tcBorders>
              <w:top w:val="single" w:color="D7DBE3" w:sz="4"/>
              <w:left w:val="single" w:color="D7DBE3" w:sz="4"/>
              <w:bottom w:val="single" w:color="D7DBE3" w:sz="4"/>
              <w:right w:val="single" w:color="D7DBE3" w:sz="4"/>
            </w:tcBorders>
            <w:tcMar>
              <w:top w:w="60" w:type="dxa"/>
              <w:left w:w="108" w:type="dxa"/>
              <w:bottom w:w="60" w:type="dxa"/>
              <w:right w:w="108" w:type="dxa"/>
            </w:tcMar>
          </w:tcPr>
          <w:p w14:paraId="31BBC463" wp14:textId="77777777">
            <w:pPr>
              <w:jc w:val="left"/>
            </w:pPr>
            <w:r>
              <w:rPr>
                <w:rFonts w:ascii="Calibri" w:hAnsi="Calibri" w:eastAsia="Calibri" w:cs="Calibri"/>
                <w:b w:val="false"/>
                <w:bCs w:val="false"/>
                <w:sz w:val="20"/>
                <w:szCs w:val="20"/>
              </w:rPr>
              <w:t xml:space="preserve">Week 1, Days 1–3</w:t>
            </w:r>
          </w:p>
        </w:tc>
        <w:tc>
          <w:tcPr>
            <w:tcW w:w="1153" w:type="dxa"/>
            <w:tcBorders>
              <w:top w:val="single" w:color="D7DBE3" w:sz="4"/>
              <w:left w:val="single" w:color="D7DBE3" w:sz="4"/>
              <w:bottom w:val="single" w:color="D7DBE3" w:sz="4"/>
              <w:right w:val="single" w:color="D7DBE3" w:sz="4"/>
            </w:tcBorders>
            <w:tcMar>
              <w:top w:w="60" w:type="dxa"/>
              <w:left w:w="108" w:type="dxa"/>
              <w:bottom w:w="60" w:type="dxa"/>
              <w:right w:w="108" w:type="dxa"/>
            </w:tcMar>
          </w:tcPr>
          <w:p w14:paraId="56E85DE0" wp14:textId="77777777">
            <w:pPr>
              <w:jc w:val="left"/>
            </w:pPr>
            <w:r>
              <w:rPr>
                <w:rFonts w:ascii="Calibri" w:hAnsi="Calibri" w:eastAsia="Calibri" w:cs="Calibri"/>
                <w:b w:val="false"/>
                <w:bCs w:val="false"/>
                <w:sz w:val="20"/>
                <w:szCs w:val="20"/>
              </w:rPr>
              <w:t xml:space="preserve">Bakery Manager</w:t>
            </w:r>
          </w:p>
        </w:tc>
        <w:tc>
          <w:tcPr>
            <w:tcW w:w="1683" w:type="dxa"/>
            <w:tcBorders>
              <w:top w:val="single" w:color="D7DBE3" w:sz="4"/>
              <w:left w:val="single" w:color="D7DBE3" w:sz="4"/>
              <w:bottom w:val="single" w:color="D7DBE3" w:sz="4"/>
              <w:right w:val="single" w:color="D7DBE3" w:sz="4"/>
            </w:tcBorders>
            <w:tcMar>
              <w:top w:w="60" w:type="dxa"/>
              <w:left w:w="108" w:type="dxa"/>
              <w:bottom w:w="60" w:type="dxa"/>
              <w:right w:w="108" w:type="dxa"/>
            </w:tcMar>
          </w:tcPr>
          <w:p w14:paraId="11B66D6A" wp14:textId="77777777">
            <w:pPr>
              <w:jc w:val="left"/>
            </w:pPr>
            <w:r>
              <w:rPr>
                <w:rFonts w:ascii="Calibri" w:hAnsi="Calibri" w:eastAsia="Calibri" w:cs="Calibri"/>
                <w:b w:val="false"/>
                <w:bCs w:val="false"/>
                <w:sz w:val="20"/>
                <w:szCs w:val="20"/>
              </w:rPr>
              <w:t xml:space="preserve">Gap report signed off.</w:t>
            </w:r>
          </w:p>
        </w:tc>
      </w:tr>
      <w:tr xmlns:wp14="http://schemas.microsoft.com/office/word/2010/wordml" w:rsidTr="59C001F6" w14:paraId="52636547" wp14:textId="77777777">
        <w:tc>
          <w:tcPr>
            <w:tcW w:w="400" w:type="dxa"/>
            <w:tcBorders>
              <w:top w:val="single" w:color="D7DBE3" w:sz="4"/>
              <w:left w:val="single" w:color="D7DBE3" w:sz="4"/>
              <w:bottom w:val="single" w:color="D7DBE3" w:sz="4"/>
              <w:right w:val="single" w:color="D7DBE3" w:sz="4"/>
            </w:tcBorders>
            <w:shd w:val="clear" w:color="auto" w:fill="EFF1F4"/>
            <w:tcMar>
              <w:top w:w="60" w:type="dxa"/>
              <w:left w:w="108" w:type="dxa"/>
              <w:bottom w:w="60" w:type="dxa"/>
              <w:right w:w="108" w:type="dxa"/>
            </w:tcMar>
          </w:tcPr>
          <w:p w14:paraId="18F999B5" wp14:textId="77777777">
            <w:pPr>
              <w:jc w:val="right"/>
            </w:pPr>
            <w:r>
              <w:rPr>
                <w:rFonts w:ascii="Calibri" w:hAnsi="Calibri" w:eastAsia="Calibri" w:cs="Calibri"/>
                <w:b w:val="false"/>
                <w:bCs w:val="false"/>
                <w:sz w:val="20"/>
                <w:szCs w:val="20"/>
              </w:rPr>
              <w:t xml:space="preserve">2</w:t>
            </w:r>
          </w:p>
        </w:tc>
        <w:tc>
          <w:tcPr>
            <w:tcW w:w="1151" w:type="dxa"/>
            <w:tcBorders>
              <w:top w:val="single" w:color="D7DBE3" w:sz="4"/>
              <w:left w:val="single" w:color="D7DBE3" w:sz="4"/>
              <w:bottom w:val="single" w:color="D7DBE3" w:sz="4"/>
              <w:right w:val="single" w:color="D7DBE3" w:sz="4"/>
            </w:tcBorders>
            <w:shd w:val="clear" w:color="auto" w:fill="EFF1F4"/>
            <w:tcMar>
              <w:top w:w="60" w:type="dxa"/>
              <w:left w:w="108" w:type="dxa"/>
              <w:bottom w:w="60" w:type="dxa"/>
              <w:right w:w="108" w:type="dxa"/>
            </w:tcMar>
          </w:tcPr>
          <w:p w14:paraId="335E435D" wp14:textId="77777777">
            <w:pPr>
              <w:jc w:val="left"/>
            </w:pPr>
            <w:r>
              <w:rPr>
                <w:rFonts w:ascii="Calibri" w:hAnsi="Calibri" w:eastAsia="Calibri" w:cs="Calibri"/>
                <w:b w:val="false"/>
                <w:bCs w:val="false"/>
                <w:sz w:val="20"/>
                <w:szCs w:val="20"/>
              </w:rPr>
              <w:t xml:space="preserve">Prepare materials</w:t>
            </w:r>
          </w:p>
        </w:tc>
        <w:tc>
          <w:tcPr>
            <w:tcW w:w="3856" w:type="dxa"/>
            <w:tcBorders>
              <w:top w:val="single" w:color="D7DBE3" w:sz="4"/>
              <w:left w:val="single" w:color="D7DBE3" w:sz="4"/>
              <w:bottom w:val="single" w:color="D7DBE3" w:sz="4"/>
              <w:right w:val="single" w:color="D7DBE3" w:sz="4"/>
            </w:tcBorders>
            <w:shd w:val="clear" w:color="auto" w:fill="EFF1F4"/>
            <w:tcMar>
              <w:top w:w="60" w:type="dxa"/>
              <w:left w:w="108" w:type="dxa"/>
              <w:bottom w:w="60" w:type="dxa"/>
              <w:right w:w="108" w:type="dxa"/>
            </w:tcMar>
          </w:tcPr>
          <w:p w14:paraId="3A423D72" wp14:textId="77777777">
            <w:pPr>
              <w:jc w:val="left"/>
            </w:pPr>
            <w:r>
              <w:rPr>
                <w:rFonts w:ascii="Calibri" w:hAnsi="Calibri" w:eastAsia="Calibri" w:cs="Calibri"/>
                <w:b w:val="false"/>
                <w:bCs w:val="false"/>
                <w:sz w:val="20"/>
                <w:szCs w:val="20"/>
              </w:rPr>
              <w:t xml:space="preserve">Slides, counter FAQ, allergen sheets; print/laminate job aids.</w:t>
            </w:r>
          </w:p>
        </w:tc>
        <w:tc>
          <w:tcPr>
            <w:tcW w:w="1117" w:type="dxa"/>
            <w:tcBorders>
              <w:top w:val="single" w:color="D7DBE3" w:sz="4"/>
              <w:left w:val="single" w:color="D7DBE3" w:sz="4"/>
              <w:bottom w:val="single" w:color="D7DBE3" w:sz="4"/>
              <w:right w:val="single" w:color="D7DBE3" w:sz="4"/>
            </w:tcBorders>
            <w:shd w:val="clear" w:color="auto" w:fill="EFF1F4"/>
            <w:tcMar>
              <w:top w:w="60" w:type="dxa"/>
              <w:left w:w="108" w:type="dxa"/>
              <w:bottom w:w="60" w:type="dxa"/>
              <w:right w:w="108" w:type="dxa"/>
            </w:tcMar>
          </w:tcPr>
          <w:p w14:paraId="7A273831" wp14:textId="77777777">
            <w:pPr>
              <w:jc w:val="left"/>
            </w:pPr>
            <w:r>
              <w:rPr>
                <w:rFonts w:ascii="Calibri" w:hAnsi="Calibri" w:eastAsia="Calibri" w:cs="Calibri"/>
                <w:b w:val="false"/>
                <w:bCs w:val="false"/>
                <w:sz w:val="20"/>
                <w:szCs w:val="20"/>
              </w:rPr>
              <w:t xml:space="preserve">Week 1, Days 3–5</w:t>
            </w:r>
          </w:p>
        </w:tc>
        <w:tc>
          <w:tcPr>
            <w:tcW w:w="1153" w:type="dxa"/>
            <w:tcBorders>
              <w:top w:val="single" w:color="D7DBE3" w:sz="4"/>
              <w:left w:val="single" w:color="D7DBE3" w:sz="4"/>
              <w:bottom w:val="single" w:color="D7DBE3" w:sz="4"/>
              <w:right w:val="single" w:color="D7DBE3" w:sz="4"/>
            </w:tcBorders>
            <w:shd w:val="clear" w:color="auto" w:fill="EFF1F4"/>
            <w:tcMar>
              <w:top w:w="60" w:type="dxa"/>
              <w:left w:w="108" w:type="dxa"/>
              <w:bottom w:w="60" w:type="dxa"/>
              <w:right w:w="108" w:type="dxa"/>
            </w:tcMar>
          </w:tcPr>
          <w:p w14:paraId="66F442FF" wp14:textId="77777777">
            <w:pPr>
              <w:jc w:val="left"/>
            </w:pPr>
            <w:r>
              <w:rPr>
                <w:rFonts w:ascii="Calibri" w:hAnsi="Calibri" w:eastAsia="Calibri" w:cs="Calibri"/>
                <w:b w:val="false"/>
                <w:bCs w:val="false"/>
                <w:sz w:val="20"/>
                <w:szCs w:val="20"/>
              </w:rPr>
              <w:t xml:space="preserve">Manager + Admin</w:t>
            </w:r>
          </w:p>
        </w:tc>
        <w:tc>
          <w:tcPr>
            <w:tcW w:w="1683" w:type="dxa"/>
            <w:tcBorders>
              <w:top w:val="single" w:color="D7DBE3" w:sz="4"/>
              <w:left w:val="single" w:color="D7DBE3" w:sz="4"/>
              <w:bottom w:val="single" w:color="D7DBE3" w:sz="4"/>
              <w:right w:val="single" w:color="D7DBE3" w:sz="4"/>
            </w:tcBorders>
            <w:shd w:val="clear" w:color="auto" w:fill="EFF1F4"/>
            <w:tcMar>
              <w:top w:w="60" w:type="dxa"/>
              <w:left w:w="108" w:type="dxa"/>
              <w:bottom w:w="60" w:type="dxa"/>
              <w:right w:w="108" w:type="dxa"/>
            </w:tcMar>
          </w:tcPr>
          <w:p w14:paraId="5E398379" wp14:textId="77777777">
            <w:pPr>
              <w:jc w:val="left"/>
            </w:pPr>
            <w:r w:rsidRPr="59C001F6" w:rsidR="59C001F6">
              <w:rPr>
                <w:rFonts w:ascii="Calibri" w:hAnsi="Calibri" w:eastAsia="Calibri" w:cs="Calibri"/>
                <w:b w:val="0"/>
                <w:bCs w:val="0"/>
                <w:sz w:val="20"/>
                <w:szCs w:val="20"/>
                <w:lang w:val="en-US"/>
              </w:rPr>
              <w:t>Materials ready at till.</w:t>
            </w:r>
          </w:p>
        </w:tc>
      </w:tr>
      <w:tr xmlns:wp14="http://schemas.microsoft.com/office/word/2010/wordml" w:rsidTr="59C001F6" w14:paraId="0E764A3C" wp14:textId="77777777">
        <w:tc>
          <w:tcPr>
            <w:tcW w:w="400" w:type="dxa"/>
            <w:tcBorders>
              <w:top w:val="single" w:color="D7DBE3" w:sz="4"/>
              <w:left w:val="single" w:color="D7DBE3" w:sz="4"/>
              <w:bottom w:val="single" w:color="D7DBE3" w:sz="4"/>
              <w:right w:val="single" w:color="D7DBE3" w:sz="4"/>
            </w:tcBorders>
            <w:tcMar>
              <w:top w:w="60" w:type="dxa"/>
              <w:left w:w="108" w:type="dxa"/>
              <w:bottom w:w="60" w:type="dxa"/>
              <w:right w:w="108" w:type="dxa"/>
            </w:tcMar>
          </w:tcPr>
          <w:p w14:paraId="5FCD5EC4" wp14:textId="77777777">
            <w:pPr>
              <w:jc w:val="right"/>
            </w:pPr>
            <w:r>
              <w:rPr>
                <w:rFonts w:ascii="Calibri" w:hAnsi="Calibri" w:eastAsia="Calibri" w:cs="Calibri"/>
                <w:b w:val="false"/>
                <w:bCs w:val="false"/>
                <w:sz w:val="20"/>
                <w:szCs w:val="20"/>
              </w:rPr>
              <w:t xml:space="preserve">3</w:t>
            </w:r>
          </w:p>
        </w:tc>
        <w:tc>
          <w:tcPr>
            <w:tcW w:w="1151" w:type="dxa"/>
            <w:tcBorders>
              <w:top w:val="single" w:color="D7DBE3" w:sz="4"/>
              <w:left w:val="single" w:color="D7DBE3" w:sz="4"/>
              <w:bottom w:val="single" w:color="D7DBE3" w:sz="4"/>
              <w:right w:val="single" w:color="D7DBE3" w:sz="4"/>
            </w:tcBorders>
            <w:tcMar>
              <w:top w:w="60" w:type="dxa"/>
              <w:left w:w="108" w:type="dxa"/>
              <w:bottom w:w="60" w:type="dxa"/>
              <w:right w:w="108" w:type="dxa"/>
            </w:tcMar>
          </w:tcPr>
          <w:p w14:paraId="1373CDF1" wp14:textId="77777777">
            <w:pPr>
              <w:jc w:val="left"/>
            </w:pPr>
            <w:r>
              <w:rPr>
                <w:rFonts w:ascii="Calibri" w:hAnsi="Calibri" w:eastAsia="Calibri" w:cs="Calibri"/>
                <w:b w:val="false"/>
                <w:bCs w:val="false"/>
                <w:sz w:val="20"/>
                <w:szCs w:val="20"/>
              </w:rPr>
              <w:t xml:space="preserve">Deliver training</w:t>
            </w:r>
          </w:p>
        </w:tc>
        <w:tc>
          <w:tcPr>
            <w:tcW w:w="3856" w:type="dxa"/>
            <w:tcBorders>
              <w:top w:val="single" w:color="D7DBE3" w:sz="4"/>
              <w:left w:val="single" w:color="D7DBE3" w:sz="4"/>
              <w:bottom w:val="single" w:color="D7DBE3" w:sz="4"/>
              <w:right w:val="single" w:color="D7DBE3" w:sz="4"/>
            </w:tcBorders>
            <w:tcMar>
              <w:top w:w="60" w:type="dxa"/>
              <w:left w:w="108" w:type="dxa"/>
              <w:bottom w:w="60" w:type="dxa"/>
              <w:right w:w="108" w:type="dxa"/>
            </w:tcMar>
          </w:tcPr>
          <w:p w14:paraId="07D443BB" wp14:textId="77777777">
            <w:pPr>
              <w:jc w:val="left"/>
            </w:pPr>
            <w:r>
              <w:rPr>
                <w:rFonts w:ascii="Calibri" w:hAnsi="Calibri" w:eastAsia="Calibri" w:cs="Calibri"/>
                <w:b w:val="false"/>
                <w:bCs w:val="false"/>
                <w:sz w:val="20"/>
                <w:szCs w:val="20"/>
              </w:rPr>
              <w:t xml:space="preserve">3‑hour workshop; role‑play customer scenarios and scripts.</w:t>
            </w:r>
          </w:p>
        </w:tc>
        <w:tc>
          <w:tcPr>
            <w:tcW w:w="1117" w:type="dxa"/>
            <w:tcBorders>
              <w:top w:val="single" w:color="D7DBE3" w:sz="4"/>
              <w:left w:val="single" w:color="D7DBE3" w:sz="4"/>
              <w:bottom w:val="single" w:color="D7DBE3" w:sz="4"/>
              <w:right w:val="single" w:color="D7DBE3" w:sz="4"/>
            </w:tcBorders>
            <w:tcMar>
              <w:top w:w="60" w:type="dxa"/>
              <w:left w:w="108" w:type="dxa"/>
              <w:bottom w:w="60" w:type="dxa"/>
              <w:right w:w="108" w:type="dxa"/>
            </w:tcMar>
          </w:tcPr>
          <w:p w14:paraId="02CB55B4" wp14:textId="77777777">
            <w:pPr>
              <w:jc w:val="left"/>
            </w:pPr>
            <w:r>
              <w:rPr>
                <w:rFonts w:ascii="Calibri" w:hAnsi="Calibri" w:eastAsia="Calibri" w:cs="Calibri"/>
                <w:b w:val="false"/>
                <w:bCs w:val="false"/>
                <w:sz w:val="20"/>
                <w:szCs w:val="20"/>
              </w:rPr>
              <w:t xml:space="preserve">Week 2, Days 1–3</w:t>
            </w:r>
          </w:p>
        </w:tc>
        <w:tc>
          <w:tcPr>
            <w:tcW w:w="1153" w:type="dxa"/>
            <w:tcBorders>
              <w:top w:val="single" w:color="D7DBE3" w:sz="4"/>
              <w:left w:val="single" w:color="D7DBE3" w:sz="4"/>
              <w:bottom w:val="single" w:color="D7DBE3" w:sz="4"/>
              <w:right w:val="single" w:color="D7DBE3" w:sz="4"/>
            </w:tcBorders>
            <w:tcMar>
              <w:top w:w="60" w:type="dxa"/>
              <w:left w:w="108" w:type="dxa"/>
              <w:bottom w:w="60" w:type="dxa"/>
              <w:right w:w="108" w:type="dxa"/>
            </w:tcMar>
          </w:tcPr>
          <w:p w14:paraId="4ACEBC22" wp14:textId="77777777">
            <w:pPr>
              <w:jc w:val="left"/>
            </w:pPr>
            <w:r>
              <w:rPr>
                <w:rFonts w:ascii="Calibri" w:hAnsi="Calibri" w:eastAsia="Calibri" w:cs="Calibri"/>
                <w:b w:val="false"/>
                <w:bCs w:val="false"/>
                <w:sz w:val="20"/>
                <w:szCs w:val="20"/>
              </w:rPr>
              <w:t xml:space="preserve">Bakery Manager</w:t>
            </w:r>
          </w:p>
        </w:tc>
        <w:tc>
          <w:tcPr>
            <w:tcW w:w="1683" w:type="dxa"/>
            <w:tcBorders>
              <w:top w:val="single" w:color="D7DBE3" w:sz="4"/>
              <w:left w:val="single" w:color="D7DBE3" w:sz="4"/>
              <w:bottom w:val="single" w:color="D7DBE3" w:sz="4"/>
              <w:right w:val="single" w:color="D7DBE3" w:sz="4"/>
            </w:tcBorders>
            <w:tcMar>
              <w:top w:w="60" w:type="dxa"/>
              <w:left w:w="108" w:type="dxa"/>
              <w:bottom w:w="60" w:type="dxa"/>
              <w:right w:w="108" w:type="dxa"/>
            </w:tcMar>
          </w:tcPr>
          <w:p w14:paraId="07DE093F" wp14:textId="77777777">
            <w:pPr>
              <w:jc w:val="left"/>
            </w:pPr>
            <w:r>
              <w:rPr>
                <w:rFonts w:ascii="Calibri" w:hAnsi="Calibri" w:eastAsia="Calibri" w:cs="Calibri"/>
                <w:b w:val="false"/>
                <w:bCs w:val="false"/>
                <w:sz w:val="20"/>
                <w:szCs w:val="20"/>
              </w:rPr>
              <w:t xml:space="preserve">Attendance + artefacts filed.</w:t>
            </w:r>
          </w:p>
        </w:tc>
      </w:tr>
      <w:tr xmlns:wp14="http://schemas.microsoft.com/office/word/2010/wordml" w:rsidTr="59C001F6" w14:paraId="74ACEEB3" wp14:textId="77777777">
        <w:tc>
          <w:tcPr>
            <w:tcW w:w="400" w:type="dxa"/>
            <w:tcBorders>
              <w:top w:val="single" w:color="D7DBE3" w:sz="4"/>
              <w:left w:val="single" w:color="D7DBE3" w:sz="4"/>
              <w:bottom w:val="single" w:color="D7DBE3" w:sz="4"/>
              <w:right w:val="single" w:color="D7DBE3" w:sz="4"/>
            </w:tcBorders>
            <w:shd w:val="clear" w:color="auto" w:fill="EFF1F4"/>
            <w:tcMar>
              <w:top w:w="60" w:type="dxa"/>
              <w:left w:w="108" w:type="dxa"/>
              <w:bottom w:w="60" w:type="dxa"/>
              <w:right w:w="108" w:type="dxa"/>
            </w:tcMar>
          </w:tcPr>
          <w:p w14:paraId="2598DEE6" wp14:textId="77777777">
            <w:pPr>
              <w:jc w:val="right"/>
            </w:pPr>
            <w:r>
              <w:rPr>
                <w:rFonts w:ascii="Calibri" w:hAnsi="Calibri" w:eastAsia="Calibri" w:cs="Calibri"/>
                <w:b w:val="false"/>
                <w:bCs w:val="false"/>
                <w:sz w:val="20"/>
                <w:szCs w:val="20"/>
              </w:rPr>
              <w:t xml:space="preserve">4</w:t>
            </w:r>
          </w:p>
        </w:tc>
        <w:tc>
          <w:tcPr>
            <w:tcW w:w="1151" w:type="dxa"/>
            <w:tcBorders>
              <w:top w:val="single" w:color="D7DBE3" w:sz="4"/>
              <w:left w:val="single" w:color="D7DBE3" w:sz="4"/>
              <w:bottom w:val="single" w:color="D7DBE3" w:sz="4"/>
              <w:right w:val="single" w:color="D7DBE3" w:sz="4"/>
            </w:tcBorders>
            <w:shd w:val="clear" w:color="auto" w:fill="EFF1F4"/>
            <w:tcMar>
              <w:top w:w="60" w:type="dxa"/>
              <w:left w:w="108" w:type="dxa"/>
              <w:bottom w:w="60" w:type="dxa"/>
              <w:right w:w="108" w:type="dxa"/>
            </w:tcMar>
          </w:tcPr>
          <w:p w14:paraId="7557F1A6" wp14:textId="77777777">
            <w:pPr>
              <w:jc w:val="left"/>
            </w:pPr>
            <w:r>
              <w:rPr>
                <w:rFonts w:ascii="Calibri" w:hAnsi="Calibri" w:eastAsia="Calibri" w:cs="Calibri"/>
                <w:b w:val="false"/>
                <w:bCs w:val="false"/>
                <w:sz w:val="20"/>
                <w:szCs w:val="20"/>
              </w:rPr>
              <w:t xml:space="preserve">Assess &amp; coach</w:t>
            </w:r>
          </w:p>
        </w:tc>
        <w:tc>
          <w:tcPr>
            <w:tcW w:w="3856" w:type="dxa"/>
            <w:tcBorders>
              <w:top w:val="single" w:color="D7DBE3" w:sz="4"/>
              <w:left w:val="single" w:color="D7DBE3" w:sz="4"/>
              <w:bottom w:val="single" w:color="D7DBE3" w:sz="4"/>
              <w:right w:val="single" w:color="D7DBE3" w:sz="4"/>
            </w:tcBorders>
            <w:shd w:val="clear" w:color="auto" w:fill="EFF1F4"/>
            <w:tcMar>
              <w:top w:w="60" w:type="dxa"/>
              <w:left w:w="108" w:type="dxa"/>
              <w:bottom w:w="60" w:type="dxa"/>
              <w:right w:w="108" w:type="dxa"/>
            </w:tcMar>
          </w:tcPr>
          <w:p w14:paraId="51361C58" wp14:textId="77777777">
            <w:pPr>
              <w:jc w:val="left"/>
            </w:pPr>
            <w:r>
              <w:rPr>
                <w:rFonts w:ascii="Calibri" w:hAnsi="Calibri" w:eastAsia="Calibri" w:cs="Calibri"/>
                <w:b w:val="false"/>
                <w:bCs w:val="false"/>
                <w:sz w:val="20"/>
                <w:szCs w:val="20"/>
              </w:rPr>
              <w:t xml:space="preserve">Post‑test and on‑shift coaching with job aids; log actions.</w:t>
            </w:r>
          </w:p>
        </w:tc>
        <w:tc>
          <w:tcPr>
            <w:tcW w:w="1117" w:type="dxa"/>
            <w:tcBorders>
              <w:top w:val="single" w:color="D7DBE3" w:sz="4"/>
              <w:left w:val="single" w:color="D7DBE3" w:sz="4"/>
              <w:bottom w:val="single" w:color="D7DBE3" w:sz="4"/>
              <w:right w:val="single" w:color="D7DBE3" w:sz="4"/>
            </w:tcBorders>
            <w:shd w:val="clear" w:color="auto" w:fill="EFF1F4"/>
            <w:tcMar>
              <w:top w:w="60" w:type="dxa"/>
              <w:left w:w="108" w:type="dxa"/>
              <w:bottom w:w="60" w:type="dxa"/>
              <w:right w:w="108" w:type="dxa"/>
            </w:tcMar>
          </w:tcPr>
          <w:p w14:paraId="4D6A58CC" wp14:textId="77777777">
            <w:pPr>
              <w:jc w:val="left"/>
            </w:pPr>
            <w:r>
              <w:rPr>
                <w:rFonts w:ascii="Calibri" w:hAnsi="Calibri" w:eastAsia="Calibri" w:cs="Calibri"/>
                <w:b w:val="false"/>
                <w:bCs w:val="false"/>
                <w:sz w:val="20"/>
                <w:szCs w:val="20"/>
              </w:rPr>
              <w:t xml:space="preserve">Week 2, Days 3–5</w:t>
            </w:r>
          </w:p>
        </w:tc>
        <w:tc>
          <w:tcPr>
            <w:tcW w:w="1153" w:type="dxa"/>
            <w:tcBorders>
              <w:top w:val="single" w:color="D7DBE3" w:sz="4"/>
              <w:left w:val="single" w:color="D7DBE3" w:sz="4"/>
              <w:bottom w:val="single" w:color="D7DBE3" w:sz="4"/>
              <w:right w:val="single" w:color="D7DBE3" w:sz="4"/>
            </w:tcBorders>
            <w:shd w:val="clear" w:color="auto" w:fill="EFF1F4"/>
            <w:tcMar>
              <w:top w:w="60" w:type="dxa"/>
              <w:left w:w="108" w:type="dxa"/>
              <w:bottom w:w="60" w:type="dxa"/>
              <w:right w:w="108" w:type="dxa"/>
            </w:tcMar>
          </w:tcPr>
          <w:p w14:paraId="490D4292" wp14:textId="77777777">
            <w:pPr>
              <w:jc w:val="left"/>
            </w:pPr>
            <w:r>
              <w:rPr>
                <w:rFonts w:ascii="Calibri" w:hAnsi="Calibri" w:eastAsia="Calibri" w:cs="Calibri"/>
                <w:b w:val="false"/>
                <w:bCs w:val="false"/>
                <w:sz w:val="20"/>
                <w:szCs w:val="20"/>
              </w:rPr>
              <w:t xml:space="preserve">Store Manager</w:t>
            </w:r>
          </w:p>
        </w:tc>
        <w:tc>
          <w:tcPr>
            <w:tcW w:w="1683" w:type="dxa"/>
            <w:tcBorders>
              <w:top w:val="single" w:color="D7DBE3" w:sz="4"/>
              <w:left w:val="single" w:color="D7DBE3" w:sz="4"/>
              <w:bottom w:val="single" w:color="D7DBE3" w:sz="4"/>
              <w:right w:val="single" w:color="D7DBE3" w:sz="4"/>
            </w:tcBorders>
            <w:shd w:val="clear" w:color="auto" w:fill="EFF1F4"/>
            <w:tcMar>
              <w:top w:w="60" w:type="dxa"/>
              <w:left w:w="108" w:type="dxa"/>
              <w:bottom w:w="60" w:type="dxa"/>
              <w:right w:w="108" w:type="dxa"/>
            </w:tcMar>
          </w:tcPr>
          <w:p w14:paraId="70A29C9A" wp14:textId="77777777">
            <w:pPr>
              <w:jc w:val="left"/>
            </w:pPr>
            <w:r>
              <w:rPr>
                <w:rFonts w:ascii="Calibri" w:hAnsi="Calibri" w:eastAsia="Calibri" w:cs="Calibri"/>
                <w:b w:val="false"/>
                <w:bCs w:val="false"/>
                <w:sz w:val="20"/>
                <w:szCs w:val="20"/>
              </w:rPr>
              <w:t xml:space="preserve">Scores and notes recorded.</w:t>
            </w:r>
          </w:p>
        </w:tc>
      </w:tr>
    </w:tbl>
    <w:p xmlns:wp14="http://schemas.microsoft.com/office/word/2010/wordml" w14:paraId="31CFC64C" wp14:textId="77777777">
      <w:pPr>
        <w:pStyle w:val="Heading2"/>
      </w:pPr>
      <w:r>
        <w:t xml:space="preserve">Appendix 3: Task 5a) KPI and SMART Table</w:t>
      </w:r>
    </w:p>
    <w:p xmlns:wp14="http://schemas.microsoft.com/office/word/2010/wordml" w14:paraId="57FC5C8F" wp14:textId="77777777">
      <w:r w:rsidRPr="59C001F6" w:rsidR="59C001F6">
        <w:rPr>
          <w:lang w:val="en-US"/>
        </w:rPr>
        <w:t>The Key Performance Indicator is: Percentage of interactions with first‑time correct ingredient/allergen response.</w:t>
      </w:r>
    </w:p>
    <w:tbl>
      <w:tblPr>
        <w:tblW w:w="9360" w:type="dxa"/>
        <w:tblBorders>
          <w:top w:val="single" w:color="D7DBE3" w:sz="4"/>
          <w:left w:val="single" w:color="D7DBE3" w:sz="4"/>
          <w:bottom w:val="single" w:color="D7DBE3" w:sz="4"/>
          <w:right w:val="single" w:color="D7DBE3" w:sz="4"/>
          <w:insideH w:val="single" w:color="D7DBE3" w:sz="4"/>
          <w:insideV w:val="single" w:color="D7DBE3" w:sz="4"/>
        </w:tblBorders>
        <w:tblLayout w:type="fixed"/>
      </w:tblPr>
      <w:tblGrid>
        <w:gridCol w:w="2001"/>
        <w:gridCol w:w="2001"/>
        <w:gridCol w:w="2001"/>
        <w:gridCol w:w="1405"/>
        <w:gridCol w:w="1952"/>
      </w:tblGrid>
      <w:tr xmlns:wp14="http://schemas.microsoft.com/office/word/2010/wordml" w:rsidTr="59C001F6" w14:paraId="4119BF4C" wp14:textId="77777777">
        <w:trPr>
          <w:tblHeader/>
        </w:trPr>
        <w:tc>
          <w:tcPr>
            <w:tcW w:w="2001" w:type="dxa"/>
            <w:tcBorders>
              <w:top w:val="single" w:color="D7DBE3" w:sz="4"/>
              <w:left w:val="single" w:color="D7DBE3" w:sz="4"/>
              <w:bottom w:val="single" w:color="D7DBE3" w:sz="4"/>
              <w:right w:val="single" w:color="D7DBE3" w:sz="4"/>
            </w:tcBorders>
            <w:shd w:val="clear" w:color="auto" w:fill="1F3864"/>
            <w:tcMar>
              <w:top w:w="60" w:type="dxa"/>
              <w:left w:w="108" w:type="dxa"/>
              <w:bottom w:w="60" w:type="dxa"/>
              <w:right w:w="108" w:type="dxa"/>
            </w:tcMar>
          </w:tcPr>
          <w:p w14:paraId="32D9F3C6" wp14:textId="77777777">
            <w:pPr>
              <w:jc w:val="left"/>
            </w:pPr>
            <w:r>
              <w:rPr>
                <w:rFonts w:ascii="Calibri" w:hAnsi="Calibri" w:eastAsia="Calibri" w:cs="Calibri"/>
                <w:b/>
                <w:bCs/>
                <w:color w:val="FFFFFF"/>
                <w:sz w:val="20"/>
                <w:szCs w:val="20"/>
              </w:rPr>
              <w:t xml:space="preserve">Specific</w:t>
            </w:r>
          </w:p>
        </w:tc>
        <w:tc>
          <w:tcPr>
            <w:tcW w:w="2001" w:type="dxa"/>
            <w:tcBorders>
              <w:top w:val="single" w:color="D7DBE3" w:sz="4"/>
              <w:left w:val="single" w:color="D7DBE3" w:sz="4"/>
              <w:bottom w:val="single" w:color="D7DBE3" w:sz="4"/>
              <w:right w:val="single" w:color="D7DBE3" w:sz="4"/>
            </w:tcBorders>
            <w:shd w:val="clear" w:color="auto" w:fill="1F3864"/>
            <w:tcMar>
              <w:top w:w="60" w:type="dxa"/>
              <w:left w:w="108" w:type="dxa"/>
              <w:bottom w:w="60" w:type="dxa"/>
              <w:right w:w="108" w:type="dxa"/>
            </w:tcMar>
          </w:tcPr>
          <w:p w14:paraId="6E8858D4" wp14:textId="77777777">
            <w:pPr>
              <w:jc w:val="left"/>
            </w:pPr>
            <w:r>
              <w:rPr>
                <w:rFonts w:ascii="Calibri" w:hAnsi="Calibri" w:eastAsia="Calibri" w:cs="Calibri"/>
                <w:b/>
                <w:bCs/>
                <w:color w:val="FFFFFF"/>
                <w:sz w:val="20"/>
                <w:szCs w:val="20"/>
              </w:rPr>
              <w:t xml:space="preserve">Measurable</w:t>
            </w:r>
          </w:p>
        </w:tc>
        <w:tc>
          <w:tcPr>
            <w:tcW w:w="2001" w:type="dxa"/>
            <w:tcBorders>
              <w:top w:val="single" w:color="D7DBE3" w:sz="4"/>
              <w:left w:val="single" w:color="D7DBE3" w:sz="4"/>
              <w:bottom w:val="single" w:color="D7DBE3" w:sz="4"/>
              <w:right w:val="single" w:color="D7DBE3" w:sz="4"/>
            </w:tcBorders>
            <w:shd w:val="clear" w:color="auto" w:fill="1F3864"/>
            <w:tcMar>
              <w:top w:w="60" w:type="dxa"/>
              <w:left w:w="108" w:type="dxa"/>
              <w:bottom w:w="60" w:type="dxa"/>
              <w:right w:w="108" w:type="dxa"/>
            </w:tcMar>
          </w:tcPr>
          <w:p w14:paraId="2D02B5B0" wp14:textId="77777777">
            <w:pPr>
              <w:jc w:val="left"/>
            </w:pPr>
            <w:r>
              <w:rPr>
                <w:rFonts w:ascii="Calibri" w:hAnsi="Calibri" w:eastAsia="Calibri" w:cs="Calibri"/>
                <w:b/>
                <w:bCs/>
                <w:color w:val="FFFFFF"/>
                <w:sz w:val="20"/>
                <w:szCs w:val="20"/>
              </w:rPr>
              <w:t xml:space="preserve">Attainable</w:t>
            </w:r>
          </w:p>
        </w:tc>
        <w:tc>
          <w:tcPr>
            <w:tcW w:w="1405" w:type="dxa"/>
            <w:tcBorders>
              <w:top w:val="single" w:color="D7DBE3" w:sz="4"/>
              <w:left w:val="single" w:color="D7DBE3" w:sz="4"/>
              <w:bottom w:val="single" w:color="D7DBE3" w:sz="4"/>
              <w:right w:val="single" w:color="D7DBE3" w:sz="4"/>
            </w:tcBorders>
            <w:shd w:val="clear" w:color="auto" w:fill="1F3864"/>
            <w:tcMar>
              <w:top w:w="60" w:type="dxa"/>
              <w:left w:w="108" w:type="dxa"/>
              <w:bottom w:w="60" w:type="dxa"/>
              <w:right w:w="108" w:type="dxa"/>
            </w:tcMar>
          </w:tcPr>
          <w:p w14:paraId="2B29ED3B" wp14:textId="77777777">
            <w:pPr>
              <w:jc w:val="left"/>
            </w:pPr>
            <w:r>
              <w:rPr>
                <w:rFonts w:ascii="Calibri" w:hAnsi="Calibri" w:eastAsia="Calibri" w:cs="Calibri"/>
                <w:b/>
                <w:bCs/>
                <w:color w:val="FFFFFF"/>
                <w:sz w:val="20"/>
                <w:szCs w:val="20"/>
              </w:rPr>
              <w:t xml:space="preserve">Relevant</w:t>
            </w:r>
          </w:p>
        </w:tc>
        <w:tc>
          <w:tcPr>
            <w:tcW w:w="1952" w:type="dxa"/>
            <w:tcBorders>
              <w:top w:val="single" w:color="D7DBE3" w:sz="4"/>
              <w:left w:val="single" w:color="D7DBE3" w:sz="4"/>
              <w:bottom w:val="single" w:color="D7DBE3" w:sz="4"/>
              <w:right w:val="single" w:color="D7DBE3" w:sz="4"/>
            </w:tcBorders>
            <w:shd w:val="clear" w:color="auto" w:fill="1F3864"/>
            <w:tcMar>
              <w:top w:w="60" w:type="dxa"/>
              <w:left w:w="108" w:type="dxa"/>
              <w:bottom w:w="60" w:type="dxa"/>
              <w:right w:w="108" w:type="dxa"/>
            </w:tcMar>
          </w:tcPr>
          <w:p w14:paraId="13EF0E1A" wp14:textId="77777777">
            <w:pPr>
              <w:jc w:val="left"/>
            </w:pPr>
            <w:r>
              <w:rPr>
                <w:rFonts w:ascii="Calibri" w:hAnsi="Calibri" w:eastAsia="Calibri" w:cs="Calibri"/>
                <w:b/>
                <w:bCs/>
                <w:color w:val="FFFFFF"/>
                <w:sz w:val="20"/>
                <w:szCs w:val="20"/>
              </w:rPr>
              <w:t xml:space="preserve">Time‑Bound</w:t>
            </w:r>
          </w:p>
        </w:tc>
      </w:tr>
      <w:tr xmlns:wp14="http://schemas.microsoft.com/office/word/2010/wordml" w:rsidTr="59C001F6" w14:paraId="4D0C25E9" wp14:textId="77777777">
        <w:tc>
          <w:tcPr>
            <w:tcW w:w="2001" w:type="dxa"/>
            <w:tcBorders>
              <w:top w:val="single" w:color="D7DBE3" w:sz="4"/>
              <w:left w:val="single" w:color="D7DBE3" w:sz="4"/>
              <w:bottom w:val="single" w:color="D7DBE3" w:sz="4"/>
              <w:right w:val="single" w:color="D7DBE3" w:sz="4"/>
            </w:tcBorders>
            <w:tcMar>
              <w:top w:w="60" w:type="dxa"/>
              <w:left w:w="108" w:type="dxa"/>
              <w:bottom w:w="60" w:type="dxa"/>
              <w:right w:w="108" w:type="dxa"/>
            </w:tcMar>
          </w:tcPr>
          <w:p w14:paraId="674B52C6" wp14:textId="77777777">
            <w:pPr>
              <w:jc w:val="left"/>
            </w:pPr>
            <w:r>
              <w:rPr>
                <w:rFonts w:ascii="Calibri" w:hAnsi="Calibri" w:eastAsia="Calibri" w:cs="Calibri"/>
                <w:b w:val="false"/>
                <w:bCs w:val="false"/>
                <w:sz w:val="20"/>
                <w:szCs w:val="20"/>
              </w:rPr>
              <w:t xml:space="preserve">Achieve 95% first‑time correct responses across all opening shifts.</w:t>
            </w:r>
          </w:p>
        </w:tc>
        <w:tc>
          <w:tcPr>
            <w:tcW w:w="2001" w:type="dxa"/>
            <w:tcBorders>
              <w:top w:val="single" w:color="D7DBE3" w:sz="4"/>
              <w:left w:val="single" w:color="D7DBE3" w:sz="4"/>
              <w:bottom w:val="single" w:color="D7DBE3" w:sz="4"/>
              <w:right w:val="single" w:color="D7DBE3" w:sz="4"/>
            </w:tcBorders>
            <w:tcMar>
              <w:top w:w="60" w:type="dxa"/>
              <w:left w:w="108" w:type="dxa"/>
              <w:bottom w:w="60" w:type="dxa"/>
              <w:right w:w="108" w:type="dxa"/>
            </w:tcMar>
          </w:tcPr>
          <w:p w14:paraId="7250D0CD" wp14:textId="77777777">
            <w:pPr>
              <w:jc w:val="left"/>
            </w:pPr>
            <w:r>
              <w:rPr>
                <w:rFonts w:ascii="Calibri" w:hAnsi="Calibri" w:eastAsia="Calibri" w:cs="Calibri"/>
                <w:b w:val="false"/>
                <w:bCs w:val="false"/>
                <w:sz w:val="20"/>
                <w:szCs w:val="20"/>
              </w:rPr>
              <w:t xml:space="preserve">Weekly mystery‑shop audit (n=10) + spot checks; complaint log.</w:t>
            </w:r>
          </w:p>
        </w:tc>
        <w:tc>
          <w:tcPr>
            <w:tcW w:w="2001" w:type="dxa"/>
            <w:tcBorders>
              <w:top w:val="single" w:color="D7DBE3" w:sz="4"/>
              <w:left w:val="single" w:color="D7DBE3" w:sz="4"/>
              <w:bottom w:val="single" w:color="D7DBE3" w:sz="4"/>
              <w:right w:val="single" w:color="D7DBE3" w:sz="4"/>
            </w:tcBorders>
            <w:tcMar>
              <w:top w:w="60" w:type="dxa"/>
              <w:left w:w="108" w:type="dxa"/>
              <w:bottom w:w="60" w:type="dxa"/>
              <w:right w:w="108" w:type="dxa"/>
            </w:tcMar>
          </w:tcPr>
          <w:p w14:paraId="51B5E3A6" wp14:textId="77777777">
            <w:pPr>
              <w:jc w:val="left"/>
            </w:pPr>
            <w:r>
              <w:rPr>
                <w:rFonts w:ascii="Calibri" w:hAnsi="Calibri" w:eastAsia="Calibri" w:cs="Calibri"/>
                <w:b w:val="false"/>
                <w:bCs w:val="false"/>
                <w:sz w:val="20"/>
                <w:szCs w:val="20"/>
              </w:rPr>
              <w:t xml:space="preserve">Diagnostics + training + aids make 95% realistic; ≥80% post‑test.</w:t>
            </w:r>
          </w:p>
        </w:tc>
        <w:tc>
          <w:tcPr>
            <w:tcW w:w="1405" w:type="dxa"/>
            <w:tcBorders>
              <w:top w:val="single" w:color="D7DBE3" w:sz="4"/>
              <w:left w:val="single" w:color="D7DBE3" w:sz="4"/>
              <w:bottom w:val="single" w:color="D7DBE3" w:sz="4"/>
              <w:right w:val="single" w:color="D7DBE3" w:sz="4"/>
            </w:tcBorders>
            <w:tcMar>
              <w:top w:w="60" w:type="dxa"/>
              <w:left w:w="108" w:type="dxa"/>
              <w:bottom w:w="60" w:type="dxa"/>
              <w:right w:w="108" w:type="dxa"/>
            </w:tcMar>
          </w:tcPr>
          <w:p w14:paraId="028D2F8A" wp14:textId="77777777">
            <w:pPr>
              <w:jc w:val="left"/>
            </w:pPr>
            <w:r w:rsidRPr="59C001F6" w:rsidR="59C001F6">
              <w:rPr>
                <w:rFonts w:ascii="Calibri" w:hAnsi="Calibri" w:eastAsia="Calibri" w:cs="Calibri"/>
                <w:b w:val="0"/>
                <w:bCs w:val="0"/>
                <w:sz w:val="20"/>
                <w:szCs w:val="20"/>
                <w:lang w:val="en-US"/>
              </w:rPr>
              <w:t>Addresses trust, compliance, repeat sales.</w:t>
            </w:r>
          </w:p>
        </w:tc>
        <w:tc>
          <w:tcPr>
            <w:tcW w:w="1952" w:type="dxa"/>
            <w:tcBorders>
              <w:top w:val="single" w:color="D7DBE3" w:sz="4"/>
              <w:left w:val="single" w:color="D7DBE3" w:sz="4"/>
              <w:bottom w:val="single" w:color="D7DBE3" w:sz="4"/>
              <w:right w:val="single" w:color="D7DBE3" w:sz="4"/>
            </w:tcBorders>
            <w:tcMar>
              <w:top w:w="60" w:type="dxa"/>
              <w:left w:w="108" w:type="dxa"/>
              <w:bottom w:w="60" w:type="dxa"/>
              <w:right w:w="108" w:type="dxa"/>
            </w:tcMar>
          </w:tcPr>
          <w:p w14:paraId="7F2F7B4D" wp14:textId="77777777">
            <w:pPr>
              <w:jc w:val="left"/>
            </w:pPr>
            <w:r>
              <w:rPr>
                <w:rFonts w:ascii="Calibri" w:hAnsi="Calibri" w:eastAsia="Calibri" w:cs="Calibri"/>
                <w:b w:val="false"/>
                <w:bCs w:val="false"/>
                <w:sz w:val="20"/>
                <w:szCs w:val="20"/>
              </w:rPr>
              <w:t xml:space="preserve">Reach 95% by Week 4; sustain 8 weeks; review at Week 12.</w:t>
            </w:r>
          </w:p>
        </w:tc>
      </w:tr>
    </w:tbl>
    <w:p xmlns:wp14="http://schemas.microsoft.com/office/word/2010/wordml" w14:paraId="3D94284D" wp14:textId="77777777">
      <w:pPr>
        <w:pStyle w:val="Heading1"/>
      </w:pPr>
      <w:r>
        <w:t xml:space="preserve">Reference List</w:t>
      </w:r>
    </w:p>
    <w:p xmlns:wp14="http://schemas.microsoft.com/office/word/2010/wordml" w14:paraId="27D24B44" wp14:textId="77777777">
      <w:r>
        <w:t xml:space="preserve">Institute of Leadership &amp; Management (2013) Super Series: Solving Problems and Making Decisions. 5th ed. Routledge.</w:t>
      </w:r>
    </w:p>
    <w:p xmlns:wp14="http://schemas.microsoft.com/office/word/2010/wordml" w14:paraId="79F17D02" wp14:textId="77777777">
      <w:r>
        <w:t xml:space="preserve">Proctor, T. (2019) Creative Problem Solving for Managers. 5th ed. Routledge. (PMI method, pp. 256–262).</w:t>
      </w:r>
    </w:p>
    <w:p xmlns:wp14="http://schemas.microsoft.com/office/word/2010/wordml" w14:paraId="2C5566C5" wp14:textId="77777777">
      <w:r w:rsidRPr="59C001F6" w:rsidR="59C001F6">
        <w:rPr>
          <w:lang w:val="en-US"/>
        </w:rPr>
        <w:t>Drucker, P. (2006) The Practice of Management. HarperBusiness.</w:t>
      </w:r>
    </w:p>
    <w:p xmlns:wp14="http://schemas.microsoft.com/office/word/2010/wordml" w14:paraId="2BB20E11" wp14:textId="77777777">
      <w:r w:rsidRPr="59C001F6" w:rsidR="59C001F6">
        <w:rPr>
          <w:lang w:val="en-US"/>
        </w:rPr>
        <w:t>Parasuraman, A., Zeithaml, V. and Berry, L. (1988) SERVQUAL: A multi-item scale for measuring consumer perceptions of service quality. Journal of Retailing, 64(1), pp. 12–40.</w:t>
      </w:r>
    </w:p>
    <w:p xmlns:wp14="http://schemas.microsoft.com/office/word/2010/wordml" w14:paraId="390A22FE" wp14:textId="77777777">
      <w:r>
        <w:t xml:space="preserve">British Retail Consortium (current ed.) Food Safety: Allergen Management Guidelines. BRCGS.</w:t>
      </w:r>
    </w:p>
    <w:sectPr>
      <w:headerReference w:type="default" r:id="rId7"/>
      <w:footerReference w:type="default" r:id="rId8"/>
      <w:pgSz w:w="12240" w:h="15840" w:orient="portrait"/>
      <w:pgMar w:top="1440" w:right="1440" w:bottom="1440" w:left="1440" w:header="708" w:footer="708" w:gutter="0"/>
      <w:pgNumType/>
      <w:docGrid w:linePitch="360"/>
      <w:cols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xmlns:wp14="http://schemas.microsoft.com/office/word/2010/wordml" w14:paraId="00FDC5BB" wp14:textId="77777777">
    <w:pPr>
      <w:jc w:val="center"/>
    </w:pPr>
    <w:r>
      <w:rPr>
        <w:sz w:val="18"/>
        <w:szCs w:val="18"/>
      </w:rPr>
      <w:t xml:space="preserve">Page </w:t>
    </w:r>
    <w:r>
      <w:rPr>
        <w:sz w:val="18"/>
        <w:szCs w:val="18"/>
      </w:rPr>
      <w:fldChar w:fldCharType="begin"/>
    </w:r>
    <w:r>
      <w:rPr>
        <w:sz w:val="18"/>
        <w:szCs w:val="18"/>
      </w:rPr>
      <w:instrText xml:space="preserve">PAGE</w:instrText>
    </w:r>
    <w:r>
      <w:rPr>
        <w:sz w:val="18"/>
        <w:szCs w:val="18"/>
      </w:rPr>
      <w:fldChar w:fldCharType="separate"/>
    </w:r>
    <w:r>
      <w:rPr>
        <w:sz w:val="18"/>
        <w:szCs w:val="18"/>
      </w:rPr>
      <w:fldChar w:fldCharType="end"/>
    </w:r>
    <w:r>
      <w:rPr>
        <w:sz w:val="18"/>
        <w:szCs w:val="18"/>
      </w:rPr>
      <w:t xml:space="preserve"> of </w:t>
    </w:r>
    <w:r>
      <w:rPr>
        <w:sz w:val="18"/>
        <w:szCs w:val="18"/>
      </w:rPr>
      <w:fldChar w:fldCharType="begin"/>
    </w:r>
    <w:r>
      <w:rPr>
        <w:sz w:val="18"/>
        <w:szCs w:val="18"/>
      </w:rPr>
      <w:instrText xml:space="preserve">NUMPAGES</w:instrText>
    </w:r>
    <w:r>
      <w:rPr>
        <w:sz w:val="18"/>
        <w:szCs w:val="18"/>
      </w:rPr>
      <w:fldChar w:fldCharType="separate"/>
    </w:r>
    <w:r>
      <w:rPr>
        <w:sz w:val="18"/>
        <w:szCs w:val="18"/>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xmlns:wp14="http://schemas.microsoft.com/office/word/2010/wordml" w14:paraId="31ACD4D1" wp14:textId="77777777">
    <w:pPr>
      <w:jc w:val="right"/>
    </w:pPr>
    <w:r>
      <w:rPr>
        <w:color w:val="888888"/>
        <w:sz w:val="18"/>
        <w:szCs w:val="18"/>
      </w:rPr>
      <w:t xml:space="preserve">C2 – Basil’s Bakery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nsid w:val="2259db68"/>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trackRevisions w:val="false"/>
  <w:defaultTabStop w:val="720"/>
  <w:evenAndOddHeaders w:val="false"/>
  <w:updateFields/>
  <w:compat>
    <w:compatSetting w:val="15" w:name="compatibilityMode" w:uri="http://schemas.microsoft.com/office/word"/>
  </w:compat>
  <w14:docId w14:val="788032BE"/>
  <w15:docId w15:val="{E655A258-D56F-4351-9BFA-5F66A7DA06CD}"/>
  <w:rsids>
    <w:rsidRoot w:val="08E02EAD"/>
    <w:rsid w:val="08E02EAD"/>
    <w:rsid w:val="0CFE3DAE"/>
    <w:rsid w:val="0E41A0C6"/>
    <w:rsid w:val="1BCFD368"/>
    <w:rsid w:val="1FE241F2"/>
    <w:rsid w:val="24AD37DB"/>
    <w:rsid w:val="28E8B69B"/>
    <w:rsid w:val="2F8915DE"/>
    <w:rsid w:val="2FB1B188"/>
    <w:rsid w:val="2FB1B188"/>
    <w:rsid w:val="37AC30EC"/>
    <w:rsid w:val="3DF14B0C"/>
    <w:rsid w:val="430B9EBF"/>
    <w:rsid w:val="430B9EBF"/>
    <w:rsid w:val="46A38BFB"/>
    <w:rsid w:val="46A38BFB"/>
    <w:rsid w:val="4851921C"/>
    <w:rsid w:val="4BE053F2"/>
    <w:rsid w:val="5530DE54"/>
    <w:rsid w:val="59C001F6"/>
    <w:rsid w:val="5BB50C5A"/>
    <w:rsid w:val="609A31AD"/>
    <w:rsid w:val="63993816"/>
    <w:rsid w:val="65E8AF91"/>
    <w:rsid w:val="6C297DB7"/>
    <w:rsid w:val="6F722B59"/>
    <w:rsid w:val="7439FED2"/>
    <w:rsid w:val="79964287"/>
    <w:rsid w:val="79964287"/>
    <w:rsid w:val="7ED9697B"/>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Calibri" w:hAnsi="Calibri" w:eastAsia="Calibri" w:cs="Calibri"/>
        <w:color w:val="1A1A1A"/>
        <w:sz w:val="22"/>
        <w:szCs w:val="22"/>
      </w:rPr>
    </w:rPrDefault>
    <w:pPrDefault>
      <w:pPr>
        <w:spacing w:after="160" w:line="276"/>
      </w:pPr>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Eyebrow">
    <w:name w:val="Eyebrow"/>
    <w:basedOn w:val="Normal"/>
    <w:qFormat/>
    <w:pPr>
      <w:spacing w:after="40"/>
    </w:pPr>
    <w:rPr>
      <w:b/>
      <w:bCs/>
      <w:caps/>
      <w:color w:val="595959"/>
      <w:spacing w:val="30"/>
      <w:sz w:val="16"/>
      <w:szCs w:val="16"/>
    </w:rPr>
  </w:style>
  <w:style w:type="paragraph" w:styleId="Title">
    <w:name w:val="Title0"/>
    <w:basedOn w:val="Normal"/>
    <w:qFormat/>
    <w:pPr>
      <w:spacing w:after="40"/>
    </w:pPr>
    <w:rPr>
      <w:b/>
      <w:bCs/>
      <w:color w:val="1F3864"/>
      <w:sz w:val="52"/>
      <w:szCs w:val="52"/>
    </w:rPr>
  </w:style>
  <w:style w:type="paragraph" w:styleId="Subtitle">
    <w:name w:val="Subtitle"/>
    <w:basedOn w:val="Normal"/>
    <w:qFormat/>
    <w:pPr>
      <w:pBdr>
        <w:bottom w:val="single" w:color="1F3864" w:sz="12" w:space="8"/>
      </w:pBdr>
      <w:spacing w:after="200"/>
    </w:pPr>
    <w:rPr>
      <w:color w:val="595959"/>
      <w:sz w:val="22"/>
      <w:szCs w:val="22"/>
    </w:rPr>
  </w:style>
  <w:style w:type="paragraph" w:styleId="Heading1">
    <w:name w:val="heading 10"/>
    <w:basedOn w:val="Normal"/>
    <w:next w:val="Normal"/>
    <w:qFormat/>
    <w:pPr>
      <w:keepNext/>
      <w:pBdr>
        <w:bottom w:val="single" w:color="D7DBE3" w:sz="6" w:space="4"/>
      </w:pBdr>
      <w:spacing w:before="320" w:after="120"/>
    </w:pPr>
    <w:rPr>
      <w:b/>
      <w:bCs/>
      <w:color w:val="1F3864"/>
      <w:sz w:val="28"/>
      <w:szCs w:val="28"/>
    </w:rPr>
  </w:style>
  <w:style w:type="paragraph" w:styleId="Heading2">
    <w:name w:val="heading 20"/>
    <w:basedOn w:val="Normal"/>
    <w:next w:val="Normal"/>
    <w:qFormat/>
    <w:pPr>
      <w:keepNext/>
      <w:spacing w:before="240" w:after="80"/>
    </w:pPr>
    <w:rPr>
      <w:b/>
      <w:bCs/>
      <w:color w:val="1F3864"/>
      <w:sz w:val="24"/>
      <w:szCs w:val="24"/>
    </w:rPr>
  </w:style>
</w:styles>
</file>

<file path=word/_rels/document.xml.rels>&#65279;<?xml version="1.0" encoding="utf-8"?><Relationships xmlns="http://schemas.openxmlformats.org/package/2006/relationships"><Relationship Type="http://schemas.openxmlformats.org/officeDocument/2006/relationships/styles" Target="styles.xml" Id="rId1" /><Relationship Type="http://schemas.openxmlformats.org/officeDocument/2006/relationships/numbering" Target="numbering.xml" Id="rId2" /><Relationship Type="http://schemas.openxmlformats.org/officeDocument/2006/relationships/settings" Target="settings.xml" Id="rId5" /><Relationship Type="http://schemas.openxmlformats.org/officeDocument/2006/relationships/header" Target="header1.xml" Id="rId7" /><Relationship Type="http://schemas.openxmlformats.org/officeDocument/2006/relationships/footer" Target="footer1.xml" Id="rId8" /><Relationship Type="http://schemas.openxmlformats.org/officeDocument/2006/relationships/fontTable" Target="fontTable.xml" Id="rId9" /></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Un-named</dc:creator>
  <lastModifiedBy>Alessandro Zarafu (2529421)</lastModifiedBy>
  <revision>2</revision>
  <dcterms:created xsi:type="dcterms:W3CDTF">2026-07-20T19:47:16.7850000Z</dcterms:created>
  <dcterms:modified xsi:type="dcterms:W3CDTF">2026-07-20T20:08:27.7325062Z</dcterms:modified>
</coreProperties>
</file>

<file path=docProps/custom.xml><?xml version="1.0" encoding="utf-8"?>
<Properties xmlns="http://schemas.openxmlformats.org/officeDocument/2006/custom-properties" xmlns:vt="http://schemas.openxmlformats.org/officeDocument/2006/docPropsVTypes"/>
</file>