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2"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3"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4"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5"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6"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7"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8"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9"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000000A" w14:textId="77777777" w:rsidR="00EA563A" w:rsidRDefault="00EA563A">
      <w:pPr>
        <w:spacing w:line="360" w:lineRule="auto"/>
        <w:jc w:val="center"/>
        <w:rPr>
          <w:rFonts w:ascii="Times New Roman" w:eastAsia="Times New Roman" w:hAnsi="Times New Roman" w:cs="Times New Roman"/>
          <w:b/>
          <w:color w:val="222222"/>
          <w:sz w:val="32"/>
          <w:szCs w:val="32"/>
          <w:highlight w:val="white"/>
        </w:rPr>
      </w:pPr>
    </w:p>
    <w:p w14:paraId="066E4E5D" w14:textId="77777777" w:rsidR="00FD1EC3" w:rsidRDefault="00000000">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highlight w:val="white"/>
        </w:rPr>
        <w:t>MANAGING ENTERPRISE IN THE 21ST CENTURY</w:t>
      </w:r>
    </w:p>
    <w:p w14:paraId="164F8F34" w14:textId="77777777" w:rsidR="00FD1EC3" w:rsidRDefault="00FD1EC3">
      <w:pPr>
        <w:spacing w:line="360" w:lineRule="auto"/>
        <w:jc w:val="center"/>
        <w:rPr>
          <w:rFonts w:ascii="Times New Roman" w:eastAsia="Times New Roman" w:hAnsi="Times New Roman" w:cs="Times New Roman"/>
          <w:b/>
          <w:color w:val="222222"/>
          <w:sz w:val="32"/>
          <w:szCs w:val="32"/>
        </w:rPr>
      </w:pPr>
    </w:p>
    <w:p w14:paraId="3B14F673" w14:textId="00B67E95" w:rsidR="0025349E" w:rsidRPr="0025349E" w:rsidRDefault="00FD1EC3" w:rsidP="0025349E">
      <w:pPr>
        <w:jc w:val="center"/>
        <w:rPr>
          <w:sz w:val="24"/>
          <w:szCs w:val="24"/>
        </w:rPr>
      </w:pPr>
      <w:proofErr w:type="spellStart"/>
      <w:r w:rsidRPr="0025349E">
        <w:rPr>
          <w:rFonts w:ascii="Times New Roman" w:eastAsia="Times New Roman" w:hAnsi="Times New Roman" w:cs="Times New Roman"/>
          <w:b/>
          <w:color w:val="222222"/>
          <w:sz w:val="24"/>
          <w:szCs w:val="24"/>
        </w:rPr>
        <w:t>Alexandru</w:t>
      </w:r>
      <w:proofErr w:type="spellEnd"/>
      <w:r w:rsidRPr="0025349E">
        <w:rPr>
          <w:rFonts w:ascii="Times New Roman" w:eastAsia="Times New Roman" w:hAnsi="Times New Roman" w:cs="Times New Roman"/>
          <w:b/>
          <w:color w:val="222222"/>
          <w:sz w:val="24"/>
          <w:szCs w:val="24"/>
        </w:rPr>
        <w:t xml:space="preserve"> </w:t>
      </w:r>
      <w:proofErr w:type="spellStart"/>
      <w:r w:rsidRPr="0025349E">
        <w:rPr>
          <w:rFonts w:ascii="Times New Roman" w:eastAsia="Times New Roman" w:hAnsi="Times New Roman" w:cs="Times New Roman"/>
          <w:b/>
          <w:color w:val="222222"/>
          <w:sz w:val="24"/>
          <w:szCs w:val="24"/>
        </w:rPr>
        <w:t>Iosep</w:t>
      </w:r>
      <w:proofErr w:type="spellEnd"/>
      <w:r w:rsidR="0025349E">
        <w:rPr>
          <w:rFonts w:ascii="Times New Roman" w:eastAsia="Times New Roman" w:hAnsi="Times New Roman" w:cs="Times New Roman"/>
          <w:b/>
          <w:color w:val="222222"/>
          <w:sz w:val="24"/>
          <w:szCs w:val="24"/>
        </w:rPr>
        <w:t>-</w:t>
      </w:r>
      <w:r w:rsidR="0025349E" w:rsidRPr="0025349E">
        <w:rPr>
          <w:sz w:val="24"/>
          <w:szCs w:val="24"/>
        </w:rPr>
        <w:t xml:space="preserve">Management </w:t>
      </w:r>
      <w:r w:rsidR="0025349E" w:rsidRPr="0025349E">
        <w:rPr>
          <w:sz w:val="24"/>
          <w:szCs w:val="24"/>
        </w:rPr>
        <w:t>team</w:t>
      </w:r>
      <w:r w:rsidR="0025349E">
        <w:rPr>
          <w:sz w:val="24"/>
          <w:szCs w:val="24"/>
        </w:rPr>
        <w:t xml:space="preserve">, </w:t>
      </w:r>
      <w:r w:rsidR="0025349E" w:rsidRPr="0025349E">
        <w:rPr>
          <w:sz w:val="24"/>
          <w:szCs w:val="24"/>
        </w:rPr>
        <w:t>operations</w:t>
      </w:r>
      <w:r w:rsidR="0025349E" w:rsidRPr="0025349E">
        <w:rPr>
          <w:sz w:val="24"/>
          <w:szCs w:val="24"/>
        </w:rPr>
        <w:t xml:space="preserve"> and </w:t>
      </w:r>
      <w:r w:rsidR="0025349E">
        <w:rPr>
          <w:sz w:val="24"/>
          <w:szCs w:val="24"/>
        </w:rPr>
        <w:t>m</w:t>
      </w:r>
      <w:r w:rsidR="0025349E" w:rsidRPr="0025349E">
        <w:rPr>
          <w:sz w:val="24"/>
          <w:szCs w:val="24"/>
        </w:rPr>
        <w:t>anagement plan</w:t>
      </w:r>
    </w:p>
    <w:p w14:paraId="57BA36CF" w14:textId="19ABA3C7" w:rsidR="0025349E" w:rsidRDefault="0025349E" w:rsidP="0025349E">
      <w:pPr>
        <w:spacing w:line="360" w:lineRule="auto"/>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32"/>
          <w:szCs w:val="32"/>
        </w:rPr>
        <w:t xml:space="preserve">          </w:t>
      </w:r>
      <w:r w:rsidR="00FD1EC3" w:rsidRPr="0025349E">
        <w:rPr>
          <w:rFonts w:ascii="Times New Roman" w:eastAsia="Times New Roman" w:hAnsi="Times New Roman" w:cs="Times New Roman"/>
          <w:b/>
          <w:color w:val="222222"/>
          <w:sz w:val="28"/>
          <w:szCs w:val="28"/>
        </w:rPr>
        <w:t xml:space="preserve">Constantin </w:t>
      </w:r>
      <w:proofErr w:type="spellStart"/>
      <w:r w:rsidR="00FD1EC3" w:rsidRPr="0025349E">
        <w:rPr>
          <w:rFonts w:ascii="Times New Roman" w:eastAsia="Times New Roman" w:hAnsi="Times New Roman" w:cs="Times New Roman"/>
          <w:b/>
          <w:color w:val="222222"/>
          <w:sz w:val="28"/>
          <w:szCs w:val="28"/>
        </w:rPr>
        <w:t>Galusca</w:t>
      </w:r>
      <w:proofErr w:type="spellEnd"/>
      <w:r w:rsidRPr="0025349E">
        <w:rPr>
          <w:rFonts w:ascii="Times New Roman" w:eastAsia="Times New Roman" w:hAnsi="Times New Roman" w:cs="Times New Roman"/>
          <w:b/>
          <w:color w:val="222222"/>
          <w:sz w:val="28"/>
          <w:szCs w:val="28"/>
        </w:rPr>
        <w:t>-</w:t>
      </w:r>
      <w:r w:rsidRPr="0025349E">
        <w:rPr>
          <w:sz w:val="28"/>
          <w:szCs w:val="28"/>
        </w:rPr>
        <w:t xml:space="preserve"> </w:t>
      </w:r>
      <w:r w:rsidRPr="0025349E">
        <w:rPr>
          <w:sz w:val="28"/>
          <w:szCs w:val="28"/>
        </w:rPr>
        <w:t>Business Plan, financial</w:t>
      </w:r>
    </w:p>
    <w:p w14:paraId="0000000B" w14:textId="47FEEBDF" w:rsidR="00EA563A" w:rsidRPr="0025349E" w:rsidRDefault="0025349E" w:rsidP="0025349E">
      <w:pPr>
        <w:spacing w:line="360" w:lineRule="auto"/>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t xml:space="preserve">           </w:t>
      </w:r>
      <w:r w:rsidR="00FD1EC3" w:rsidRPr="0025349E">
        <w:rPr>
          <w:rFonts w:ascii="Times New Roman" w:eastAsia="Times New Roman" w:hAnsi="Times New Roman" w:cs="Times New Roman"/>
          <w:b/>
          <w:color w:val="222222"/>
          <w:sz w:val="28"/>
          <w:szCs w:val="28"/>
        </w:rPr>
        <w:t xml:space="preserve">Daniela </w:t>
      </w:r>
      <w:proofErr w:type="spellStart"/>
      <w:r w:rsidR="00FD1EC3" w:rsidRPr="0025349E">
        <w:rPr>
          <w:rFonts w:ascii="Times New Roman" w:eastAsia="Times New Roman" w:hAnsi="Times New Roman" w:cs="Times New Roman"/>
          <w:b/>
          <w:color w:val="222222"/>
          <w:sz w:val="28"/>
          <w:szCs w:val="28"/>
        </w:rPr>
        <w:t>Rusu</w:t>
      </w:r>
      <w:proofErr w:type="spellEnd"/>
      <w:r w:rsidRPr="0025349E">
        <w:rPr>
          <w:rFonts w:ascii="Times New Roman" w:eastAsia="Times New Roman" w:hAnsi="Times New Roman" w:cs="Times New Roman"/>
          <w:b/>
          <w:color w:val="222222"/>
          <w:sz w:val="28"/>
          <w:szCs w:val="28"/>
        </w:rPr>
        <w:t>-</w:t>
      </w:r>
      <w:r w:rsidRPr="0025349E">
        <w:rPr>
          <w:sz w:val="28"/>
          <w:szCs w:val="28"/>
        </w:rPr>
        <w:t xml:space="preserve"> </w:t>
      </w:r>
      <w:r w:rsidRPr="0025349E">
        <w:rPr>
          <w:sz w:val="28"/>
          <w:szCs w:val="28"/>
        </w:rPr>
        <w:t>Market analysis, Marketing plan</w:t>
      </w:r>
      <w:r w:rsidRPr="0025349E">
        <w:rPr>
          <w:sz w:val="28"/>
          <w:szCs w:val="28"/>
        </w:rPr>
        <w:t xml:space="preserve"> </w:t>
      </w:r>
      <w:r w:rsidR="00FD1EC3" w:rsidRPr="0025349E">
        <w:rPr>
          <w:sz w:val="28"/>
          <w:szCs w:val="28"/>
        </w:rPr>
        <w:br w:type="page"/>
      </w:r>
    </w:p>
    <w:p w14:paraId="27AC92C5" w14:textId="5B5B26A9" w:rsidR="00503D89" w:rsidRPr="00503D89" w:rsidRDefault="00503D89" w:rsidP="00503D89">
      <w:pPr>
        <w:keepNext/>
        <w:keepLines/>
        <w:spacing w:before="280" w:line="480" w:lineRule="auto"/>
        <w:jc w:val="both"/>
        <w:outlineLvl w:val="0"/>
        <w:rPr>
          <w:b/>
          <w:sz w:val="28"/>
          <w:szCs w:val="40"/>
          <w:highlight w:val="white"/>
        </w:rPr>
      </w:pPr>
      <w:bookmarkStart w:id="0" w:name="_Toc121922863"/>
      <w:r w:rsidRPr="00503D89">
        <w:rPr>
          <w:b/>
          <w:sz w:val="28"/>
          <w:szCs w:val="40"/>
          <w:highlight w:val="white"/>
        </w:rPr>
        <w:lastRenderedPageBreak/>
        <w:t>Introduction</w:t>
      </w:r>
      <w:bookmarkEnd w:id="0"/>
      <w:r w:rsidR="00FD1EC3">
        <w:rPr>
          <w:b/>
          <w:sz w:val="28"/>
          <w:szCs w:val="40"/>
          <w:highlight w:val="white"/>
        </w:rPr>
        <w:t xml:space="preserve"> part 1</w:t>
      </w:r>
    </w:p>
    <w:p w14:paraId="2287503B"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Every firm is different, therefore many of the elements of their business plan will depend on the target market, location, and the services they offer. Depending on the situation, a revised or modified business plan might be adopted. The specific financial, marketing, and management aspects of the barbershop will be discussed. This will cover the beginning costs, market analysis, objective statement, and success strategy. At the beginning of their paper, they will include an executive summary, details on the company's target market and marketing plan, a description of company products and services, and all this data (Gunasekaran et al. 2019). Many plans contain their management organisation, the management structure of the team, and details on training and assistance. Before people can draft a business plan, individuals must conduct market research, decide on a long-term strategy for future growth, make a sample budget, and define clear measurable targets. An alternative is to include supplemental documents such as an income statement.</w:t>
      </w:r>
    </w:p>
    <w:p w14:paraId="3C1DB7E8" w14:textId="77777777" w:rsidR="00503D89" w:rsidRPr="00503D89" w:rsidRDefault="00503D89" w:rsidP="00503D89">
      <w:pPr>
        <w:spacing w:line="360" w:lineRule="auto"/>
        <w:jc w:val="center"/>
        <w:rPr>
          <w:color w:val="222222"/>
          <w:sz w:val="24"/>
          <w:highlight w:val="white"/>
        </w:rPr>
      </w:pPr>
      <w:r w:rsidRPr="00503D89">
        <w:rPr>
          <w:noProof/>
          <w:sz w:val="24"/>
        </w:rPr>
        <w:drawing>
          <wp:inline distT="0" distB="0" distL="0" distR="0" wp14:anchorId="580E9D12" wp14:editId="43AC9694">
            <wp:extent cx="5734050" cy="3228975"/>
            <wp:effectExtent l="0" t="0" r="0" b="9525"/>
            <wp:docPr id="5" name="Picture 1" descr="Best Barber Business Plan Template For Your Barber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Barber Business Plan Template For Your Barber Sho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5B251C44" w14:textId="77777777" w:rsidR="00503D89" w:rsidRPr="00503D89" w:rsidRDefault="00503D89" w:rsidP="00503D89">
      <w:pPr>
        <w:spacing w:line="360" w:lineRule="auto"/>
        <w:jc w:val="center"/>
        <w:rPr>
          <w:b/>
          <w:bCs/>
          <w:color w:val="222222"/>
          <w:sz w:val="24"/>
          <w:highlight w:val="white"/>
        </w:rPr>
      </w:pPr>
      <w:r w:rsidRPr="00503D89">
        <w:rPr>
          <w:b/>
          <w:bCs/>
          <w:color w:val="222222"/>
          <w:sz w:val="24"/>
          <w:highlight w:val="white"/>
        </w:rPr>
        <w:t>Figure 1: Barber shop Business plan.</w:t>
      </w:r>
    </w:p>
    <w:p w14:paraId="39BA4681" w14:textId="77777777" w:rsidR="00503D89" w:rsidRPr="00503D89" w:rsidRDefault="00503D89" w:rsidP="00503D89">
      <w:pPr>
        <w:spacing w:line="360" w:lineRule="auto"/>
        <w:jc w:val="center"/>
        <w:rPr>
          <w:color w:val="222222"/>
          <w:sz w:val="24"/>
          <w:highlight w:val="white"/>
        </w:rPr>
      </w:pPr>
      <w:r w:rsidRPr="00503D89">
        <w:rPr>
          <w:color w:val="222222"/>
          <w:sz w:val="24"/>
          <w:highlight w:val="white"/>
        </w:rPr>
        <w:t xml:space="preserve">Sources: </w:t>
      </w:r>
      <w:r w:rsidRPr="00503D89">
        <w:rPr>
          <w:color w:val="222222"/>
          <w:sz w:val="24"/>
        </w:rPr>
        <w:t>(</w:t>
      </w:r>
      <w:proofErr w:type="spellStart"/>
      <w:r w:rsidRPr="00503D89">
        <w:rPr>
          <w:color w:val="222222"/>
          <w:sz w:val="24"/>
        </w:rPr>
        <w:t>Upmetrics</w:t>
      </w:r>
      <w:proofErr w:type="spellEnd"/>
      <w:r w:rsidRPr="00503D89">
        <w:rPr>
          <w:color w:val="222222"/>
          <w:sz w:val="24"/>
        </w:rPr>
        <w:t>. co, 2022)</w:t>
      </w:r>
    </w:p>
    <w:p w14:paraId="3A2F889F" w14:textId="77777777" w:rsidR="00503D89" w:rsidRPr="00503D89" w:rsidRDefault="00503D89" w:rsidP="00503D89">
      <w:pPr>
        <w:keepNext/>
        <w:keepLines/>
        <w:spacing w:before="280" w:line="480" w:lineRule="auto"/>
        <w:jc w:val="both"/>
        <w:outlineLvl w:val="0"/>
        <w:rPr>
          <w:b/>
          <w:sz w:val="28"/>
          <w:szCs w:val="40"/>
          <w:highlight w:val="white"/>
        </w:rPr>
      </w:pPr>
      <w:bookmarkStart w:id="1" w:name="_Toc121922864"/>
      <w:r w:rsidRPr="00503D89">
        <w:rPr>
          <w:b/>
          <w:sz w:val="28"/>
          <w:szCs w:val="40"/>
          <w:highlight w:val="white"/>
        </w:rPr>
        <w:lastRenderedPageBreak/>
        <w:t>Business Concepts</w:t>
      </w:r>
      <w:bookmarkEnd w:id="1"/>
    </w:p>
    <w:p w14:paraId="4C9919B9" w14:textId="77777777" w:rsidR="00503D89" w:rsidRPr="00503D89" w:rsidRDefault="00503D89" w:rsidP="00503D89">
      <w:pPr>
        <w:keepNext/>
        <w:keepLines/>
        <w:spacing w:before="240" w:line="480" w:lineRule="auto"/>
        <w:jc w:val="both"/>
        <w:outlineLvl w:val="1"/>
        <w:rPr>
          <w:b/>
          <w:sz w:val="24"/>
          <w:szCs w:val="32"/>
          <w:highlight w:val="white"/>
        </w:rPr>
      </w:pPr>
      <w:bookmarkStart w:id="2" w:name="_Toc121922865"/>
      <w:r w:rsidRPr="00503D89">
        <w:rPr>
          <w:b/>
          <w:sz w:val="24"/>
          <w:szCs w:val="32"/>
          <w:highlight w:val="white"/>
        </w:rPr>
        <w:t>Business Idea</w:t>
      </w:r>
      <w:bookmarkEnd w:id="2"/>
    </w:p>
    <w:p w14:paraId="287C9F82"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There is no specific description of what makes a company's notion excellent or bad since "there are simply ideas people execute and ones they do not." There are times when poor company concepts are seen as prospects and superior ones are rejected. Entrepreneurs must meticulously plan and consider all choices if they wish to establish a business concept. Regardless of how fantastic or awful a business idea may be, anyone that adds value should put it into practice (</w:t>
      </w:r>
      <w:proofErr w:type="spellStart"/>
      <w:r w:rsidRPr="00503D89">
        <w:rPr>
          <w:color w:val="222222"/>
          <w:sz w:val="24"/>
          <w:highlight w:val="white"/>
        </w:rPr>
        <w:t>Dahal</w:t>
      </w:r>
      <w:proofErr w:type="spellEnd"/>
      <w:r w:rsidRPr="00503D89">
        <w:rPr>
          <w:color w:val="222222"/>
          <w:sz w:val="24"/>
          <w:highlight w:val="white"/>
        </w:rPr>
        <w:t xml:space="preserve">, 2019). Using a brainstorming process to generate a lot of ideas is a critical first step. The next step is to identify and discover a good business concept. Ideas come from a range of life events, and depending on an entrepreneur's attributes, good ideas could arise. An entrepreneur may select a business idea following their prior expertise, originality, or trend-spotting skills. As important as the entrepreneur's drive and excitement are, finding a solid idea is also essential. Determine if the value concept may be used once the value has been identified. Entrepreneurs must take into consideration both internal and external factors (Tsvetkov et al. 2019). Examples of outside effects include the economy, consumer </w:t>
      </w:r>
      <w:proofErr w:type="spellStart"/>
      <w:r w:rsidRPr="00503D89">
        <w:rPr>
          <w:color w:val="222222"/>
          <w:sz w:val="24"/>
          <w:highlight w:val="white"/>
        </w:rPr>
        <w:t>behavior</w:t>
      </w:r>
      <w:proofErr w:type="spellEnd"/>
      <w:r w:rsidRPr="00503D89">
        <w:rPr>
          <w:color w:val="222222"/>
          <w:sz w:val="24"/>
          <w:highlight w:val="white"/>
        </w:rPr>
        <w:t>, and technology. The entrepreneur's capacity for profit is one example of an internal variable. The entrepreneur's skill in putting the idea into action is a cornerstone, as was already said.</w:t>
      </w:r>
    </w:p>
    <w:p w14:paraId="4FFFF4C6" w14:textId="77777777" w:rsidR="00503D89" w:rsidRPr="00503D89" w:rsidRDefault="00503D89" w:rsidP="00503D89">
      <w:pPr>
        <w:spacing w:line="360" w:lineRule="auto"/>
        <w:jc w:val="both"/>
        <w:rPr>
          <w:color w:val="222222"/>
          <w:sz w:val="24"/>
          <w:highlight w:val="white"/>
        </w:rPr>
      </w:pPr>
    </w:p>
    <w:tbl>
      <w:tblPr>
        <w:tblStyle w:val="a"/>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503D89" w:rsidRPr="00503D89" w14:paraId="09966C6F"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295E32C3"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Political Factors </w:t>
            </w:r>
          </w:p>
        </w:tc>
        <w:tc>
          <w:tcPr>
            <w:tcW w:w="4514" w:type="dxa"/>
            <w:tcBorders>
              <w:top w:val="single" w:sz="8" w:space="0" w:color="000000"/>
              <w:left w:val="single" w:sz="8" w:space="0" w:color="000000"/>
              <w:bottom w:val="single" w:sz="8" w:space="0" w:color="000000"/>
              <w:right w:val="single" w:sz="8" w:space="0" w:color="000000"/>
            </w:tcBorders>
            <w:hideMark/>
          </w:tcPr>
          <w:p w14:paraId="1DCE2CB9"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 xml:space="preserve">Brexit refers to Britain's departure from the European Union. Because of the Brexit movement, uncertainty has been the dominant mood in recent years. The agreement's conclusion came with the UK's decision to exit the EU on January 24, 2020 (Chang and </w:t>
            </w:r>
            <w:proofErr w:type="spellStart"/>
            <w:r w:rsidRPr="00503D89">
              <w:rPr>
                <w:color w:val="222222"/>
                <w:sz w:val="24"/>
                <w:highlight w:val="white"/>
              </w:rPr>
              <w:t>Andreoni</w:t>
            </w:r>
            <w:proofErr w:type="spellEnd"/>
            <w:r w:rsidRPr="00503D89">
              <w:rPr>
                <w:color w:val="222222"/>
                <w:sz w:val="24"/>
                <w:highlight w:val="white"/>
              </w:rPr>
              <w:t xml:space="preserve">, 2020). Many people believed that the EU's leaving would result in the country's economy expanding and the expansion of employment opportunities that would </w:t>
            </w:r>
            <w:r w:rsidRPr="00503D89">
              <w:rPr>
                <w:color w:val="222222"/>
                <w:sz w:val="24"/>
                <w:highlight w:val="white"/>
              </w:rPr>
              <w:lastRenderedPageBreak/>
              <w:t>follow.</w:t>
            </w:r>
          </w:p>
        </w:tc>
      </w:tr>
      <w:tr w:rsidR="00503D89" w:rsidRPr="00503D89" w14:paraId="290AA93C"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6ACA8CC7"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lastRenderedPageBreak/>
              <w:t xml:space="preserve">Economic Factors </w:t>
            </w:r>
          </w:p>
        </w:tc>
        <w:tc>
          <w:tcPr>
            <w:tcW w:w="4514" w:type="dxa"/>
            <w:tcBorders>
              <w:top w:val="single" w:sz="8" w:space="0" w:color="000000"/>
              <w:left w:val="single" w:sz="8" w:space="0" w:color="000000"/>
              <w:bottom w:val="single" w:sz="8" w:space="0" w:color="000000"/>
              <w:right w:val="single" w:sz="8" w:space="0" w:color="000000"/>
            </w:tcBorders>
            <w:hideMark/>
          </w:tcPr>
          <w:p w14:paraId="77879FCE"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The UK's economy depends on diversity to be successful. Every business has an equal opportunity to grow and thrive because of the market's extreme diversity. Whenever there is a market for it and whenever it adds value to the lives of the users. In February 2020, there were around 3.8% of people without jobs in the UK (Kroon and Paauwe, 2022). Comparing it to the rate from earlier years, it has fallen by around 0.2%. The fact that it is much lower shows that people are earning more money.</w:t>
            </w:r>
          </w:p>
        </w:tc>
      </w:tr>
      <w:tr w:rsidR="00503D89" w:rsidRPr="00503D89" w14:paraId="231CB327"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190B1EF8"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Social Factors </w:t>
            </w:r>
          </w:p>
        </w:tc>
        <w:tc>
          <w:tcPr>
            <w:tcW w:w="4514" w:type="dxa"/>
            <w:tcBorders>
              <w:top w:val="single" w:sz="8" w:space="0" w:color="000000"/>
              <w:left w:val="single" w:sz="8" w:space="0" w:color="000000"/>
              <w:bottom w:val="single" w:sz="8" w:space="0" w:color="000000"/>
              <w:right w:val="single" w:sz="8" w:space="0" w:color="000000"/>
            </w:tcBorders>
            <w:hideMark/>
          </w:tcPr>
          <w:p w14:paraId="5AAFBE19"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 xml:space="preserve">The UK's population will rise to 74 million people by the end of 2039, as per the Office of National Statistics. The </w:t>
            </w:r>
            <w:proofErr w:type="spellStart"/>
            <w:r w:rsidRPr="00503D89">
              <w:rPr>
                <w:color w:val="222222"/>
                <w:sz w:val="24"/>
                <w:highlight w:val="white"/>
              </w:rPr>
              <w:t>labor</w:t>
            </w:r>
            <w:proofErr w:type="spellEnd"/>
            <w:r w:rsidRPr="00503D89">
              <w:rPr>
                <w:color w:val="222222"/>
                <w:sz w:val="24"/>
                <w:highlight w:val="white"/>
              </w:rPr>
              <w:t xml:space="preserve"> market and healthcare system would come first because the birth rate has surpassed the mortality rate in recent years (</w:t>
            </w:r>
            <w:proofErr w:type="spellStart"/>
            <w:r w:rsidRPr="00503D89">
              <w:rPr>
                <w:color w:val="222222"/>
                <w:sz w:val="24"/>
                <w:highlight w:val="white"/>
              </w:rPr>
              <w:t>Gódány</w:t>
            </w:r>
            <w:proofErr w:type="spellEnd"/>
            <w:r w:rsidRPr="00503D89">
              <w:rPr>
                <w:color w:val="222222"/>
                <w:sz w:val="24"/>
                <w:highlight w:val="white"/>
              </w:rPr>
              <w:t xml:space="preserve"> et al. 2021). But there would be a potential for businesses to expand if they could meet more people's wants. The largest consumer market worldwide is, as people all know, the United Kingdom. Previously, there were also significant financial advantages for property investment, healthcare, and insurance businesses.</w:t>
            </w:r>
          </w:p>
        </w:tc>
      </w:tr>
      <w:tr w:rsidR="00503D89" w:rsidRPr="00503D89" w14:paraId="68E54CF4"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1F11B27E"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Technological Factors </w:t>
            </w:r>
          </w:p>
        </w:tc>
        <w:tc>
          <w:tcPr>
            <w:tcW w:w="4514" w:type="dxa"/>
            <w:tcBorders>
              <w:top w:val="single" w:sz="8" w:space="0" w:color="000000"/>
              <w:left w:val="single" w:sz="8" w:space="0" w:color="000000"/>
              <w:bottom w:val="single" w:sz="8" w:space="0" w:color="000000"/>
              <w:right w:val="single" w:sz="8" w:space="0" w:color="000000"/>
            </w:tcBorders>
            <w:hideMark/>
          </w:tcPr>
          <w:p w14:paraId="04F93EA7"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 xml:space="preserve">The nation possesses some of the best research and development institutions in </w:t>
            </w:r>
            <w:r w:rsidRPr="00503D89">
              <w:rPr>
                <w:color w:val="222222"/>
                <w:sz w:val="24"/>
                <w:highlight w:val="white"/>
              </w:rPr>
              <w:lastRenderedPageBreak/>
              <w:t>the whole world, and they consistently work to push the envelope in practically every discipline. In the economic climate of our country, business owners have a variety of options. The country's economy benefits from each innovation and advancement. The field of technology, it is presently advancing. Comparatively to Japanese, American, and Korean institutions, even British IT schools are performing well (</w:t>
            </w:r>
            <w:proofErr w:type="spellStart"/>
            <w:r w:rsidRPr="00503D89">
              <w:rPr>
                <w:color w:val="222222"/>
                <w:sz w:val="24"/>
                <w:highlight w:val="white"/>
              </w:rPr>
              <w:t>Jabbour</w:t>
            </w:r>
            <w:proofErr w:type="spellEnd"/>
            <w:r w:rsidRPr="00503D89">
              <w:rPr>
                <w:color w:val="222222"/>
                <w:sz w:val="24"/>
                <w:highlight w:val="white"/>
              </w:rPr>
              <w:t xml:space="preserve"> and Renwick, 2020).</w:t>
            </w:r>
          </w:p>
        </w:tc>
      </w:tr>
      <w:tr w:rsidR="00503D89" w:rsidRPr="00503D89" w14:paraId="4B3CF6FF"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3FC62700"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lastRenderedPageBreak/>
              <w:t>Legal Factors</w:t>
            </w:r>
          </w:p>
        </w:tc>
        <w:tc>
          <w:tcPr>
            <w:tcW w:w="4514" w:type="dxa"/>
            <w:tcBorders>
              <w:top w:val="single" w:sz="8" w:space="0" w:color="000000"/>
              <w:left w:val="single" w:sz="8" w:space="0" w:color="000000"/>
              <w:bottom w:val="single" w:sz="8" w:space="0" w:color="000000"/>
              <w:right w:val="single" w:sz="8" w:space="0" w:color="000000"/>
            </w:tcBorders>
            <w:hideMark/>
          </w:tcPr>
          <w:p w14:paraId="2FD2F63B"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The Employment Act of 1996 must be followed by companies doing business in the UK (Hassan et al. 2019). Their rights are safeguarded by this regulation concerning anything from sick leave to the minimum wage, holiday pay, and maternity and paternity leave. Alternative protections include the Equality Act of 2010, which prohibits discrimination based on race, gender, and other factors.</w:t>
            </w:r>
          </w:p>
        </w:tc>
      </w:tr>
      <w:tr w:rsidR="00503D89" w:rsidRPr="00503D89" w14:paraId="3469B659"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7CDC6C00"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Environment Factors </w:t>
            </w:r>
          </w:p>
        </w:tc>
        <w:tc>
          <w:tcPr>
            <w:tcW w:w="4514" w:type="dxa"/>
            <w:tcBorders>
              <w:top w:val="single" w:sz="8" w:space="0" w:color="000000"/>
              <w:left w:val="single" w:sz="8" w:space="0" w:color="000000"/>
              <w:bottom w:val="single" w:sz="8" w:space="0" w:color="000000"/>
              <w:right w:val="single" w:sz="8" w:space="0" w:color="000000"/>
            </w:tcBorders>
            <w:hideMark/>
          </w:tcPr>
          <w:p w14:paraId="2F283443" w14:textId="77777777" w:rsidR="00503D89" w:rsidRPr="00503D89" w:rsidRDefault="00503D89" w:rsidP="00503D89">
            <w:pPr>
              <w:widowControl w:val="0"/>
              <w:spacing w:line="360" w:lineRule="auto"/>
              <w:jc w:val="both"/>
              <w:rPr>
                <w:color w:val="222222"/>
                <w:sz w:val="24"/>
                <w:highlight w:val="white"/>
              </w:rPr>
            </w:pPr>
            <w:r w:rsidRPr="00503D89">
              <w:rPr>
                <w:color w:val="222222"/>
                <w:sz w:val="24"/>
                <w:highlight w:val="white"/>
              </w:rPr>
              <w:t>Every industrialised country deal with significant environmental issues since industrialisation is necessary for economic advancement (</w:t>
            </w:r>
            <w:proofErr w:type="spellStart"/>
            <w:r w:rsidRPr="00503D89">
              <w:rPr>
                <w:color w:val="222222"/>
                <w:sz w:val="24"/>
                <w:highlight w:val="white"/>
              </w:rPr>
              <w:t>Boustras</w:t>
            </w:r>
            <w:proofErr w:type="spellEnd"/>
            <w:r w:rsidRPr="00503D89">
              <w:rPr>
                <w:color w:val="222222"/>
                <w:sz w:val="24"/>
                <w:highlight w:val="white"/>
              </w:rPr>
              <w:t xml:space="preserve"> and Waring, 2020). It is accompanied by environmental issues such as pollution. But there have been initiatives and informational campaigns on recycling, decreasing plastic waste, and eco-friendly products and services from the </w:t>
            </w:r>
            <w:r w:rsidRPr="00503D89">
              <w:rPr>
                <w:color w:val="222222"/>
                <w:sz w:val="24"/>
                <w:highlight w:val="white"/>
              </w:rPr>
              <w:lastRenderedPageBreak/>
              <w:t>government, commercial companies, and other non-profit organisations.</w:t>
            </w:r>
          </w:p>
        </w:tc>
      </w:tr>
    </w:tbl>
    <w:p w14:paraId="56853D29" w14:textId="77777777" w:rsidR="00503D89" w:rsidRPr="00503D89" w:rsidRDefault="00503D89" w:rsidP="00503D89">
      <w:pPr>
        <w:spacing w:line="360" w:lineRule="auto"/>
        <w:jc w:val="both"/>
        <w:rPr>
          <w:color w:val="222222"/>
          <w:sz w:val="24"/>
          <w:highlight w:val="white"/>
        </w:rPr>
      </w:pPr>
    </w:p>
    <w:p w14:paraId="50883D03" w14:textId="77777777" w:rsidR="00503D89" w:rsidRPr="00503D89" w:rsidRDefault="00503D89" w:rsidP="00503D89">
      <w:pPr>
        <w:keepNext/>
        <w:keepLines/>
        <w:spacing w:before="240" w:line="480" w:lineRule="auto"/>
        <w:jc w:val="both"/>
        <w:outlineLvl w:val="1"/>
        <w:rPr>
          <w:b/>
          <w:sz w:val="24"/>
          <w:szCs w:val="32"/>
          <w:highlight w:val="white"/>
        </w:rPr>
      </w:pPr>
      <w:bookmarkStart w:id="3" w:name="_Toc121922866"/>
      <w:r w:rsidRPr="00503D89">
        <w:rPr>
          <w:b/>
          <w:sz w:val="24"/>
          <w:szCs w:val="32"/>
          <w:highlight w:val="white"/>
        </w:rPr>
        <w:t>Business Concepts</w:t>
      </w:r>
      <w:bookmarkEnd w:id="3"/>
    </w:p>
    <w:p w14:paraId="1599843E"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The barbershop is included under health and beauty. In order to get certain permits, the firm approaches the relevant authorities. In my role as a barbershop owner, individuals will offer shaving, haircuts, and other male grooming services. Typically, there are two methods to open a barbershop (</w:t>
      </w:r>
      <w:proofErr w:type="spellStart"/>
      <w:r w:rsidRPr="00503D89">
        <w:rPr>
          <w:color w:val="222222"/>
          <w:sz w:val="24"/>
          <w:highlight w:val="white"/>
        </w:rPr>
        <w:t>Vanclay</w:t>
      </w:r>
      <w:proofErr w:type="spellEnd"/>
      <w:r w:rsidRPr="00503D89">
        <w:rPr>
          <w:color w:val="222222"/>
          <w:sz w:val="24"/>
          <w:highlight w:val="white"/>
        </w:rPr>
        <w:t xml:space="preserve">, 2020). There are also realistic possibilities, such as establishing their own business or acquiring a franchise from a reputable corporation. If they are completely new to this industry, think about starting as a franchise. If this is the case, the mother company will help them launch the business, including marketing. This topic must be considered. It reflects the fact that a business in a busy part of the city would surely attract more customers, and the site will also be more expensive. The most affordable areas will be those that are adjacent to </w:t>
      </w:r>
      <w:proofErr w:type="spellStart"/>
      <w:r w:rsidRPr="00503D89">
        <w:rPr>
          <w:color w:val="222222"/>
          <w:sz w:val="24"/>
          <w:highlight w:val="white"/>
        </w:rPr>
        <w:t>centers</w:t>
      </w:r>
      <w:proofErr w:type="spellEnd"/>
      <w:r w:rsidRPr="00503D89">
        <w:rPr>
          <w:color w:val="222222"/>
          <w:sz w:val="24"/>
          <w:highlight w:val="white"/>
        </w:rPr>
        <w:t xml:space="preserve"> of employment and educational institutions. Near the office building during the workday, there will be a steady stream of clients (Henderson, 2021). Businesses may boost the flow of their customer base by providing schools with special student discounts. Aside from that, contemplate setting up a shop in one of the town's developing </w:t>
      </w:r>
      <w:proofErr w:type="spellStart"/>
      <w:r w:rsidRPr="00503D89">
        <w:rPr>
          <w:color w:val="222222"/>
          <w:sz w:val="24"/>
          <w:highlight w:val="white"/>
        </w:rPr>
        <w:t>neighborhoods</w:t>
      </w:r>
      <w:proofErr w:type="spellEnd"/>
      <w:r w:rsidRPr="00503D89">
        <w:rPr>
          <w:color w:val="222222"/>
          <w:sz w:val="24"/>
          <w:highlight w:val="white"/>
        </w:rPr>
        <w:t xml:space="preserve"> if individuals wish to pay extremely minimal rent. As location improves, people will experience a rise in the number of their customers.</w:t>
      </w:r>
    </w:p>
    <w:p w14:paraId="3D73046F" w14:textId="77777777" w:rsidR="00503D89" w:rsidRPr="00503D89" w:rsidRDefault="00503D89" w:rsidP="00503D89">
      <w:pPr>
        <w:keepNext/>
        <w:keepLines/>
        <w:spacing w:before="240" w:line="480" w:lineRule="auto"/>
        <w:jc w:val="both"/>
        <w:outlineLvl w:val="1"/>
        <w:rPr>
          <w:b/>
          <w:sz w:val="24"/>
          <w:szCs w:val="32"/>
          <w:highlight w:val="white"/>
        </w:rPr>
      </w:pPr>
      <w:bookmarkStart w:id="4" w:name="_Toc121922867"/>
      <w:r w:rsidRPr="00503D89">
        <w:rPr>
          <w:b/>
          <w:sz w:val="24"/>
          <w:szCs w:val="32"/>
          <w:highlight w:val="white"/>
        </w:rPr>
        <w:t>Business Strategy</w:t>
      </w:r>
      <w:bookmarkEnd w:id="4"/>
    </w:p>
    <w:p w14:paraId="007DDBDD"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Developing a strategy requires considering a variety of factors, including products, markets, and rival tactics. To effectively identify and characterise its offers, a business must decide on the sort and range of goods that it will offer to its markets. Segmenting their clients and market would also be a shrewd marketing strategy so that they could concentrate on targeting the right items to the right people (</w:t>
      </w:r>
      <w:proofErr w:type="spellStart"/>
      <w:r w:rsidRPr="00503D89">
        <w:rPr>
          <w:color w:val="222222"/>
          <w:sz w:val="24"/>
          <w:highlight w:val="white"/>
        </w:rPr>
        <w:t>Bulturbayevich</w:t>
      </w:r>
      <w:proofErr w:type="spellEnd"/>
      <w:r w:rsidRPr="00503D89">
        <w:rPr>
          <w:color w:val="222222"/>
          <w:sz w:val="24"/>
          <w:highlight w:val="white"/>
        </w:rPr>
        <w:t xml:space="preserve"> and </w:t>
      </w:r>
      <w:proofErr w:type="spellStart"/>
      <w:r w:rsidRPr="00503D89">
        <w:rPr>
          <w:color w:val="222222"/>
          <w:sz w:val="24"/>
          <w:highlight w:val="white"/>
        </w:rPr>
        <w:t>Abduvafoyevna</w:t>
      </w:r>
      <w:proofErr w:type="spellEnd"/>
      <w:r w:rsidRPr="00503D89">
        <w:rPr>
          <w:color w:val="222222"/>
          <w:sz w:val="24"/>
          <w:highlight w:val="white"/>
        </w:rPr>
        <w:t>, 2022). Finally, even though all organisations operate in the same industry, competitive advantage is an important aspect that distinguishes them from one another. This approach is also critical for long-term success in a market or industry with fierce competition. Whatever strategy is used by the company, it should be in line with its objectives.</w:t>
      </w:r>
    </w:p>
    <w:p w14:paraId="77684FF9" w14:textId="77777777" w:rsidR="00503D89" w:rsidRPr="00503D89" w:rsidRDefault="00503D89" w:rsidP="00503D89">
      <w:pPr>
        <w:keepNext/>
        <w:keepLines/>
        <w:spacing w:before="240" w:line="480" w:lineRule="auto"/>
        <w:jc w:val="both"/>
        <w:outlineLvl w:val="1"/>
        <w:rPr>
          <w:b/>
          <w:sz w:val="24"/>
          <w:szCs w:val="32"/>
          <w:highlight w:val="white"/>
        </w:rPr>
      </w:pPr>
      <w:bookmarkStart w:id="5" w:name="_Toc121922868"/>
      <w:r w:rsidRPr="00503D89">
        <w:rPr>
          <w:b/>
          <w:sz w:val="24"/>
          <w:szCs w:val="32"/>
          <w:highlight w:val="white"/>
        </w:rPr>
        <w:lastRenderedPageBreak/>
        <w:t>Strategic Approach Analysis</w:t>
      </w:r>
      <w:bookmarkEnd w:id="5"/>
    </w:p>
    <w:p w14:paraId="77D1077B"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Before doing strategic analysis, business owners should create a unique strategy model to examine their long-term plan and ensure that their firm will be successful once they have entered new markets. The business model canvas is a crucial tool for demonstrating how a new organisation should operate, especially for start-ups or small new firms (Bailey et al. 2019). It aids in developing an ideal and complete picture of a potentially lucrative corporation. The major acts that develop the company's value proposition and keep it competitive should be emphasised in this area. These operations have to be fully detailed rather than merely listing the products or services a company offers.</w:t>
      </w:r>
    </w:p>
    <w:p w14:paraId="2918E103" w14:textId="77777777" w:rsidR="00503D89" w:rsidRPr="00503D89" w:rsidRDefault="00503D89" w:rsidP="00503D89">
      <w:pPr>
        <w:keepNext/>
        <w:keepLines/>
        <w:spacing w:before="280" w:line="480" w:lineRule="auto"/>
        <w:jc w:val="both"/>
        <w:outlineLvl w:val="0"/>
        <w:rPr>
          <w:b/>
          <w:sz w:val="28"/>
          <w:szCs w:val="40"/>
          <w:highlight w:val="white"/>
        </w:rPr>
      </w:pPr>
      <w:bookmarkStart w:id="6" w:name="_Toc121922869"/>
      <w:r w:rsidRPr="00503D89">
        <w:rPr>
          <w:b/>
          <w:sz w:val="28"/>
          <w:szCs w:val="40"/>
          <w:highlight w:val="white"/>
        </w:rPr>
        <w:t>Financial Planning for a Barber Shop in 21st Century</w:t>
      </w:r>
      <w:bookmarkEnd w:id="6"/>
    </w:p>
    <w:p w14:paraId="3A7CF626" w14:textId="77777777" w:rsidR="00503D89" w:rsidRPr="00503D89" w:rsidRDefault="00503D89" w:rsidP="00503D89">
      <w:pPr>
        <w:keepNext/>
        <w:keepLines/>
        <w:spacing w:before="240" w:line="480" w:lineRule="auto"/>
        <w:jc w:val="both"/>
        <w:outlineLvl w:val="1"/>
        <w:rPr>
          <w:b/>
          <w:sz w:val="24"/>
          <w:szCs w:val="32"/>
          <w:highlight w:val="white"/>
        </w:rPr>
      </w:pPr>
      <w:bookmarkStart w:id="7" w:name="_Toc121922870"/>
      <w:r w:rsidRPr="00503D89">
        <w:rPr>
          <w:b/>
          <w:sz w:val="24"/>
          <w:szCs w:val="32"/>
          <w:highlight w:val="white"/>
        </w:rPr>
        <w:t>Financial Planning Process</w:t>
      </w:r>
      <w:bookmarkEnd w:id="7"/>
    </w:p>
    <w:p w14:paraId="66FBE346"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The 21st century's most crucial component of the business is thought to be the financial part. The purpose of a business is to make money through its operations. Accounting serves as a tool for both internal and external stakeholders to monitor the financial health of the firm to manage it efficiently and pursue profitability. The language of business is referred to as accounting (Huang et al. 2019). As a result, financial accounting and managerial accounting might be viewed as having different "dialects" that are the major areas of attention. The main objective of financial accounting is to give creditors and investors in other parties the crucial data they need. Order to collect financial and non-financial data for internal users inside an organisation, such as managers, is required, on the other hand. To discuss, evaluate, and put plans into practice, managers use this data.</w:t>
      </w:r>
    </w:p>
    <w:p w14:paraId="684ADB9B"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 xml:space="preserve">Cost accounting may be a good place to see where finance and management accounting meet. In order to regulate, make decisions, and evaluate performance, cost information is made available to both internal and external stakeholders. For investments and credit decisions, third parties may utilise it. Cost accounting and managerial accounting are this section's two main focal points. Accounting terminology includes a variety of terms that must be well understood (Tien, 2019). Revenue or sales refers to the total amount of money a company brings in during a specific time after discounts and deductions for returned items. stable unit sales </w:t>
      </w:r>
      <w:r w:rsidRPr="00503D89">
        <w:rPr>
          <w:color w:val="222222"/>
          <w:sz w:val="24"/>
          <w:highlight w:val="white"/>
        </w:rPr>
        <w:lastRenderedPageBreak/>
        <w:t>revenue. Changes in activity or volume thus have an equivalent effect on overall revenue. A great way to boost a barbershop's profits is by selling retail merchandise. A third of men who shop for hair products do so based on the suggestions of their stylists, and the sale of hair products is rising significantly in the UK. Once customers use specialised hair products, they'll remember their business, helping to spread brand awareness. For successful barber shops in the past, word-of-mouth marketing and little advertising were efficient ways to grow a customer. Barbershops with low marketing expenses will no longer thrive in the men's grooming industry since it is so highly competitive (</w:t>
      </w:r>
      <w:proofErr w:type="spellStart"/>
      <w:r w:rsidRPr="00503D89">
        <w:rPr>
          <w:color w:val="222222"/>
          <w:sz w:val="24"/>
          <w:highlight w:val="white"/>
        </w:rPr>
        <w:t>Jabbour</w:t>
      </w:r>
      <w:proofErr w:type="spellEnd"/>
      <w:r w:rsidRPr="00503D89">
        <w:rPr>
          <w:color w:val="222222"/>
          <w:sz w:val="24"/>
          <w:highlight w:val="white"/>
        </w:rPr>
        <w:t xml:space="preserve"> et al. 2020). By putting up a diversified marketing plan, one might provide their shop with a competitive edge.</w:t>
      </w:r>
    </w:p>
    <w:p w14:paraId="1AD7A7B9" w14:textId="77777777" w:rsidR="00503D89" w:rsidRPr="00503D89" w:rsidRDefault="00503D89" w:rsidP="00503D89">
      <w:pPr>
        <w:spacing w:line="360" w:lineRule="auto"/>
        <w:jc w:val="center"/>
        <w:rPr>
          <w:color w:val="222222"/>
          <w:sz w:val="24"/>
          <w:highlight w:val="white"/>
        </w:rPr>
      </w:pPr>
      <w:r w:rsidRPr="00503D89">
        <w:rPr>
          <w:noProof/>
          <w:sz w:val="24"/>
        </w:rPr>
        <w:drawing>
          <wp:inline distT="0" distB="0" distL="0" distR="0" wp14:anchorId="4F1979D7" wp14:editId="1F641149">
            <wp:extent cx="5238750" cy="3028950"/>
            <wp:effectExtent l="0" t="0" r="0" b="0"/>
            <wp:docPr id="6" name="Picture 2" descr="Men's Salon Business Plan – Financial Plan Template — B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s Salon Business Plan – Financial Plan Template — Bpla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3028950"/>
                    </a:xfrm>
                    <a:prstGeom prst="rect">
                      <a:avLst/>
                    </a:prstGeom>
                    <a:noFill/>
                    <a:ln>
                      <a:noFill/>
                    </a:ln>
                  </pic:spPr>
                </pic:pic>
              </a:graphicData>
            </a:graphic>
          </wp:inline>
        </w:drawing>
      </w:r>
    </w:p>
    <w:p w14:paraId="5E4A1296" w14:textId="77777777" w:rsidR="00503D89" w:rsidRPr="00503D89" w:rsidRDefault="00503D89" w:rsidP="00503D89">
      <w:pPr>
        <w:spacing w:line="360" w:lineRule="auto"/>
        <w:jc w:val="center"/>
        <w:rPr>
          <w:b/>
          <w:bCs/>
          <w:color w:val="222222"/>
          <w:sz w:val="24"/>
          <w:highlight w:val="white"/>
        </w:rPr>
      </w:pPr>
      <w:r w:rsidRPr="00503D89">
        <w:rPr>
          <w:b/>
          <w:bCs/>
          <w:color w:val="222222"/>
          <w:sz w:val="24"/>
          <w:highlight w:val="white"/>
        </w:rPr>
        <w:t>Figure 2: Financial plan of a Barber Shop.</w:t>
      </w:r>
    </w:p>
    <w:p w14:paraId="5AB7EF0A" w14:textId="77777777" w:rsidR="00503D89" w:rsidRPr="00503D89" w:rsidRDefault="00503D89" w:rsidP="00503D89">
      <w:pPr>
        <w:spacing w:line="360" w:lineRule="auto"/>
        <w:jc w:val="center"/>
        <w:rPr>
          <w:color w:val="222222"/>
          <w:sz w:val="24"/>
          <w:highlight w:val="white"/>
        </w:rPr>
      </w:pPr>
      <w:r w:rsidRPr="00503D89">
        <w:rPr>
          <w:color w:val="222222"/>
          <w:sz w:val="24"/>
          <w:highlight w:val="white"/>
        </w:rPr>
        <w:t xml:space="preserve">Sources: </w:t>
      </w:r>
      <w:r w:rsidRPr="00503D89">
        <w:rPr>
          <w:color w:val="222222"/>
          <w:sz w:val="24"/>
        </w:rPr>
        <w:t>(Amazonaws.com, 2022)</w:t>
      </w:r>
    </w:p>
    <w:p w14:paraId="5D5A37B6" w14:textId="77777777" w:rsidR="00503D89" w:rsidRPr="00503D89" w:rsidRDefault="00503D89" w:rsidP="00503D89">
      <w:pPr>
        <w:keepNext/>
        <w:keepLines/>
        <w:spacing w:before="240" w:line="480" w:lineRule="auto"/>
        <w:jc w:val="both"/>
        <w:outlineLvl w:val="1"/>
        <w:rPr>
          <w:b/>
          <w:sz w:val="24"/>
          <w:szCs w:val="32"/>
          <w:highlight w:val="white"/>
        </w:rPr>
      </w:pPr>
      <w:bookmarkStart w:id="8" w:name="_Toc121922871"/>
      <w:r w:rsidRPr="00503D89">
        <w:rPr>
          <w:b/>
          <w:sz w:val="24"/>
          <w:szCs w:val="32"/>
          <w:highlight w:val="white"/>
        </w:rPr>
        <w:t>Key Revenue and Costs</w:t>
      </w:r>
      <w:bookmarkEnd w:id="8"/>
    </w:p>
    <w:p w14:paraId="69181C3A"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 xml:space="preserve">One of the Men Barber Shop's key sources of revenue will come from the charges for the offered barber services (de </w:t>
      </w:r>
      <w:proofErr w:type="spellStart"/>
      <w:r w:rsidRPr="00503D89">
        <w:rPr>
          <w:color w:val="222222"/>
          <w:sz w:val="24"/>
          <w:highlight w:val="white"/>
        </w:rPr>
        <w:t>Jonge</w:t>
      </w:r>
      <w:proofErr w:type="spellEnd"/>
      <w:r w:rsidRPr="00503D89">
        <w:rPr>
          <w:color w:val="222222"/>
          <w:sz w:val="24"/>
          <w:highlight w:val="white"/>
        </w:rPr>
        <w:t>, 2018). The money will come from haircuts, beard trims, shaves, and washings. The business will make additional money by collecting rent from the other barbers that work there. The costliest item will be maintenance costs for the rental barbershop space. Rent, utilities, all barber service-related equipment, and all necessary supplies will be the main outlay for the 1,500-square-foot site.</w:t>
      </w:r>
    </w:p>
    <w:p w14:paraId="5CFFD87A" w14:textId="77777777" w:rsidR="00503D89" w:rsidRPr="00503D89" w:rsidRDefault="00503D89" w:rsidP="00503D89">
      <w:pPr>
        <w:keepNext/>
        <w:keepLines/>
        <w:spacing w:before="240" w:line="480" w:lineRule="auto"/>
        <w:jc w:val="both"/>
        <w:outlineLvl w:val="1"/>
        <w:rPr>
          <w:b/>
          <w:sz w:val="24"/>
          <w:szCs w:val="32"/>
          <w:highlight w:val="white"/>
        </w:rPr>
      </w:pPr>
      <w:bookmarkStart w:id="9" w:name="_Toc121922872"/>
      <w:r w:rsidRPr="00503D89">
        <w:rPr>
          <w:b/>
          <w:sz w:val="24"/>
          <w:szCs w:val="32"/>
          <w:highlight w:val="white"/>
        </w:rPr>
        <w:lastRenderedPageBreak/>
        <w:t>Requirements of the Funds and Uses of the Fund</w:t>
      </w:r>
      <w:bookmarkEnd w:id="9"/>
    </w:p>
    <w:p w14:paraId="5E20A060"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Premier Men Barber Shop is asking for a debt loan in the amount of $60,000 so that it may open its barbershop in Twins, USA (Howard et al. 2019). The funding will be used to purchase new equipment, supplies, and operating capital, and the barbershop will also receive some modest modifications. Here is how the money is divided up:</w:t>
      </w:r>
    </w:p>
    <w:p w14:paraId="24B57DD6" w14:textId="77777777" w:rsidR="00503D89" w:rsidRPr="00503D89" w:rsidRDefault="00503D89" w:rsidP="00503D89">
      <w:pPr>
        <w:spacing w:line="360" w:lineRule="auto"/>
        <w:jc w:val="both"/>
        <w:rPr>
          <w:color w:val="222222"/>
          <w:sz w:val="24"/>
          <w:highlight w:val="white"/>
        </w:rPr>
      </w:pPr>
    </w:p>
    <w:tbl>
      <w:tblPr>
        <w:tblStyle w:val="a0"/>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503D89" w:rsidRPr="00503D89" w14:paraId="6EBE7CCB"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61A930FD"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Barber shop build-out to update it</w:t>
            </w:r>
          </w:p>
        </w:tc>
        <w:tc>
          <w:tcPr>
            <w:tcW w:w="4514" w:type="dxa"/>
            <w:tcBorders>
              <w:top w:val="single" w:sz="8" w:space="0" w:color="000000"/>
              <w:left w:val="single" w:sz="8" w:space="0" w:color="000000"/>
              <w:bottom w:val="single" w:sz="8" w:space="0" w:color="000000"/>
              <w:right w:val="single" w:sz="8" w:space="0" w:color="000000"/>
            </w:tcBorders>
            <w:hideMark/>
          </w:tcPr>
          <w:p w14:paraId="32C9473B"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$25000</w:t>
            </w:r>
          </w:p>
        </w:tc>
      </w:tr>
      <w:tr w:rsidR="00503D89" w:rsidRPr="00503D89" w14:paraId="1DC76A43"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1CC67A33"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Barber shop pieces of equipment </w:t>
            </w:r>
          </w:p>
        </w:tc>
        <w:tc>
          <w:tcPr>
            <w:tcW w:w="4514" w:type="dxa"/>
            <w:tcBorders>
              <w:top w:val="single" w:sz="8" w:space="0" w:color="000000"/>
              <w:left w:val="single" w:sz="8" w:space="0" w:color="000000"/>
              <w:bottom w:val="single" w:sz="8" w:space="0" w:color="000000"/>
              <w:right w:val="single" w:sz="8" w:space="0" w:color="000000"/>
            </w:tcBorders>
            <w:hideMark/>
          </w:tcPr>
          <w:p w14:paraId="054AB326"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$20000</w:t>
            </w:r>
          </w:p>
        </w:tc>
      </w:tr>
      <w:tr w:rsidR="00503D89" w:rsidRPr="00503D89" w14:paraId="7DF62387"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06443B53"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Supplies of Barber shops</w:t>
            </w:r>
          </w:p>
        </w:tc>
        <w:tc>
          <w:tcPr>
            <w:tcW w:w="4514" w:type="dxa"/>
            <w:tcBorders>
              <w:top w:val="single" w:sz="8" w:space="0" w:color="000000"/>
              <w:left w:val="single" w:sz="8" w:space="0" w:color="000000"/>
              <w:bottom w:val="single" w:sz="8" w:space="0" w:color="000000"/>
              <w:right w:val="single" w:sz="8" w:space="0" w:color="000000"/>
            </w:tcBorders>
            <w:hideMark/>
          </w:tcPr>
          <w:p w14:paraId="02A48E5C"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$10000</w:t>
            </w:r>
          </w:p>
        </w:tc>
      </w:tr>
      <w:tr w:rsidR="00503D89" w:rsidRPr="00503D89" w14:paraId="45F42F46"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66BDF684"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Working capital </w:t>
            </w:r>
          </w:p>
        </w:tc>
        <w:tc>
          <w:tcPr>
            <w:tcW w:w="4514" w:type="dxa"/>
            <w:tcBorders>
              <w:top w:val="single" w:sz="8" w:space="0" w:color="000000"/>
              <w:left w:val="single" w:sz="8" w:space="0" w:color="000000"/>
              <w:bottom w:val="single" w:sz="8" w:space="0" w:color="000000"/>
              <w:right w:val="single" w:sz="8" w:space="0" w:color="000000"/>
            </w:tcBorders>
            <w:hideMark/>
          </w:tcPr>
          <w:p w14:paraId="20A71C44"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$5000</w:t>
            </w:r>
          </w:p>
        </w:tc>
      </w:tr>
    </w:tbl>
    <w:p w14:paraId="43C670B6" w14:textId="77777777" w:rsidR="00503D89" w:rsidRPr="00503D89" w:rsidRDefault="00503D89" w:rsidP="00503D89">
      <w:pPr>
        <w:spacing w:line="360" w:lineRule="auto"/>
        <w:jc w:val="both"/>
        <w:rPr>
          <w:color w:val="222222"/>
          <w:sz w:val="24"/>
          <w:highlight w:val="white"/>
        </w:rPr>
      </w:pPr>
    </w:p>
    <w:p w14:paraId="2EDEDF9E" w14:textId="77777777" w:rsidR="00503D89" w:rsidRPr="00503D89" w:rsidRDefault="00503D89" w:rsidP="00503D89">
      <w:pPr>
        <w:keepNext/>
        <w:keepLines/>
        <w:spacing w:before="240" w:line="480" w:lineRule="auto"/>
        <w:jc w:val="both"/>
        <w:outlineLvl w:val="1"/>
        <w:rPr>
          <w:b/>
          <w:sz w:val="24"/>
          <w:szCs w:val="32"/>
          <w:highlight w:val="white"/>
        </w:rPr>
      </w:pPr>
      <w:bookmarkStart w:id="10" w:name="_Toc121922873"/>
      <w:r w:rsidRPr="00503D89">
        <w:rPr>
          <w:b/>
          <w:sz w:val="24"/>
          <w:szCs w:val="32"/>
          <w:highlight w:val="white"/>
        </w:rPr>
        <w:t>Key Assumptions</w:t>
      </w:r>
      <w:bookmarkEnd w:id="10"/>
    </w:p>
    <w:p w14:paraId="373580A6" w14:textId="77777777" w:rsidR="00503D89" w:rsidRPr="00503D89" w:rsidRDefault="00503D89" w:rsidP="00503D89">
      <w:pPr>
        <w:spacing w:line="360" w:lineRule="auto"/>
        <w:jc w:val="both"/>
        <w:rPr>
          <w:color w:val="222222"/>
          <w:sz w:val="24"/>
          <w:highlight w:val="white"/>
        </w:rPr>
      </w:pPr>
      <w:r w:rsidRPr="00503D89">
        <w:rPr>
          <w:color w:val="222222"/>
          <w:sz w:val="24"/>
          <w:highlight w:val="white"/>
        </w:rPr>
        <w:t xml:space="preserve">The following is a list of the key assumptions that must be made to calculate the financials' income and cost numbers as well as to pay off the </w:t>
      </w:r>
      <w:proofErr w:type="spellStart"/>
      <w:r w:rsidRPr="00503D89">
        <w:rPr>
          <w:color w:val="222222"/>
          <w:sz w:val="24"/>
          <w:highlight w:val="white"/>
        </w:rPr>
        <w:t>startup</w:t>
      </w:r>
      <w:proofErr w:type="spellEnd"/>
      <w:r w:rsidRPr="00503D89">
        <w:rPr>
          <w:color w:val="222222"/>
          <w:sz w:val="24"/>
          <w:highlight w:val="white"/>
        </w:rPr>
        <w:t xml:space="preserve"> loan (Tien, 2019).</w:t>
      </w:r>
    </w:p>
    <w:p w14:paraId="1A952863" w14:textId="77777777" w:rsidR="00503D89" w:rsidRPr="00503D89" w:rsidRDefault="00503D89" w:rsidP="00503D89">
      <w:pPr>
        <w:spacing w:line="360" w:lineRule="auto"/>
        <w:jc w:val="both"/>
        <w:rPr>
          <w:color w:val="222222"/>
          <w:sz w:val="24"/>
          <w:highlight w:val="white"/>
        </w:rPr>
      </w:pPr>
    </w:p>
    <w:tbl>
      <w:tblPr>
        <w:tblStyle w:val="a1"/>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503D89" w:rsidRPr="00503D89" w14:paraId="0B5D0645"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673B2DC3"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Initial Barber shop clients per month </w:t>
            </w:r>
          </w:p>
        </w:tc>
        <w:tc>
          <w:tcPr>
            <w:tcW w:w="4514" w:type="dxa"/>
            <w:tcBorders>
              <w:top w:val="single" w:sz="8" w:space="0" w:color="000000"/>
              <w:left w:val="single" w:sz="8" w:space="0" w:color="000000"/>
              <w:bottom w:val="single" w:sz="8" w:space="0" w:color="000000"/>
              <w:right w:val="single" w:sz="8" w:space="0" w:color="000000"/>
            </w:tcBorders>
            <w:hideMark/>
          </w:tcPr>
          <w:p w14:paraId="64577CD6"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$500</w:t>
            </w:r>
          </w:p>
        </w:tc>
      </w:tr>
      <w:tr w:rsidR="00503D89" w:rsidRPr="00503D89" w14:paraId="42A6E141"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0AC64775"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 xml:space="preserve">Initial revenue per month </w:t>
            </w:r>
          </w:p>
        </w:tc>
        <w:tc>
          <w:tcPr>
            <w:tcW w:w="4514" w:type="dxa"/>
            <w:tcBorders>
              <w:top w:val="single" w:sz="8" w:space="0" w:color="000000"/>
              <w:left w:val="single" w:sz="8" w:space="0" w:color="000000"/>
              <w:bottom w:val="single" w:sz="8" w:space="0" w:color="000000"/>
              <w:right w:val="single" w:sz="8" w:space="0" w:color="000000"/>
            </w:tcBorders>
            <w:hideMark/>
          </w:tcPr>
          <w:p w14:paraId="73B0046E"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$18500</w:t>
            </w:r>
          </w:p>
        </w:tc>
      </w:tr>
      <w:tr w:rsidR="00503D89" w:rsidRPr="00503D89" w14:paraId="695C6411" w14:textId="77777777" w:rsidTr="00503D89">
        <w:tc>
          <w:tcPr>
            <w:tcW w:w="4514" w:type="dxa"/>
            <w:tcBorders>
              <w:top w:val="single" w:sz="8" w:space="0" w:color="000000"/>
              <w:left w:val="single" w:sz="8" w:space="0" w:color="000000"/>
              <w:bottom w:val="single" w:sz="8" w:space="0" w:color="000000"/>
              <w:right w:val="single" w:sz="8" w:space="0" w:color="000000"/>
            </w:tcBorders>
            <w:hideMark/>
          </w:tcPr>
          <w:p w14:paraId="171C46AB" w14:textId="77777777" w:rsidR="00503D89" w:rsidRPr="00503D89" w:rsidRDefault="00503D89" w:rsidP="00503D89">
            <w:pPr>
              <w:widowControl w:val="0"/>
              <w:spacing w:line="360" w:lineRule="auto"/>
              <w:jc w:val="center"/>
              <w:rPr>
                <w:b/>
                <w:color w:val="222222"/>
                <w:sz w:val="24"/>
                <w:highlight w:val="white"/>
              </w:rPr>
            </w:pPr>
            <w:r w:rsidRPr="00503D89">
              <w:rPr>
                <w:b/>
                <w:color w:val="222222"/>
                <w:sz w:val="24"/>
                <w:highlight w:val="white"/>
              </w:rPr>
              <w:t>Annual Lease</w:t>
            </w:r>
          </w:p>
        </w:tc>
        <w:tc>
          <w:tcPr>
            <w:tcW w:w="4514" w:type="dxa"/>
            <w:tcBorders>
              <w:top w:val="single" w:sz="8" w:space="0" w:color="000000"/>
              <w:left w:val="single" w:sz="8" w:space="0" w:color="000000"/>
              <w:bottom w:val="single" w:sz="8" w:space="0" w:color="000000"/>
              <w:right w:val="single" w:sz="8" w:space="0" w:color="000000"/>
            </w:tcBorders>
            <w:hideMark/>
          </w:tcPr>
          <w:p w14:paraId="32CFCF9C" w14:textId="77777777" w:rsidR="00503D89" w:rsidRPr="00503D89" w:rsidRDefault="00503D89" w:rsidP="00503D89">
            <w:pPr>
              <w:widowControl w:val="0"/>
              <w:spacing w:line="360" w:lineRule="auto"/>
              <w:jc w:val="right"/>
              <w:rPr>
                <w:color w:val="222222"/>
                <w:sz w:val="24"/>
                <w:highlight w:val="white"/>
              </w:rPr>
            </w:pPr>
            <w:r w:rsidRPr="00503D89">
              <w:rPr>
                <w:color w:val="222222"/>
                <w:sz w:val="24"/>
                <w:highlight w:val="white"/>
              </w:rPr>
              <w:t>$60000</w:t>
            </w:r>
          </w:p>
        </w:tc>
      </w:tr>
    </w:tbl>
    <w:p w14:paraId="1877DC8F" w14:textId="77777777" w:rsidR="00503D89" w:rsidRPr="00503D89" w:rsidRDefault="00503D89" w:rsidP="00503D89">
      <w:pPr>
        <w:spacing w:line="360" w:lineRule="auto"/>
        <w:jc w:val="both"/>
        <w:rPr>
          <w:color w:val="222222"/>
          <w:sz w:val="24"/>
          <w:highlight w:val="white"/>
        </w:rPr>
      </w:pPr>
    </w:p>
    <w:p w14:paraId="7C6AC742" w14:textId="095EA61B" w:rsidR="000778A7" w:rsidRPr="000778A7" w:rsidRDefault="000778A7" w:rsidP="000778A7">
      <w:pPr>
        <w:pStyle w:val="Heading1"/>
        <w:rPr>
          <w:rFonts w:ascii="Times New Roman" w:hAnsi="Times New Roman"/>
          <w:b/>
          <w:sz w:val="28"/>
          <w:highlight w:val="white"/>
        </w:rPr>
      </w:pPr>
      <w:r>
        <w:rPr>
          <w:rFonts w:ascii="Times New Roman" w:eastAsia="Times New Roman" w:hAnsi="Times New Roman" w:cs="Times New Roman"/>
          <w:color w:val="222222"/>
          <w:sz w:val="24"/>
          <w:szCs w:val="24"/>
          <w:highlight w:val="white"/>
        </w:rPr>
        <w:br w:type="page"/>
      </w:r>
      <w:bookmarkStart w:id="11" w:name="_Toc121923062"/>
      <w:r w:rsidRPr="000778A7">
        <w:rPr>
          <w:rFonts w:ascii="Times New Roman" w:hAnsi="Times New Roman"/>
          <w:b/>
          <w:sz w:val="28"/>
          <w:highlight w:val="white"/>
        </w:rPr>
        <w:lastRenderedPageBreak/>
        <w:t>Operation Management</w:t>
      </w:r>
      <w:bookmarkEnd w:id="11"/>
      <w:r w:rsidR="00503D89">
        <w:rPr>
          <w:rFonts w:ascii="Times New Roman" w:hAnsi="Times New Roman"/>
          <w:b/>
          <w:sz w:val="28"/>
          <w:highlight w:val="white"/>
        </w:rPr>
        <w:t>-part2</w:t>
      </w:r>
    </w:p>
    <w:p w14:paraId="276B24B1"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According to </w:t>
      </w:r>
      <w:proofErr w:type="spellStart"/>
      <w:r w:rsidRPr="000778A7">
        <w:rPr>
          <w:rFonts w:ascii="Times New Roman" w:eastAsia="Times New Roman" w:hAnsi="Times New Roman" w:cs="Times New Roman"/>
          <w:color w:val="222222"/>
          <w:sz w:val="24"/>
          <w:szCs w:val="24"/>
          <w:highlight w:val="white"/>
        </w:rPr>
        <w:t>Marsiwi</w:t>
      </w:r>
      <w:proofErr w:type="spellEnd"/>
      <w:r w:rsidRPr="000778A7">
        <w:rPr>
          <w:rFonts w:ascii="Times New Roman" w:eastAsia="Times New Roman" w:hAnsi="Times New Roman" w:cs="Times New Roman"/>
          <w:color w:val="222222"/>
          <w:sz w:val="24"/>
          <w:szCs w:val="24"/>
          <w:highlight w:val="white"/>
        </w:rPr>
        <w:t xml:space="preserve"> et al. (2019) report, resources that are used to produce and deliver services and goods are managed through the process of operations management. The department inside the organisation in charge of this activity is called operations. Since all businesses produce some sort of service or goods, every business needs an operations department. Not every form of organisation will, however, always refer to the operations function by this term. The persons with specific responsibility for managing some or all the resources that make up the operations function are known as operations managers. The operations manager may go by a different name at various businesses, to reiterate. Khadafi et al. (2021) state that a distribution corporation would refer to someone as the "fleet manager," a provider might refer to them as the "administrative manager," and a grocery shop might refer to them as the "store manager."</w:t>
      </w:r>
    </w:p>
    <w:p w14:paraId="546B5B90" w14:textId="77777777" w:rsidR="000778A7" w:rsidRPr="000778A7" w:rsidRDefault="000778A7" w:rsidP="000778A7">
      <w:pPr>
        <w:spacing w:line="360" w:lineRule="auto"/>
        <w:jc w:val="center"/>
        <w:rPr>
          <w:rFonts w:ascii="Times New Roman" w:eastAsia="Times New Roman" w:hAnsi="Times New Roman" w:cs="Times New Roman"/>
          <w:color w:val="222222"/>
          <w:sz w:val="24"/>
          <w:szCs w:val="24"/>
          <w:highlight w:val="white"/>
        </w:rPr>
      </w:pPr>
      <w:r w:rsidRPr="000778A7">
        <w:rPr>
          <w:noProof/>
        </w:rPr>
        <w:drawing>
          <wp:inline distT="0" distB="0" distL="0" distR="0" wp14:anchorId="4034AB0F" wp14:editId="3F933105">
            <wp:extent cx="5733415" cy="1485900"/>
            <wp:effectExtent l="0" t="0" r="635" b="0"/>
            <wp:docPr id="2" name="Picture 2" descr="Operations Management Defined | Defining Operations Management | Infor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Operations Management Defined | Defining Operations Management | InformI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3415" cy="1485900"/>
                    </a:xfrm>
                    <a:prstGeom prst="rect">
                      <a:avLst/>
                    </a:prstGeom>
                    <a:noFill/>
                    <a:ln>
                      <a:noFill/>
                    </a:ln>
                  </pic:spPr>
                </pic:pic>
              </a:graphicData>
            </a:graphic>
          </wp:inline>
        </w:drawing>
      </w:r>
    </w:p>
    <w:p w14:paraId="35A4852B" w14:textId="77777777" w:rsidR="000778A7" w:rsidRPr="000778A7" w:rsidRDefault="000778A7" w:rsidP="000778A7">
      <w:pPr>
        <w:spacing w:line="360" w:lineRule="auto"/>
        <w:jc w:val="center"/>
        <w:rPr>
          <w:rFonts w:ascii="Times New Roman" w:eastAsia="Times New Roman" w:hAnsi="Times New Roman" w:cs="Times New Roman"/>
          <w:b/>
          <w:bCs/>
          <w:color w:val="222222"/>
          <w:sz w:val="24"/>
          <w:szCs w:val="24"/>
          <w:highlight w:val="white"/>
        </w:rPr>
      </w:pPr>
      <w:r w:rsidRPr="000778A7">
        <w:rPr>
          <w:rFonts w:ascii="Times New Roman" w:eastAsia="Times New Roman" w:hAnsi="Times New Roman" w:cs="Times New Roman"/>
          <w:b/>
          <w:bCs/>
          <w:color w:val="222222"/>
          <w:sz w:val="24"/>
          <w:szCs w:val="24"/>
          <w:highlight w:val="white"/>
        </w:rPr>
        <w:t>Figure 1: Operation Management.</w:t>
      </w:r>
    </w:p>
    <w:p w14:paraId="0395A502" w14:textId="3B4B8BFA" w:rsidR="000778A7" w:rsidRDefault="000778A7" w:rsidP="000778A7">
      <w:pPr>
        <w:spacing w:line="360" w:lineRule="auto"/>
        <w:jc w:val="center"/>
        <w:rPr>
          <w:rFonts w:ascii="Times New Roman" w:eastAsia="Times New Roman" w:hAnsi="Times New Roman" w:cs="Times New Roman"/>
          <w:color w:val="222222"/>
          <w:sz w:val="24"/>
          <w:szCs w:val="24"/>
        </w:rPr>
      </w:pPr>
      <w:r w:rsidRPr="000778A7">
        <w:rPr>
          <w:rFonts w:ascii="Times New Roman" w:eastAsia="Times New Roman" w:hAnsi="Times New Roman" w:cs="Times New Roman"/>
          <w:color w:val="222222"/>
          <w:sz w:val="24"/>
          <w:szCs w:val="24"/>
          <w:highlight w:val="white"/>
        </w:rPr>
        <w:t xml:space="preserve">Sources: </w:t>
      </w:r>
      <w:r w:rsidRPr="000778A7">
        <w:rPr>
          <w:rFonts w:ascii="Times New Roman" w:eastAsia="Times New Roman" w:hAnsi="Times New Roman" w:cs="Times New Roman"/>
          <w:color w:val="222222"/>
          <w:sz w:val="24"/>
          <w:szCs w:val="24"/>
        </w:rPr>
        <w:t>(Sanders, 2018)</w:t>
      </w:r>
    </w:p>
    <w:p w14:paraId="6DFB89D6" w14:textId="77777777" w:rsidR="000778A7" w:rsidRPr="000778A7" w:rsidRDefault="000778A7" w:rsidP="000778A7">
      <w:pPr>
        <w:spacing w:line="360" w:lineRule="auto"/>
        <w:jc w:val="center"/>
        <w:rPr>
          <w:rFonts w:ascii="Times New Roman" w:eastAsia="Times New Roman" w:hAnsi="Times New Roman" w:cs="Times New Roman"/>
          <w:color w:val="222222"/>
          <w:sz w:val="24"/>
          <w:szCs w:val="24"/>
          <w:highlight w:val="white"/>
        </w:rPr>
      </w:pPr>
    </w:p>
    <w:p w14:paraId="0E8FD07D" w14:textId="1EE7DDCC" w:rsidR="000778A7" w:rsidRDefault="000778A7">
      <w:pPr>
        <w:rPr>
          <w:rFonts w:ascii="Times New Roman" w:eastAsia="Times New Roman" w:hAnsi="Times New Roman" w:cs="Times New Roman"/>
          <w:color w:val="222222"/>
          <w:sz w:val="24"/>
          <w:szCs w:val="24"/>
          <w:highlight w:val="white"/>
        </w:rPr>
      </w:pPr>
    </w:p>
    <w:p w14:paraId="6E07F2B2" w14:textId="77777777" w:rsidR="000778A7" w:rsidRDefault="000778A7">
      <w:pPr>
        <w:spacing w:line="360" w:lineRule="auto"/>
        <w:jc w:val="both"/>
        <w:rPr>
          <w:rFonts w:ascii="Times New Roman" w:eastAsia="Times New Roman" w:hAnsi="Times New Roman" w:cs="Times New Roman"/>
          <w:color w:val="222222"/>
          <w:sz w:val="24"/>
          <w:szCs w:val="24"/>
          <w:highlight w:val="white"/>
        </w:rPr>
      </w:pPr>
    </w:p>
    <w:p w14:paraId="4E9A4FA7"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2" w:name="_Toc121923063"/>
      <w:r w:rsidRPr="000778A7">
        <w:rPr>
          <w:rFonts w:ascii="Times New Roman" w:hAnsi="Times New Roman"/>
          <w:b/>
          <w:sz w:val="24"/>
          <w:szCs w:val="32"/>
          <w:highlight w:val="white"/>
        </w:rPr>
        <w:t>HR Management</w:t>
      </w:r>
      <w:bookmarkEnd w:id="12"/>
    </w:p>
    <w:p w14:paraId="10EE9CA7"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Human resources have a major role in the success of a service organisation. Since service activities need a lot of manpower, </w:t>
      </w:r>
      <w:proofErr w:type="spellStart"/>
      <w:r w:rsidRPr="000778A7">
        <w:rPr>
          <w:rFonts w:ascii="Times New Roman" w:eastAsia="Times New Roman" w:hAnsi="Times New Roman" w:cs="Times New Roman"/>
          <w:color w:val="222222"/>
          <w:sz w:val="24"/>
          <w:szCs w:val="24"/>
          <w:highlight w:val="white"/>
        </w:rPr>
        <w:t>labor</w:t>
      </w:r>
      <w:proofErr w:type="spellEnd"/>
      <w:r w:rsidRPr="000778A7">
        <w:rPr>
          <w:rFonts w:ascii="Times New Roman" w:eastAsia="Times New Roman" w:hAnsi="Times New Roman" w:cs="Times New Roman"/>
          <w:color w:val="222222"/>
          <w:sz w:val="24"/>
          <w:szCs w:val="24"/>
          <w:highlight w:val="white"/>
        </w:rPr>
        <w:t xml:space="preserve"> costs also play a big role in overall costs. In a service organisation, in addition to managing the staff, there is also the responsibility of managing the clients. Customers must be taught how to behave properly since they are viewed as a </w:t>
      </w:r>
      <w:proofErr w:type="spellStart"/>
      <w:r w:rsidRPr="000778A7">
        <w:rPr>
          <w:rFonts w:ascii="Times New Roman" w:eastAsia="Times New Roman" w:hAnsi="Times New Roman" w:cs="Times New Roman"/>
          <w:color w:val="222222"/>
          <w:sz w:val="24"/>
          <w:szCs w:val="24"/>
          <w:highlight w:val="white"/>
        </w:rPr>
        <w:t>labor</w:t>
      </w:r>
      <w:proofErr w:type="spellEnd"/>
      <w:r w:rsidRPr="000778A7">
        <w:rPr>
          <w:rFonts w:ascii="Times New Roman" w:eastAsia="Times New Roman" w:hAnsi="Times New Roman" w:cs="Times New Roman"/>
          <w:color w:val="222222"/>
          <w:sz w:val="24"/>
          <w:szCs w:val="24"/>
          <w:highlight w:val="white"/>
        </w:rPr>
        <w:t xml:space="preserve"> resource or a resource that moves through the system (Kurniawan et al. 2020). For instance, shoppers pick their items and bring them to the register in a supermarket, as opposed to patients at a hospital who must travel through many departments. Because employees' and operators' </w:t>
      </w:r>
      <w:proofErr w:type="spellStart"/>
      <w:r w:rsidRPr="000778A7">
        <w:rPr>
          <w:rFonts w:ascii="Times New Roman" w:eastAsia="Times New Roman" w:hAnsi="Times New Roman" w:cs="Times New Roman"/>
          <w:color w:val="222222"/>
          <w:sz w:val="24"/>
          <w:szCs w:val="24"/>
          <w:highlight w:val="white"/>
        </w:rPr>
        <w:t>behavior</w:t>
      </w:r>
      <w:proofErr w:type="spellEnd"/>
      <w:r w:rsidRPr="000778A7">
        <w:rPr>
          <w:rFonts w:ascii="Times New Roman" w:eastAsia="Times New Roman" w:hAnsi="Times New Roman" w:cs="Times New Roman"/>
          <w:color w:val="222222"/>
          <w:sz w:val="24"/>
          <w:szCs w:val="24"/>
          <w:highlight w:val="white"/>
        </w:rPr>
        <w:t xml:space="preserve"> vary so considerably, it is very difficult to create standards and ensure consistency of quality.</w:t>
      </w:r>
    </w:p>
    <w:p w14:paraId="2CFC641F"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3" w:name="_Toc121923064"/>
      <w:r w:rsidRPr="000778A7">
        <w:rPr>
          <w:rFonts w:ascii="Times New Roman" w:hAnsi="Times New Roman"/>
          <w:b/>
          <w:sz w:val="24"/>
          <w:szCs w:val="32"/>
          <w:highlight w:val="white"/>
        </w:rPr>
        <w:lastRenderedPageBreak/>
        <w:t>Capacity Management</w:t>
      </w:r>
      <w:bookmarkEnd w:id="13"/>
    </w:p>
    <w:p w14:paraId="6999CE9A"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Capacity management aims to match operations to demand to balance costs and service levels. Thinking about the elements influencing medium- to long-term demand and making strategies for how to use resources to respond to changes in short-term demand are the two main actions involved in this. Tian et al. (2022) noted the following two main strategies are used: (1) Variable capacity: The capacity is altered to correspond to changes in demand; (2) Managed capacity: Demand is controlled to lessen the need for capacity modifications. Forecasting demand patterns is essential to operations; the more accurate it is, the more effectively the operation can organise its resources and meet demand.</w:t>
      </w:r>
    </w:p>
    <w:p w14:paraId="4C97E5E0"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4" w:name="_Toc121923065"/>
      <w:r w:rsidRPr="000778A7">
        <w:rPr>
          <w:rFonts w:ascii="Times New Roman" w:hAnsi="Times New Roman"/>
          <w:b/>
          <w:sz w:val="24"/>
          <w:szCs w:val="32"/>
          <w:highlight w:val="white"/>
        </w:rPr>
        <w:t>Operations Control</w:t>
      </w:r>
      <w:bookmarkEnd w:id="14"/>
    </w:p>
    <w:p w14:paraId="7A5AACD8"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Making sure that the client receives the service package at the appropriate time and location is a key component of operations control. The roles of dispatcher/receptionist and production control are the two primary categories. contacting and assigning customers, making appointments, and dispatching the service delivery system to clients are all responsibilities of the receptionist. The "front office" and "back office/room" interaction is where the production control position oversees operations (Victor et al. 2019). This is the key connection between people working in the "front office," where they interact with clients often, and those working in the "back room," where they interact with them much less frequently. </w:t>
      </w:r>
      <w:proofErr w:type="gramStart"/>
      <w:r w:rsidRPr="000778A7">
        <w:rPr>
          <w:rFonts w:ascii="Times New Roman" w:eastAsia="Times New Roman" w:hAnsi="Times New Roman" w:cs="Times New Roman"/>
          <w:color w:val="222222"/>
          <w:sz w:val="24"/>
          <w:szCs w:val="24"/>
          <w:highlight w:val="white"/>
        </w:rPr>
        <w:t>In order for</w:t>
      </w:r>
      <w:proofErr w:type="gramEnd"/>
      <w:r w:rsidRPr="000778A7">
        <w:rPr>
          <w:rFonts w:ascii="Times New Roman" w:eastAsia="Times New Roman" w:hAnsi="Times New Roman" w:cs="Times New Roman"/>
          <w:color w:val="222222"/>
          <w:sz w:val="24"/>
          <w:szCs w:val="24"/>
          <w:highlight w:val="white"/>
        </w:rPr>
        <w:t xml:space="preserve"> the service-producing unit to supply service packages to the consumer as and when they are necessary or promised, this area must be addressed.</w:t>
      </w:r>
    </w:p>
    <w:p w14:paraId="3CD854E4"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5" w:name="_Toc121923066"/>
      <w:r w:rsidRPr="000778A7">
        <w:rPr>
          <w:rFonts w:ascii="Times New Roman" w:hAnsi="Times New Roman"/>
          <w:b/>
          <w:sz w:val="24"/>
          <w:szCs w:val="32"/>
          <w:highlight w:val="white"/>
        </w:rPr>
        <w:t>Quality Management</w:t>
      </w:r>
      <w:bookmarkEnd w:id="15"/>
    </w:p>
    <w:p w14:paraId="523D7C3A"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A quality management concern is ensuring the </w:t>
      </w:r>
      <w:proofErr w:type="spellStart"/>
      <w:r w:rsidRPr="000778A7">
        <w:rPr>
          <w:rFonts w:ascii="Times New Roman" w:eastAsia="Times New Roman" w:hAnsi="Times New Roman" w:cs="Times New Roman"/>
          <w:color w:val="222222"/>
          <w:sz w:val="24"/>
          <w:szCs w:val="24"/>
          <w:highlight w:val="white"/>
        </w:rPr>
        <w:t>caliber</w:t>
      </w:r>
      <w:proofErr w:type="spellEnd"/>
      <w:r w:rsidRPr="000778A7">
        <w:rPr>
          <w:rFonts w:ascii="Times New Roman" w:eastAsia="Times New Roman" w:hAnsi="Times New Roman" w:cs="Times New Roman"/>
          <w:color w:val="222222"/>
          <w:sz w:val="24"/>
          <w:szCs w:val="24"/>
          <w:highlight w:val="white"/>
        </w:rPr>
        <w:t xml:space="preserve"> of the total service bundle. This includes performing activities and functions including planning, budgeting, and quality control to offer the service package in a way that meets the expectations of the clients. The number of loyal customers a business has, the skill and ability of its employees, its investment strategy, and the way the business is organised all affect its course (</w:t>
      </w:r>
      <w:proofErr w:type="spellStart"/>
      <w:r w:rsidRPr="000778A7">
        <w:rPr>
          <w:rFonts w:ascii="Times New Roman" w:eastAsia="Times New Roman" w:hAnsi="Times New Roman" w:cs="Times New Roman"/>
          <w:color w:val="222222"/>
          <w:sz w:val="24"/>
          <w:szCs w:val="24"/>
          <w:highlight w:val="white"/>
        </w:rPr>
        <w:t>Kazi</w:t>
      </w:r>
      <w:proofErr w:type="spellEnd"/>
      <w:r w:rsidRPr="000778A7">
        <w:rPr>
          <w:rFonts w:ascii="Times New Roman" w:eastAsia="Times New Roman" w:hAnsi="Times New Roman" w:cs="Times New Roman"/>
          <w:color w:val="222222"/>
          <w:sz w:val="24"/>
          <w:szCs w:val="24"/>
          <w:highlight w:val="white"/>
        </w:rPr>
        <w:t xml:space="preserve"> et al. 2021). If any one of these is missing, the business will soon have to shut its doors. In starting a barbershop, one of its key goals is to build a business that can run purely on cash flow and won't need more investment once operations get going.</w:t>
      </w:r>
    </w:p>
    <w:p w14:paraId="1BD3AF43"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6" w:name="_Toc121923067"/>
      <w:r w:rsidRPr="000778A7">
        <w:rPr>
          <w:rFonts w:ascii="Times New Roman" w:hAnsi="Times New Roman"/>
          <w:b/>
          <w:sz w:val="24"/>
          <w:szCs w:val="32"/>
          <w:highlight w:val="white"/>
        </w:rPr>
        <w:lastRenderedPageBreak/>
        <w:t>Role of an Operation Manager</w:t>
      </w:r>
      <w:bookmarkEnd w:id="16"/>
    </w:p>
    <w:p w14:paraId="22F7704A"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Although there is unquestionably a distinction between physical and intangible outputs, it is unusual for an organisation to provide either pure services or tangible goods. It's more common to employ a combination of the two (Levine et al. 2020). For instance, a hairdresser would be expected to offer the client a haircut that has a visible outcome as well as services such as discussion and product suggestions. The hairdresser must thus make sure that </w:t>
      </w:r>
      <w:proofErr w:type="gramStart"/>
      <w:r w:rsidRPr="000778A7">
        <w:rPr>
          <w:rFonts w:ascii="Times New Roman" w:eastAsia="Times New Roman" w:hAnsi="Times New Roman" w:cs="Times New Roman"/>
          <w:color w:val="222222"/>
          <w:sz w:val="24"/>
          <w:szCs w:val="24"/>
          <w:highlight w:val="white"/>
        </w:rPr>
        <w:t>all of</w:t>
      </w:r>
      <w:proofErr w:type="gramEnd"/>
      <w:r w:rsidRPr="000778A7">
        <w:rPr>
          <w:rFonts w:ascii="Times New Roman" w:eastAsia="Times New Roman" w:hAnsi="Times New Roman" w:cs="Times New Roman"/>
          <w:color w:val="222222"/>
          <w:sz w:val="24"/>
          <w:szCs w:val="24"/>
          <w:highlight w:val="white"/>
        </w:rPr>
        <w:t xml:space="preserve"> their personnel, products, and equipment are well trained and up to date if they hope to provide top-notch service and attract loyal customers.</w:t>
      </w:r>
    </w:p>
    <w:p w14:paraId="099B7D49"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7" w:name="_Toc121923068"/>
      <w:r w:rsidRPr="000778A7">
        <w:rPr>
          <w:rFonts w:ascii="Times New Roman" w:hAnsi="Times New Roman"/>
          <w:b/>
          <w:sz w:val="24"/>
          <w:szCs w:val="32"/>
          <w:highlight w:val="white"/>
        </w:rPr>
        <w:t>Competitive Advantages of operating Management</w:t>
      </w:r>
      <w:bookmarkEnd w:id="17"/>
    </w:p>
    <w:p w14:paraId="2D22080D"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Maybe it's not as tough as people think to start a barbershop business. There is no need for any formal education to launch a business such as this. This suggests that people may choose to start a business in this industry without any professional training if they hire expert stylists (Ray, 2020). Anybody can establish a barbershop if they have the proper </w:t>
      </w:r>
      <w:proofErr w:type="spellStart"/>
      <w:r w:rsidRPr="000778A7">
        <w:rPr>
          <w:rFonts w:ascii="Times New Roman" w:eastAsia="Times New Roman" w:hAnsi="Times New Roman" w:cs="Times New Roman"/>
          <w:color w:val="222222"/>
          <w:sz w:val="24"/>
          <w:szCs w:val="24"/>
          <w:highlight w:val="white"/>
        </w:rPr>
        <w:t>startup</w:t>
      </w:r>
      <w:proofErr w:type="spellEnd"/>
      <w:r w:rsidRPr="000778A7">
        <w:rPr>
          <w:rFonts w:ascii="Times New Roman" w:eastAsia="Times New Roman" w:hAnsi="Times New Roman" w:cs="Times New Roman"/>
          <w:color w:val="222222"/>
          <w:sz w:val="24"/>
          <w:szCs w:val="24"/>
          <w:highlight w:val="white"/>
        </w:rPr>
        <w:t xml:space="preserve"> capital. The industry is growing more competitive since there is a high possibility of having a big number of barbershops. So, they are making every effort to turn our barbershop into a one-stop store. They are a typical barbershop with a significant team of qualified barbers who are available to service clients both in-store and at their homes, which gives us a competitive edge. They also won't have any problem seducing the wide range of customers that intend to attract with the aid of their corporate promotions (Lui et al. 2019). They are all aware of the fact that to succeed in the very competitive barber and beauty salon sectors, one must be able to deliver consistently excellent services and display both elegance and precision. A barbershop is entering the market well-prepared to compete </w:t>
      </w:r>
      <w:proofErr w:type="spellStart"/>
      <w:r w:rsidRPr="000778A7">
        <w:rPr>
          <w:rFonts w:ascii="Times New Roman" w:eastAsia="Times New Roman" w:hAnsi="Times New Roman" w:cs="Times New Roman"/>
          <w:color w:val="222222"/>
          <w:sz w:val="24"/>
          <w:szCs w:val="24"/>
          <w:highlight w:val="white"/>
        </w:rPr>
        <w:t>favorably</w:t>
      </w:r>
      <w:proofErr w:type="spellEnd"/>
      <w:r w:rsidRPr="000778A7">
        <w:rPr>
          <w:rFonts w:ascii="Times New Roman" w:eastAsia="Times New Roman" w:hAnsi="Times New Roman" w:cs="Times New Roman"/>
          <w:color w:val="222222"/>
          <w:sz w:val="24"/>
          <w:szCs w:val="24"/>
          <w:highlight w:val="white"/>
        </w:rPr>
        <w:t xml:space="preserve"> in the market.</w:t>
      </w:r>
    </w:p>
    <w:p w14:paraId="0D9BACD9" w14:textId="77777777" w:rsidR="000778A7" w:rsidRPr="000778A7" w:rsidRDefault="000778A7" w:rsidP="000778A7">
      <w:pPr>
        <w:keepNext/>
        <w:keepLines/>
        <w:spacing w:before="280" w:line="480" w:lineRule="auto"/>
        <w:outlineLvl w:val="0"/>
        <w:rPr>
          <w:rFonts w:ascii="Times New Roman" w:hAnsi="Times New Roman"/>
          <w:b/>
          <w:sz w:val="28"/>
          <w:szCs w:val="40"/>
          <w:highlight w:val="white"/>
        </w:rPr>
      </w:pPr>
      <w:bookmarkStart w:id="18" w:name="_Toc121923069"/>
      <w:r w:rsidRPr="000778A7">
        <w:rPr>
          <w:rFonts w:ascii="Times New Roman" w:hAnsi="Times New Roman"/>
          <w:b/>
          <w:sz w:val="28"/>
          <w:szCs w:val="40"/>
          <w:highlight w:val="white"/>
        </w:rPr>
        <w:t>Management Plan</w:t>
      </w:r>
      <w:bookmarkEnd w:id="18"/>
    </w:p>
    <w:p w14:paraId="2842B74F"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Operations managers must then consider the planning and management of the process, encompassing inventory, any capacity limits that have an impact on volume fluctuation, and any opportunities for efficiency improvements after selecting an appropriate design for the process (Zuckerman et al. 2020). Operations managers also need to consider how their division interacts with other business units, such as the supply chain that comes after. Illustrations of other organisations' approaches to these issues are included in the chapter's examination of these issues.</w:t>
      </w:r>
    </w:p>
    <w:p w14:paraId="227F0733"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19" w:name="_Toc121923070"/>
      <w:r w:rsidRPr="000778A7">
        <w:rPr>
          <w:rFonts w:ascii="Times New Roman" w:hAnsi="Times New Roman"/>
          <w:b/>
          <w:sz w:val="24"/>
          <w:szCs w:val="32"/>
          <w:highlight w:val="white"/>
        </w:rPr>
        <w:lastRenderedPageBreak/>
        <w:t>Create a Welcoming Environment</w:t>
      </w:r>
      <w:bookmarkEnd w:id="19"/>
      <w:r w:rsidRPr="000778A7">
        <w:rPr>
          <w:rFonts w:ascii="Times New Roman" w:hAnsi="Times New Roman"/>
          <w:b/>
          <w:sz w:val="24"/>
          <w:szCs w:val="32"/>
          <w:highlight w:val="white"/>
        </w:rPr>
        <w:t xml:space="preserve"> </w:t>
      </w:r>
    </w:p>
    <w:p w14:paraId="7E43FD86"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Most individuals enjoy pampering; it's something everyone loves. It's the perfect opportunity to reward oneself when getting a haircut. Everyone who walks into their barbershop should be made to feel welcome. If a client is waiting, make sure they are at ease and have enough enjoyable reading material and something to do (</w:t>
      </w:r>
      <w:proofErr w:type="spellStart"/>
      <w:r w:rsidRPr="000778A7">
        <w:rPr>
          <w:rFonts w:ascii="Times New Roman" w:eastAsia="Times New Roman" w:hAnsi="Times New Roman" w:cs="Times New Roman"/>
          <w:color w:val="222222"/>
          <w:sz w:val="24"/>
          <w:szCs w:val="24"/>
          <w:highlight w:val="white"/>
        </w:rPr>
        <w:t>Golemanov</w:t>
      </w:r>
      <w:proofErr w:type="spellEnd"/>
      <w:r w:rsidRPr="000778A7">
        <w:rPr>
          <w:rFonts w:ascii="Times New Roman" w:eastAsia="Times New Roman" w:hAnsi="Times New Roman" w:cs="Times New Roman"/>
          <w:color w:val="222222"/>
          <w:sz w:val="24"/>
          <w:szCs w:val="24"/>
          <w:highlight w:val="white"/>
        </w:rPr>
        <w:t xml:space="preserve"> and </w:t>
      </w:r>
      <w:proofErr w:type="spellStart"/>
      <w:r w:rsidRPr="000778A7">
        <w:rPr>
          <w:rFonts w:ascii="Times New Roman" w:eastAsia="Times New Roman" w:hAnsi="Times New Roman" w:cs="Times New Roman"/>
          <w:color w:val="222222"/>
          <w:sz w:val="24"/>
          <w:szCs w:val="24"/>
          <w:highlight w:val="white"/>
        </w:rPr>
        <w:t>Golemanova</w:t>
      </w:r>
      <w:proofErr w:type="spellEnd"/>
      <w:r w:rsidRPr="000778A7">
        <w:rPr>
          <w:rFonts w:ascii="Times New Roman" w:eastAsia="Times New Roman" w:hAnsi="Times New Roman" w:cs="Times New Roman"/>
          <w:color w:val="222222"/>
          <w:sz w:val="24"/>
          <w:szCs w:val="24"/>
          <w:highlight w:val="white"/>
        </w:rPr>
        <w:t>, 2020). In addition to a few current issues of newspapers, arrange a few current developments of fashion and sports magazines in a tidy manner on counters and other surfaces. If simply display a couple of company barber's business cards in strategic locations, customers will be enticed to pick one up. Consider investing in a smart TV. Give their clients a cup of anything to drink, whether it's tea, coffee, or a fruity beverage. If they provide high-quality extras to every customer when they come in for a haircut, they will all feel pampered. A great sense of community is irresistible to people, therefore maintaining one is a great way to maintain their clientele (</w:t>
      </w:r>
      <w:proofErr w:type="spellStart"/>
      <w:r w:rsidRPr="000778A7">
        <w:rPr>
          <w:rFonts w:ascii="Times New Roman" w:eastAsia="Times New Roman" w:hAnsi="Times New Roman" w:cs="Times New Roman"/>
          <w:color w:val="222222"/>
          <w:sz w:val="24"/>
          <w:szCs w:val="24"/>
          <w:highlight w:val="white"/>
        </w:rPr>
        <w:t>Thum</w:t>
      </w:r>
      <w:proofErr w:type="spellEnd"/>
      <w:r w:rsidRPr="000778A7">
        <w:rPr>
          <w:rFonts w:ascii="Times New Roman" w:eastAsia="Times New Roman" w:hAnsi="Times New Roman" w:cs="Times New Roman"/>
          <w:color w:val="222222"/>
          <w:sz w:val="24"/>
          <w:szCs w:val="24"/>
          <w:highlight w:val="white"/>
        </w:rPr>
        <w:t xml:space="preserve"> et al. 2021). No matter whether they come in for a haircut, a barbershop shave, a trim, or any other service business provides, clients will enjoy their visit from the moment they walk into their barbershop.</w:t>
      </w:r>
    </w:p>
    <w:p w14:paraId="11620142" w14:textId="77777777" w:rsidR="000778A7" w:rsidRPr="000778A7" w:rsidRDefault="000778A7" w:rsidP="000778A7">
      <w:pPr>
        <w:spacing w:line="360" w:lineRule="auto"/>
        <w:jc w:val="center"/>
        <w:rPr>
          <w:rFonts w:ascii="Times New Roman" w:eastAsia="Times New Roman" w:hAnsi="Times New Roman" w:cs="Times New Roman"/>
          <w:color w:val="222222"/>
          <w:sz w:val="24"/>
          <w:szCs w:val="24"/>
          <w:highlight w:val="white"/>
        </w:rPr>
      </w:pPr>
      <w:r w:rsidRPr="000778A7">
        <w:rPr>
          <w:noProof/>
        </w:rPr>
        <w:drawing>
          <wp:inline distT="0" distB="0" distL="0" distR="0" wp14:anchorId="13300435" wp14:editId="341E264B">
            <wp:extent cx="4000500" cy="3473450"/>
            <wp:effectExtent l="0" t="0" r="0" b="0"/>
            <wp:docPr id="1" name="Picture 1" descr="Hair Salon Business Plan Business Plan - Vision/mission, Product strategy,  Market analysis, Financ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air Salon Business Plan Business Plan - Vision/mission, Product strategy,  Market analysis, Financial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00500" cy="3473450"/>
                    </a:xfrm>
                    <a:prstGeom prst="rect">
                      <a:avLst/>
                    </a:prstGeom>
                    <a:noFill/>
                    <a:ln>
                      <a:noFill/>
                    </a:ln>
                  </pic:spPr>
                </pic:pic>
              </a:graphicData>
            </a:graphic>
          </wp:inline>
        </w:drawing>
      </w:r>
    </w:p>
    <w:p w14:paraId="77D6F2F3" w14:textId="77777777" w:rsidR="000778A7" w:rsidRPr="000778A7" w:rsidRDefault="000778A7" w:rsidP="000778A7">
      <w:pPr>
        <w:spacing w:line="360" w:lineRule="auto"/>
        <w:jc w:val="center"/>
        <w:rPr>
          <w:rFonts w:ascii="Times New Roman" w:eastAsia="Times New Roman" w:hAnsi="Times New Roman" w:cs="Times New Roman"/>
          <w:b/>
          <w:bCs/>
          <w:color w:val="222222"/>
          <w:sz w:val="24"/>
          <w:szCs w:val="24"/>
          <w:highlight w:val="white"/>
          <w:lang w:val="en-US"/>
        </w:rPr>
      </w:pPr>
      <w:r w:rsidRPr="000778A7">
        <w:rPr>
          <w:rFonts w:ascii="Times New Roman" w:eastAsia="Times New Roman" w:hAnsi="Times New Roman" w:cs="Times New Roman"/>
          <w:b/>
          <w:bCs/>
          <w:color w:val="222222"/>
          <w:sz w:val="24"/>
          <w:szCs w:val="24"/>
          <w:highlight w:val="white"/>
        </w:rPr>
        <w:t>Figure 2: Management Plan of a Barber Shop.</w:t>
      </w:r>
    </w:p>
    <w:p w14:paraId="0C335A67" w14:textId="77777777" w:rsidR="000778A7" w:rsidRPr="000778A7" w:rsidRDefault="000778A7" w:rsidP="000778A7">
      <w:pPr>
        <w:spacing w:line="360" w:lineRule="auto"/>
        <w:jc w:val="center"/>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Sources: </w:t>
      </w:r>
      <w:r w:rsidRPr="000778A7">
        <w:rPr>
          <w:rFonts w:ascii="Times New Roman" w:eastAsia="Times New Roman" w:hAnsi="Times New Roman" w:cs="Times New Roman"/>
          <w:color w:val="222222"/>
          <w:sz w:val="24"/>
          <w:szCs w:val="24"/>
        </w:rPr>
        <w:t>(Referenceforbusiness.com, 2022)</w:t>
      </w:r>
    </w:p>
    <w:p w14:paraId="291FDA4A"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20" w:name="_Toc121923071"/>
      <w:r w:rsidRPr="000778A7">
        <w:rPr>
          <w:rFonts w:ascii="Times New Roman" w:hAnsi="Times New Roman"/>
          <w:b/>
          <w:sz w:val="24"/>
          <w:szCs w:val="32"/>
          <w:highlight w:val="white"/>
        </w:rPr>
        <w:lastRenderedPageBreak/>
        <w:t>Quality Service</w:t>
      </w:r>
      <w:bookmarkEnd w:id="20"/>
    </w:p>
    <w:p w14:paraId="46061D8D"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For a haircut, a shave, or another service, clients might go to them. Give them whatever they want in the greatest possible condition. Customers return to successful barber shops, nevertheless, because they regularly get fantastic haircuts. In order to achieve this, it is necessary for employees to be highly skilled and motivated about their work (Mohanty et al. 2020). They will leave their barbershop doing well about themselves if their clients are pleased with their work. No matter how poorly they maintain their hair or shave, nothing will ever go wrong. After a bad trim, a client may leave their business unhappy with everything, including the service they rendered. They'll undoubtedly spread </w:t>
      </w:r>
      <w:proofErr w:type="spellStart"/>
      <w:r w:rsidRPr="000778A7">
        <w:rPr>
          <w:rFonts w:ascii="Times New Roman" w:eastAsia="Times New Roman" w:hAnsi="Times New Roman" w:cs="Times New Roman"/>
          <w:color w:val="222222"/>
          <w:sz w:val="24"/>
          <w:szCs w:val="24"/>
          <w:highlight w:val="white"/>
        </w:rPr>
        <w:t>unfavorable</w:t>
      </w:r>
      <w:proofErr w:type="spellEnd"/>
      <w:r w:rsidRPr="000778A7">
        <w:rPr>
          <w:rFonts w:ascii="Times New Roman" w:eastAsia="Times New Roman" w:hAnsi="Times New Roman" w:cs="Times New Roman"/>
          <w:color w:val="222222"/>
          <w:sz w:val="24"/>
          <w:szCs w:val="24"/>
          <w:highlight w:val="white"/>
        </w:rPr>
        <w:t xml:space="preserve"> information about business barbershops to their friends and other people they encounter (Nasser and Ferdinand, 2018). Everybody needs regular grooming, which is why barbershops and salons have existed for as long as they have. Clients typically arrive and leave happy when something is done well.</w:t>
      </w:r>
    </w:p>
    <w:p w14:paraId="73A88DCD"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21" w:name="_Toc121923072"/>
      <w:r w:rsidRPr="000778A7">
        <w:rPr>
          <w:rFonts w:ascii="Times New Roman" w:hAnsi="Times New Roman"/>
          <w:b/>
          <w:sz w:val="24"/>
          <w:szCs w:val="32"/>
          <w:highlight w:val="white"/>
        </w:rPr>
        <w:t>Cleanliness</w:t>
      </w:r>
      <w:bookmarkEnd w:id="21"/>
    </w:p>
    <w:p w14:paraId="2454DAAD"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The barbershop should always be spotless. Checking that everything is spotless is important whenever a visitor enters the property. In order to do this, all personnel are required to adhere to high cleanliness standards. Because of this, one must make sure the proper cleaning supplies and agents are available and being used as needed throughout the day (Barber et al. 2019). Clients will view a company as a real professional who cares about the wellness of both its staff and its customers once they see that cleanliness is a top business concern. Even if not assisting a customer, a staff member should sweep the floor or make sure all the tools are clean and ready for use.</w:t>
      </w:r>
    </w:p>
    <w:p w14:paraId="6655D338"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22" w:name="_Toc121923073"/>
      <w:r w:rsidRPr="000778A7">
        <w:rPr>
          <w:rFonts w:ascii="Times New Roman" w:hAnsi="Times New Roman"/>
          <w:b/>
          <w:sz w:val="24"/>
          <w:szCs w:val="32"/>
          <w:highlight w:val="white"/>
        </w:rPr>
        <w:t>Market Analysis</w:t>
      </w:r>
      <w:bookmarkEnd w:id="22"/>
    </w:p>
    <w:p w14:paraId="05950A47" w14:textId="77777777" w:rsidR="000778A7" w:rsidRP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Many barbers and barbershops strive to exceed and above to give the same services to clients who would prefer that they come to their homes, which is a big growth in the barbershop sector. Home services are more expensive, and barbers frequently make more money when many clients choose home services. For instance, rather than making the trip to a barbershop, celebrities, notable people, and politicians would want a barber to come to them at home (Zheng et al. 2022). As states start to enforce legislation requiring barbers to get licenses, which was not a trend in the nation until recently, more professional barbering schools are starting up in the United States (</w:t>
      </w:r>
      <w:proofErr w:type="spellStart"/>
      <w:r w:rsidRPr="000778A7">
        <w:rPr>
          <w:rFonts w:ascii="Times New Roman" w:eastAsia="Times New Roman" w:hAnsi="Times New Roman" w:cs="Times New Roman"/>
          <w:color w:val="222222"/>
          <w:sz w:val="24"/>
          <w:szCs w:val="24"/>
          <w:highlight w:val="white"/>
        </w:rPr>
        <w:t>Oliffe</w:t>
      </w:r>
      <w:proofErr w:type="spellEnd"/>
      <w:r w:rsidRPr="000778A7">
        <w:rPr>
          <w:rFonts w:ascii="Times New Roman" w:eastAsia="Times New Roman" w:hAnsi="Times New Roman" w:cs="Times New Roman"/>
          <w:color w:val="222222"/>
          <w:sz w:val="24"/>
          <w:szCs w:val="24"/>
          <w:highlight w:val="white"/>
        </w:rPr>
        <w:t xml:space="preserve"> et al. 2020). Many individuals certainly want to always look attractive, and this may be one of the primary causes for the emergence of the barber, hair, and </w:t>
      </w:r>
      <w:r w:rsidRPr="000778A7">
        <w:rPr>
          <w:rFonts w:ascii="Times New Roman" w:eastAsia="Times New Roman" w:hAnsi="Times New Roman" w:cs="Times New Roman"/>
          <w:color w:val="222222"/>
          <w:sz w:val="24"/>
          <w:szCs w:val="24"/>
          <w:highlight w:val="white"/>
        </w:rPr>
        <w:lastRenderedPageBreak/>
        <w:t>beauty salon sectors. The number of entrepreneurs starting up businesses of this kind daily has progressively risen over time. The lucrative nature of the industry and people's desire to appear good practically all year round are the causes of this.</w:t>
      </w:r>
    </w:p>
    <w:p w14:paraId="41B7EDBB" w14:textId="77777777" w:rsidR="000778A7" w:rsidRPr="000778A7" w:rsidRDefault="000778A7" w:rsidP="000778A7">
      <w:pPr>
        <w:keepNext/>
        <w:keepLines/>
        <w:spacing w:before="240" w:line="480" w:lineRule="auto"/>
        <w:outlineLvl w:val="1"/>
        <w:rPr>
          <w:rFonts w:ascii="Times New Roman" w:hAnsi="Times New Roman"/>
          <w:b/>
          <w:sz w:val="24"/>
          <w:szCs w:val="32"/>
          <w:highlight w:val="white"/>
        </w:rPr>
      </w:pPr>
      <w:bookmarkStart w:id="23" w:name="_Toc121923074"/>
      <w:r w:rsidRPr="000778A7">
        <w:rPr>
          <w:rFonts w:ascii="Times New Roman" w:hAnsi="Times New Roman"/>
          <w:b/>
          <w:sz w:val="24"/>
          <w:szCs w:val="32"/>
          <w:highlight w:val="white"/>
        </w:rPr>
        <w:t>Target Market</w:t>
      </w:r>
      <w:bookmarkEnd w:id="23"/>
    </w:p>
    <w:p w14:paraId="4827F1A7" w14:textId="764A5F88" w:rsid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Offering services to a diverse range of customers is the aim of a barbershop in West Palm Beach, Florida, in the United States of America. They are equipped and ready to serve not just common people but also public figures like politicians and celebrities (</w:t>
      </w:r>
      <w:proofErr w:type="spellStart"/>
      <w:r w:rsidRPr="000778A7">
        <w:rPr>
          <w:rFonts w:ascii="Times New Roman" w:eastAsia="Times New Roman" w:hAnsi="Times New Roman" w:cs="Times New Roman"/>
          <w:color w:val="222222"/>
          <w:sz w:val="24"/>
          <w:szCs w:val="24"/>
          <w:highlight w:val="white"/>
        </w:rPr>
        <w:t>Lokhande</w:t>
      </w:r>
      <w:proofErr w:type="spellEnd"/>
      <w:r w:rsidRPr="000778A7">
        <w:rPr>
          <w:rFonts w:ascii="Times New Roman" w:eastAsia="Times New Roman" w:hAnsi="Times New Roman" w:cs="Times New Roman"/>
          <w:color w:val="222222"/>
          <w:sz w:val="24"/>
          <w:szCs w:val="24"/>
          <w:highlight w:val="white"/>
        </w:rPr>
        <w:t xml:space="preserve"> et al. 2021). Before choosing a location for their barbershop, they conducted feasibility and market research, and consequently, they were able to identify the demographic that would profit the most from our service offerings. These services will generally benefit both children and adults, male and female (</w:t>
      </w:r>
      <w:proofErr w:type="spellStart"/>
      <w:r w:rsidRPr="000778A7">
        <w:rPr>
          <w:rFonts w:ascii="Times New Roman" w:eastAsia="Times New Roman" w:hAnsi="Times New Roman" w:cs="Times New Roman"/>
          <w:color w:val="222222"/>
          <w:sz w:val="24"/>
          <w:szCs w:val="24"/>
          <w:highlight w:val="white"/>
        </w:rPr>
        <w:t>Farrokhi</w:t>
      </w:r>
      <w:proofErr w:type="spellEnd"/>
      <w:r w:rsidRPr="000778A7">
        <w:rPr>
          <w:rFonts w:ascii="Times New Roman" w:eastAsia="Times New Roman" w:hAnsi="Times New Roman" w:cs="Times New Roman"/>
          <w:color w:val="222222"/>
          <w:sz w:val="24"/>
          <w:szCs w:val="24"/>
          <w:highlight w:val="white"/>
        </w:rPr>
        <w:t xml:space="preserve"> et al. 2020). All socioeconomic sectors have individuals of this type. Their target clientele is divided into a variety of segments.</w:t>
      </w:r>
    </w:p>
    <w:p w14:paraId="5606574B" w14:textId="4342225C" w:rsidR="00874092" w:rsidRDefault="00874092" w:rsidP="00874092">
      <w:pPr>
        <w:pStyle w:val="Heading1"/>
        <w:rPr>
          <w:sz w:val="24"/>
          <w:szCs w:val="24"/>
        </w:rPr>
      </w:pPr>
      <w:bookmarkStart w:id="24" w:name="_Toc121922787"/>
      <w:r>
        <w:t>Market Analysis of a Barber Shop</w:t>
      </w:r>
      <w:bookmarkEnd w:id="24"/>
      <w:r w:rsidR="00503D89">
        <w:t>-3</w:t>
      </w:r>
    </w:p>
    <w:p w14:paraId="4C4FC112" w14:textId="77777777" w:rsidR="00874092" w:rsidRDefault="00874092" w:rsidP="00874092">
      <w:pPr>
        <w:pStyle w:val="Heading2"/>
        <w:rPr>
          <w:sz w:val="24"/>
        </w:rPr>
      </w:pPr>
      <w:bookmarkStart w:id="25" w:name="_Toc121922788"/>
      <w:r>
        <w:t>Service Marketing Mix Analysis</w:t>
      </w:r>
      <w:bookmarkEnd w:id="25"/>
    </w:p>
    <w:p w14:paraId="2AAEADCD"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A marketing mix is a tool or tool for marketers made up of several components of a marketing program that must be considered if marketing strategies are to be effectively executed and the position established and determined (</w:t>
      </w:r>
      <w:proofErr w:type="spellStart"/>
      <w:r>
        <w:rPr>
          <w:rFonts w:ascii="Times New Roman" w:eastAsia="Times New Roman" w:hAnsi="Times New Roman" w:cs="Times New Roman"/>
          <w:color w:val="222222"/>
          <w:sz w:val="24"/>
          <w:szCs w:val="24"/>
          <w:highlight w:val="white"/>
        </w:rPr>
        <w:t>Pla</w:t>
      </w:r>
      <w:proofErr w:type="spellEnd"/>
      <w:r>
        <w:rPr>
          <w:rFonts w:ascii="Times New Roman" w:eastAsia="Times New Roman" w:hAnsi="Times New Roman" w:cs="Times New Roman"/>
          <w:color w:val="222222"/>
          <w:sz w:val="24"/>
          <w:szCs w:val="24"/>
          <w:highlight w:val="white"/>
        </w:rPr>
        <w:t>-Barber et al. 2021</w:t>
      </w:r>
      <w:r>
        <w:rPr>
          <w:rFonts w:ascii="Times New Roman" w:eastAsia="Times New Roman" w:hAnsi="Times New Roman" w:cs="Times New Roman"/>
        </w:rPr>
        <w:t>). The overall product marketing mix is composed of the following four components: product, price, location/place, and promotion. Marketing includes three more elements to the mix: people resources, procedures, and tangible evidence. These three elements are linked to the nature of services, which are processes that are broken down into phases and include direct communication between the customer and the supplier.</w:t>
      </w:r>
    </w:p>
    <w:p w14:paraId="0A4E5849" w14:textId="77777777" w:rsidR="00874092" w:rsidRDefault="00874092" w:rsidP="00874092">
      <w:pPr>
        <w:spacing w:line="360" w:lineRule="auto"/>
        <w:jc w:val="both"/>
        <w:rPr>
          <w:rFonts w:ascii="Times New Roman" w:eastAsia="Times New Roman" w:hAnsi="Times New Roman" w:cs="Times New Roman"/>
        </w:rPr>
      </w:pPr>
    </w:p>
    <w:tbl>
      <w:tblPr>
        <w:tblStyle w:val="a"/>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874092" w14:paraId="3AC440BC"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7A9D8E94"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Promotion </w:t>
            </w:r>
          </w:p>
        </w:tc>
        <w:tc>
          <w:tcPr>
            <w:tcW w:w="4514" w:type="dxa"/>
            <w:tcBorders>
              <w:top w:val="single" w:sz="8" w:space="0" w:color="000000"/>
              <w:left w:val="single" w:sz="8" w:space="0" w:color="000000"/>
              <w:bottom w:val="single" w:sz="8" w:space="0" w:color="000000"/>
              <w:right w:val="single" w:sz="8" w:space="0" w:color="000000"/>
            </w:tcBorders>
            <w:hideMark/>
          </w:tcPr>
          <w:p w14:paraId="0973CE76"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Promotion is a tactic used to inform clients about future goods and services so they may choose whether to buy them or not. As per </w:t>
            </w:r>
            <w:r>
              <w:rPr>
                <w:rFonts w:ascii="Times New Roman" w:eastAsia="Times New Roman" w:hAnsi="Times New Roman" w:cs="Times New Roman"/>
                <w:color w:val="222222"/>
                <w:sz w:val="24"/>
                <w:szCs w:val="24"/>
                <w:highlight w:val="white"/>
              </w:rPr>
              <w:t>Kroon and Paauwe (2022),</w:t>
            </w:r>
            <w:r>
              <w:rPr>
                <w:rFonts w:ascii="Times New Roman" w:eastAsia="Times New Roman" w:hAnsi="Times New Roman" w:cs="Times New Roman"/>
              </w:rPr>
              <w:t xml:space="preserve"> the promotion function, which is to inform (to educate), convince (to persuade), remind (to remember), and influence (to recall), the promotion of developed goods and services would make them more easily recognisable to </w:t>
            </w:r>
            <w:r>
              <w:rPr>
                <w:rFonts w:ascii="Times New Roman" w:eastAsia="Times New Roman" w:hAnsi="Times New Roman" w:cs="Times New Roman"/>
              </w:rPr>
              <w:lastRenderedPageBreak/>
              <w:t>clients (to influence). This combination of marketing and promotional communications consists of the following components: Promotion can take many different forms, including direct marketing, personal selling, word-of-mouth advertising, and public relations.</w:t>
            </w:r>
          </w:p>
        </w:tc>
      </w:tr>
      <w:tr w:rsidR="00874092" w14:paraId="49F22C07"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15F44B29"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 xml:space="preserve">People </w:t>
            </w:r>
          </w:p>
        </w:tc>
        <w:tc>
          <w:tcPr>
            <w:tcW w:w="4514" w:type="dxa"/>
            <w:tcBorders>
              <w:top w:val="single" w:sz="8" w:space="0" w:color="000000"/>
              <w:left w:val="single" w:sz="8" w:space="0" w:color="000000"/>
              <w:bottom w:val="single" w:sz="8" w:space="0" w:color="000000"/>
              <w:right w:val="single" w:sz="8" w:space="0" w:color="000000"/>
            </w:tcBorders>
            <w:hideMark/>
          </w:tcPr>
          <w:p w14:paraId="57F415B9"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Relationships "people" have with marketing services that operate as service providers have a big influence on the quality of services provided. Internal marketing has a significant impact on employee education on the importance of their position and how to be content in it to produce the highest quality work (</w:t>
            </w:r>
            <w:proofErr w:type="spellStart"/>
            <w:r>
              <w:rPr>
                <w:rFonts w:ascii="Times New Roman" w:eastAsia="Times New Roman" w:hAnsi="Times New Roman" w:cs="Times New Roman"/>
                <w:color w:val="222222"/>
                <w:sz w:val="24"/>
                <w:szCs w:val="24"/>
                <w:highlight w:val="white"/>
              </w:rPr>
              <w:t>Petter</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rPr>
              <w:t>). Due to their social skills and upbeat approach, those who engage with clients directly are people. Everyone in the organisation forgets to give clients the greatest service while fulfilling their duties to the firm.</w:t>
            </w:r>
          </w:p>
        </w:tc>
      </w:tr>
      <w:tr w:rsidR="00874092" w14:paraId="15901A24"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6A8FEFDE"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Process </w:t>
            </w:r>
          </w:p>
        </w:tc>
        <w:tc>
          <w:tcPr>
            <w:tcW w:w="4514" w:type="dxa"/>
            <w:tcBorders>
              <w:top w:val="single" w:sz="8" w:space="0" w:color="000000"/>
              <w:left w:val="single" w:sz="8" w:space="0" w:color="000000"/>
              <w:bottom w:val="single" w:sz="8" w:space="0" w:color="000000"/>
              <w:right w:val="single" w:sz="8" w:space="0" w:color="000000"/>
            </w:tcBorders>
            <w:hideMark/>
          </w:tcPr>
          <w:p w14:paraId="2EF203FF"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All the acts that take place throughout the creation and delivery of services to clients are referred to as "processes" in this context (</w:t>
            </w:r>
            <w:r>
              <w:rPr>
                <w:rFonts w:ascii="Times New Roman" w:eastAsia="Times New Roman" w:hAnsi="Times New Roman" w:cs="Times New Roman"/>
                <w:color w:val="222222"/>
                <w:sz w:val="24"/>
                <w:szCs w:val="24"/>
                <w:highlight w:val="white"/>
              </w:rPr>
              <w:t>Nam and Dempsey, 2020</w:t>
            </w:r>
            <w:r>
              <w:rPr>
                <w:rFonts w:ascii="Times New Roman" w:eastAsia="Times New Roman" w:hAnsi="Times New Roman" w:cs="Times New Roman"/>
              </w:rPr>
              <w:t>). Commonly used methods, timetables, and procedures for the workplace are part of these acts.</w:t>
            </w:r>
          </w:p>
        </w:tc>
      </w:tr>
      <w:tr w:rsidR="00874092" w14:paraId="57538CE4"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54479C03"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Physical Environment </w:t>
            </w:r>
          </w:p>
        </w:tc>
        <w:tc>
          <w:tcPr>
            <w:tcW w:w="4514" w:type="dxa"/>
            <w:tcBorders>
              <w:top w:val="single" w:sz="8" w:space="0" w:color="000000"/>
              <w:left w:val="single" w:sz="8" w:space="0" w:color="000000"/>
              <w:bottom w:val="single" w:sz="8" w:space="0" w:color="000000"/>
              <w:right w:val="single" w:sz="8" w:space="0" w:color="000000"/>
            </w:tcBorders>
            <w:hideMark/>
          </w:tcPr>
          <w:p w14:paraId="5A38FD20"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The physical environment comprises any objects used to explain or support the function of these services, as well as the locations where services are produced and where service providers and clients interact. The layout of a service outlet specifies how a firm puts everything there, beginning with the ground, doors, furniture design, and any other required gear or equipment (</w:t>
            </w:r>
            <w:r>
              <w:rPr>
                <w:rFonts w:ascii="Times New Roman" w:eastAsia="Times New Roman" w:hAnsi="Times New Roman" w:cs="Times New Roman"/>
                <w:color w:val="222222"/>
                <w:sz w:val="24"/>
                <w:szCs w:val="24"/>
                <w:highlight w:val="white"/>
              </w:rPr>
              <w:t>Gao et al. 2021</w:t>
            </w:r>
            <w:r>
              <w:rPr>
                <w:rFonts w:ascii="Times New Roman" w:eastAsia="Times New Roman" w:hAnsi="Times New Roman" w:cs="Times New Roman"/>
              </w:rPr>
              <w:t xml:space="preserve">). The ease and efficiency with which service facilities may offer consumers are </w:t>
            </w:r>
            <w:r>
              <w:rPr>
                <w:rFonts w:ascii="Times New Roman" w:eastAsia="Times New Roman" w:hAnsi="Times New Roman" w:cs="Times New Roman"/>
              </w:rPr>
              <w:lastRenderedPageBreak/>
              <w:t>influenced by layout and functioning. present gear and equipment's suitability for performing functions</w:t>
            </w:r>
          </w:p>
        </w:tc>
      </w:tr>
      <w:tr w:rsidR="00874092" w14:paraId="0CEE67AB"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3B50DF9E"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 xml:space="preserve">Place </w:t>
            </w:r>
          </w:p>
        </w:tc>
        <w:tc>
          <w:tcPr>
            <w:tcW w:w="4514" w:type="dxa"/>
            <w:tcBorders>
              <w:top w:val="single" w:sz="8" w:space="0" w:color="000000"/>
              <w:left w:val="single" w:sz="8" w:space="0" w:color="000000"/>
              <w:bottom w:val="single" w:sz="8" w:space="0" w:color="000000"/>
              <w:right w:val="single" w:sz="8" w:space="0" w:color="000000"/>
            </w:tcBorders>
            <w:hideMark/>
          </w:tcPr>
          <w:p w14:paraId="289F939B"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Once discussing the location in the context of services, both the strategic location and the way services are provided to clients are considered. Choosing distribution strategies is another example of this. The location and the distribution channels used to reach the target market are two critical decision-making areas (</w:t>
            </w:r>
            <w:r>
              <w:rPr>
                <w:rFonts w:ascii="Times New Roman" w:eastAsia="Times New Roman" w:hAnsi="Times New Roman" w:cs="Times New Roman"/>
                <w:color w:val="222222"/>
                <w:sz w:val="24"/>
                <w:szCs w:val="24"/>
                <w:highlight w:val="white"/>
              </w:rPr>
              <w:t>Sanders and Wong, 2021</w:t>
            </w:r>
            <w:r>
              <w:rPr>
                <w:rFonts w:ascii="Times New Roman" w:eastAsia="Times New Roman" w:hAnsi="Times New Roman" w:cs="Times New Roman"/>
              </w:rPr>
              <w:t>). Considerations relating to channel and location include the way and the locations at which services are offered. There is a strong connection between these since services cannot be created, stored, and used in the same place.</w:t>
            </w:r>
          </w:p>
        </w:tc>
      </w:tr>
      <w:tr w:rsidR="00874092" w14:paraId="55DBDE9F"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310BD41A"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Product </w:t>
            </w:r>
          </w:p>
        </w:tc>
        <w:tc>
          <w:tcPr>
            <w:tcW w:w="4514" w:type="dxa"/>
            <w:tcBorders>
              <w:top w:val="single" w:sz="8" w:space="0" w:color="000000"/>
              <w:left w:val="single" w:sz="8" w:space="0" w:color="000000"/>
              <w:bottom w:val="single" w:sz="8" w:space="0" w:color="000000"/>
              <w:right w:val="single" w:sz="8" w:space="0" w:color="000000"/>
            </w:tcBorders>
            <w:hideMark/>
          </w:tcPr>
          <w:p w14:paraId="2DD4C024"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An item or procedure that provides customers with a range of advantages is referred to as a "product" in its entire concept (</w:t>
            </w:r>
            <w:r>
              <w:rPr>
                <w:rFonts w:ascii="Times New Roman" w:eastAsia="Times New Roman" w:hAnsi="Times New Roman" w:cs="Times New Roman"/>
                <w:color w:val="222222"/>
                <w:sz w:val="24"/>
                <w:szCs w:val="24"/>
                <w:highlight w:val="white"/>
              </w:rPr>
              <w:t>Reeves et al. 2021</w:t>
            </w:r>
            <w:r>
              <w:rPr>
                <w:rFonts w:ascii="Times New Roman" w:eastAsia="Times New Roman" w:hAnsi="Times New Roman" w:cs="Times New Roman"/>
              </w:rPr>
              <w:t>). Keep in mind that while buying a product, buyers also buy the offer, which is mostly made up of service items and is where ownership flows from service providers to consumers.</w:t>
            </w:r>
          </w:p>
        </w:tc>
      </w:tr>
      <w:tr w:rsidR="00874092" w14:paraId="74D6C6F2" w14:textId="77777777" w:rsidTr="00874092">
        <w:tc>
          <w:tcPr>
            <w:tcW w:w="4514" w:type="dxa"/>
            <w:tcBorders>
              <w:top w:val="single" w:sz="8" w:space="0" w:color="000000"/>
              <w:left w:val="single" w:sz="8" w:space="0" w:color="000000"/>
              <w:bottom w:val="single" w:sz="8" w:space="0" w:color="000000"/>
              <w:right w:val="single" w:sz="8" w:space="0" w:color="000000"/>
            </w:tcBorders>
            <w:hideMark/>
          </w:tcPr>
          <w:p w14:paraId="6EF866C8" w14:textId="77777777" w:rsidR="00874092" w:rsidRDefault="00874092">
            <w:pPr>
              <w:widowControl w:val="0"/>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Price </w:t>
            </w:r>
          </w:p>
        </w:tc>
        <w:tc>
          <w:tcPr>
            <w:tcW w:w="4514" w:type="dxa"/>
            <w:tcBorders>
              <w:top w:val="single" w:sz="8" w:space="0" w:color="000000"/>
              <w:left w:val="single" w:sz="8" w:space="0" w:color="000000"/>
              <w:bottom w:val="single" w:sz="8" w:space="0" w:color="000000"/>
              <w:right w:val="single" w:sz="8" w:space="0" w:color="000000"/>
            </w:tcBorders>
            <w:hideMark/>
          </w:tcPr>
          <w:p w14:paraId="4A8BEB82" w14:textId="77777777" w:rsidR="00874092" w:rsidRDefault="00874092">
            <w:pPr>
              <w:widowControl w:val="0"/>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advantages of a service product must be compared to the costs of employing such services when calculating charges. </w:t>
            </w:r>
            <w:r>
              <w:rPr>
                <w:rFonts w:ascii="Times New Roman" w:eastAsia="Times New Roman" w:hAnsi="Times New Roman" w:cs="Times New Roman"/>
                <w:color w:val="222222"/>
                <w:sz w:val="24"/>
                <w:szCs w:val="24"/>
                <w:highlight w:val="white"/>
              </w:rPr>
              <w:t xml:space="preserve">Chatterjee and Barber (2021) suggested that </w:t>
            </w:r>
            <w:r>
              <w:rPr>
                <w:rFonts w:ascii="Times New Roman" w:eastAsia="Times New Roman" w:hAnsi="Times New Roman" w:cs="Times New Roman"/>
              </w:rPr>
              <w:t>These costs may be expressed as time lost waiting for services, physical exertion (energy expended to receive services), mental responsibilities (stress), and sacrifices affecting the five senses.</w:t>
            </w:r>
          </w:p>
        </w:tc>
      </w:tr>
    </w:tbl>
    <w:p w14:paraId="6E9B2141" w14:textId="77777777" w:rsidR="00874092" w:rsidRDefault="00874092" w:rsidP="00874092">
      <w:pPr>
        <w:spacing w:line="360" w:lineRule="auto"/>
        <w:jc w:val="both"/>
        <w:rPr>
          <w:rFonts w:ascii="Times New Roman" w:eastAsia="Times New Roman" w:hAnsi="Times New Roman" w:cs="Times New Roman"/>
        </w:rPr>
      </w:pPr>
    </w:p>
    <w:p w14:paraId="5057B7D1"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the observation of </w:t>
      </w:r>
      <w:r>
        <w:rPr>
          <w:rFonts w:ascii="Times New Roman" w:eastAsia="Times New Roman" w:hAnsi="Times New Roman" w:cs="Times New Roman"/>
          <w:color w:val="222222"/>
          <w:sz w:val="24"/>
          <w:szCs w:val="24"/>
          <w:highlight w:val="white"/>
        </w:rPr>
        <w:t xml:space="preserve">Monteiro and Adler (2022), </w:t>
      </w:r>
      <w:r>
        <w:rPr>
          <w:rFonts w:ascii="Times New Roman" w:eastAsia="Times New Roman" w:hAnsi="Times New Roman" w:cs="Times New Roman"/>
        </w:rPr>
        <w:t xml:space="preserve">promotion is projected to enhance by forming a specialised marketing team to handle social media creativity ideas and websites to provide more engaging, instructive, and unusual photos. Partnerships with creative enterprises will also make it </w:t>
      </w:r>
      <w:r>
        <w:rPr>
          <w:rFonts w:ascii="Times New Roman" w:eastAsia="Times New Roman" w:hAnsi="Times New Roman" w:cs="Times New Roman"/>
        </w:rPr>
        <w:lastRenderedPageBreak/>
        <w:t xml:space="preserve">feasible to expand marketing efforts to reach potential new customers. Contests and discounts, for instance, will entice prospective new clients to discover and use their social media. As a result of training, companies that compete with other barbershops have higher standards since there are fewer mistakes made for each service delivery. Customers must be satisfied with the service for them to come back, and the prices must be lower than those of all barber shops in Medan. The promotion has a </w:t>
      </w:r>
      <w:proofErr w:type="spellStart"/>
      <w:r>
        <w:rPr>
          <w:rFonts w:ascii="Times New Roman" w:eastAsia="Times New Roman" w:hAnsi="Times New Roman" w:cs="Times New Roman"/>
        </w:rPr>
        <w:t>favorable</w:t>
      </w:r>
      <w:proofErr w:type="spellEnd"/>
      <w:r>
        <w:rPr>
          <w:rFonts w:ascii="Times New Roman" w:eastAsia="Times New Roman" w:hAnsi="Times New Roman" w:cs="Times New Roman"/>
        </w:rPr>
        <w:t xml:space="preserve"> and substantial influence on the decision over which barbershop service to choose. People do not have a positive or significant effect on the barbershop. The Barbershop is not greatly improved by the surgery (</w:t>
      </w:r>
      <w:proofErr w:type="spellStart"/>
      <w:r>
        <w:rPr>
          <w:rFonts w:ascii="Times New Roman" w:eastAsia="Times New Roman" w:hAnsi="Times New Roman" w:cs="Times New Roman"/>
          <w:color w:val="222222"/>
          <w:sz w:val="24"/>
          <w:szCs w:val="24"/>
          <w:highlight w:val="white"/>
        </w:rPr>
        <w:t>Ebinger</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rPr>
        <w:t xml:space="preserve">). Physical Evidence has no impact on the barbershop and does not significantly enhance it. The location has no positive or significant effects on the barbershop. The product has a </w:t>
      </w:r>
      <w:proofErr w:type="spellStart"/>
      <w:r>
        <w:rPr>
          <w:rFonts w:ascii="Times New Roman" w:eastAsia="Times New Roman" w:hAnsi="Times New Roman" w:cs="Times New Roman"/>
        </w:rPr>
        <w:t>favorable</w:t>
      </w:r>
      <w:proofErr w:type="spellEnd"/>
      <w:r>
        <w:rPr>
          <w:rFonts w:ascii="Times New Roman" w:eastAsia="Times New Roman" w:hAnsi="Times New Roman" w:cs="Times New Roman"/>
        </w:rPr>
        <w:t xml:space="preserve"> and important influence on the choice to choose a barbershop's services. The choice of a barbershop service is strongly and </w:t>
      </w:r>
      <w:proofErr w:type="spellStart"/>
      <w:r>
        <w:rPr>
          <w:rFonts w:ascii="Times New Roman" w:eastAsia="Times New Roman" w:hAnsi="Times New Roman" w:cs="Times New Roman"/>
        </w:rPr>
        <w:t>favorably</w:t>
      </w:r>
      <w:proofErr w:type="spellEnd"/>
      <w:r>
        <w:rPr>
          <w:rFonts w:ascii="Times New Roman" w:eastAsia="Times New Roman" w:hAnsi="Times New Roman" w:cs="Times New Roman"/>
        </w:rPr>
        <w:t xml:space="preserve"> influenced by price. Create a specialised team to manage social media and websites that can publish images of exciting barbershop activities, detailed details, and regular photo uploads for the smooth functioning of the campaign and the attention of clients (</w:t>
      </w:r>
      <w:r>
        <w:rPr>
          <w:rFonts w:ascii="Times New Roman" w:eastAsia="Times New Roman" w:hAnsi="Times New Roman" w:cs="Times New Roman"/>
          <w:color w:val="222222"/>
          <w:sz w:val="24"/>
          <w:szCs w:val="24"/>
          <w:highlight w:val="white"/>
        </w:rPr>
        <w:t>McMillan and Barber III, 2020</w:t>
      </w:r>
      <w:r>
        <w:rPr>
          <w:rFonts w:ascii="Times New Roman" w:eastAsia="Times New Roman" w:hAnsi="Times New Roman" w:cs="Times New Roman"/>
        </w:rPr>
        <w:t>).</w:t>
      </w:r>
    </w:p>
    <w:p w14:paraId="5033BAD8" w14:textId="77777777" w:rsidR="00874092" w:rsidRDefault="00874092" w:rsidP="00874092">
      <w:pPr>
        <w:pStyle w:val="Heading1"/>
        <w:rPr>
          <w:rFonts w:ascii="Times New Roman" w:hAnsi="Times New Roman"/>
        </w:rPr>
      </w:pPr>
      <w:bookmarkStart w:id="26" w:name="_Toc121922789"/>
      <w:r>
        <w:t>Marketing Plan of a Barber Shop</w:t>
      </w:r>
      <w:bookmarkEnd w:id="26"/>
    </w:p>
    <w:p w14:paraId="6B93DC37"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Each morning before leaving the house, many people perform a customised beauty routine. The daily wash and shave, weekly nail trim, and monthly haircut are all part of this regimen. The beauty market has grown quickly over many years. It offers a variety of possibilities to those entrepreneurs who are interested (</w:t>
      </w:r>
      <w:r>
        <w:rPr>
          <w:rFonts w:ascii="Times New Roman" w:eastAsia="Times New Roman" w:hAnsi="Times New Roman" w:cs="Times New Roman"/>
          <w:color w:val="222222"/>
          <w:sz w:val="24"/>
          <w:szCs w:val="24"/>
          <w:highlight w:val="white"/>
        </w:rPr>
        <w:t>Barber et al. 2022</w:t>
      </w:r>
      <w:r>
        <w:rPr>
          <w:rFonts w:ascii="Times New Roman" w:eastAsia="Times New Roman" w:hAnsi="Times New Roman" w:cs="Times New Roman"/>
        </w:rPr>
        <w:t>). Like many other women across the world, the author is always conscious of the importance of looking well and taking care of oneself. As a business student, she is one of many aspiring business owners who is passionate about the beauty industry. The firm already has a business plan, but it still requires a targeted marketing plan to win in a competitive market. The author, who is also a co-founder, works hard to carry out a marketing strategy for her little start-up. By description, a marketing plan is a business document created to outline a company's current position in the market and its strategy for the period it encompasses, which can be anywhere between one and five years (</w:t>
      </w:r>
      <w:r>
        <w:rPr>
          <w:rFonts w:ascii="Times New Roman" w:eastAsia="Times New Roman" w:hAnsi="Times New Roman" w:cs="Times New Roman"/>
          <w:color w:val="222222"/>
          <w:sz w:val="24"/>
          <w:szCs w:val="24"/>
          <w:highlight w:val="white"/>
        </w:rPr>
        <w:t>Barber and Miller, 2019</w:t>
      </w:r>
      <w:r>
        <w:rPr>
          <w:rFonts w:ascii="Times New Roman" w:eastAsia="Times New Roman" w:hAnsi="Times New Roman" w:cs="Times New Roman"/>
        </w:rPr>
        <w:t>). This study will serve as a short-term plan for the example company, which will be regularly amended.</w:t>
      </w:r>
    </w:p>
    <w:p w14:paraId="22740B77" w14:textId="0F12E01E" w:rsidR="00874092" w:rsidRDefault="00874092" w:rsidP="00874092">
      <w:pPr>
        <w:spacing w:line="360" w:lineRule="auto"/>
        <w:jc w:val="center"/>
        <w:rPr>
          <w:rFonts w:ascii="Times New Roman" w:eastAsia="Times New Roman" w:hAnsi="Times New Roman" w:cs="Times New Roman"/>
        </w:rPr>
      </w:pPr>
      <w:r>
        <w:rPr>
          <w:noProof/>
        </w:rPr>
        <w:lastRenderedPageBreak/>
        <w:drawing>
          <wp:inline distT="0" distB="0" distL="0" distR="0" wp14:anchorId="73AAEE12" wp14:editId="131105A9">
            <wp:extent cx="5724525" cy="3438525"/>
            <wp:effectExtent l="0" t="0" r="9525" b="9525"/>
            <wp:docPr id="4" name="Picture 4" descr="Medical Spa Market Size, Share, Trends &amp; Forecast 2019-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cal Spa Market Size, Share, Trends &amp; Forecast 2019-20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438525"/>
                    </a:xfrm>
                    <a:prstGeom prst="rect">
                      <a:avLst/>
                    </a:prstGeom>
                    <a:noFill/>
                    <a:ln>
                      <a:noFill/>
                    </a:ln>
                  </pic:spPr>
                </pic:pic>
              </a:graphicData>
            </a:graphic>
          </wp:inline>
        </w:drawing>
      </w:r>
    </w:p>
    <w:p w14:paraId="58E893D8" w14:textId="77777777" w:rsidR="00874092" w:rsidRDefault="00874092" w:rsidP="00874092">
      <w:pPr>
        <w:spacing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1: The market plan of a Barber Shop.</w:t>
      </w:r>
    </w:p>
    <w:p w14:paraId="6D7CA779" w14:textId="77777777" w:rsidR="00874092" w:rsidRDefault="00874092" w:rsidP="00874092">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Sources: (Kbvresearch.com, 2022)</w:t>
      </w:r>
    </w:p>
    <w:p w14:paraId="6231BD46" w14:textId="77777777" w:rsidR="00874092" w:rsidRDefault="00874092" w:rsidP="00874092">
      <w:pPr>
        <w:pStyle w:val="Heading2"/>
        <w:rPr>
          <w:rFonts w:ascii="Times New Roman" w:hAnsi="Times New Roman"/>
        </w:rPr>
      </w:pPr>
      <w:bookmarkStart w:id="27" w:name="_Toc121922790"/>
      <w:r>
        <w:t>Marketing Process</w:t>
      </w:r>
      <w:bookmarkEnd w:id="27"/>
    </w:p>
    <w:p w14:paraId="29370B0F"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Businesses need to provide value for their clients and foster strong client relationships to receive value from their clients in return. Marketing refers to this procedure. This chapter will outline the five processes involved in the marketing process, from learning about the market to developing marketing strategies to developing marketing initiatives (</w:t>
      </w:r>
      <w:r>
        <w:rPr>
          <w:rFonts w:ascii="Times New Roman" w:eastAsia="Times New Roman" w:hAnsi="Times New Roman" w:cs="Times New Roman"/>
          <w:color w:val="222222"/>
          <w:sz w:val="24"/>
          <w:szCs w:val="24"/>
          <w:highlight w:val="white"/>
        </w:rPr>
        <w:t>González-Pérez et al. 2022</w:t>
      </w:r>
      <w:r>
        <w:rPr>
          <w:rFonts w:ascii="Times New Roman" w:eastAsia="Times New Roman" w:hAnsi="Times New Roman" w:cs="Times New Roman"/>
        </w:rPr>
        <w:t>). It's critical to formalise these choices in a marketing plan. The plan, which also clarifies the goals and strategy to the management team, allows for a reasoned debate on the possibilities and chances of success. Marketing plans need to be developed at several levels of the organisation, such as the overall business, each division, each business unit, and the product and market levels. The marketing plans for various products or target market segments are discussed in this section (</w:t>
      </w:r>
      <w:r>
        <w:rPr>
          <w:rFonts w:ascii="Times New Roman" w:eastAsia="Times New Roman" w:hAnsi="Times New Roman" w:cs="Times New Roman"/>
          <w:color w:val="222222"/>
          <w:sz w:val="24"/>
          <w:szCs w:val="24"/>
          <w:highlight w:val="white"/>
        </w:rPr>
        <w:t>Lyons and Barber, 2021</w:t>
      </w:r>
      <w:r>
        <w:rPr>
          <w:rFonts w:ascii="Times New Roman" w:eastAsia="Times New Roman" w:hAnsi="Times New Roman" w:cs="Times New Roman"/>
        </w:rPr>
        <w:t>). Once the marketing plan was put into practice, unanticipated difficulties would arise.</w:t>
      </w:r>
    </w:p>
    <w:p w14:paraId="3FB0161E" w14:textId="77777777" w:rsidR="00874092" w:rsidRDefault="00874092" w:rsidP="00874092">
      <w:pPr>
        <w:pStyle w:val="Heading2"/>
        <w:rPr>
          <w:rFonts w:ascii="Times New Roman" w:hAnsi="Times New Roman"/>
        </w:rPr>
      </w:pPr>
      <w:bookmarkStart w:id="28" w:name="_Toc121922791"/>
      <w:r>
        <w:t>Understanding the marketplace and Organisational insights</w:t>
      </w:r>
      <w:bookmarkEnd w:id="28"/>
      <w:r>
        <w:t xml:space="preserve"> </w:t>
      </w:r>
    </w:p>
    <w:p w14:paraId="614D444E"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Understanding client requirements wants, and expectations are essential for developing market offerings that meet customers' demands and building valuable relationships with them. The company's client equity is ultimately increased through this (</w:t>
      </w:r>
      <w:proofErr w:type="spellStart"/>
      <w:r>
        <w:rPr>
          <w:rFonts w:ascii="Times New Roman" w:eastAsia="Times New Roman" w:hAnsi="Times New Roman" w:cs="Times New Roman"/>
          <w:color w:val="222222"/>
          <w:sz w:val="24"/>
          <w:szCs w:val="24"/>
          <w:highlight w:val="white"/>
        </w:rPr>
        <w:t>Buechley</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rPr>
        <w:t xml:space="preserve">). An investigation of both internal and external factors is necessary for the creation of a specific strategy. The analysis must be undertaken on both an internal and external level to uncover the opportunities and threats posed by the </w:t>
      </w:r>
      <w:r>
        <w:rPr>
          <w:rFonts w:ascii="Times New Roman" w:eastAsia="Times New Roman" w:hAnsi="Times New Roman" w:cs="Times New Roman"/>
        </w:rPr>
        <w:lastRenderedPageBreak/>
        <w:t>external environment along with the organisations' strengths and limitations. In order to summarise, it's crucial to do both internal and external assessments of the company and the industry to understand the market and organisational insights.</w:t>
      </w:r>
    </w:p>
    <w:p w14:paraId="6C424225" w14:textId="77777777" w:rsidR="00874092" w:rsidRDefault="00874092" w:rsidP="00874092">
      <w:pPr>
        <w:pStyle w:val="Heading2"/>
        <w:rPr>
          <w:rFonts w:ascii="Times New Roman" w:hAnsi="Times New Roman"/>
        </w:rPr>
      </w:pPr>
      <w:bookmarkStart w:id="29" w:name="_Toc121922792"/>
      <w:r>
        <w:t>External Analysis</w:t>
      </w:r>
      <w:bookmarkEnd w:id="29"/>
    </w:p>
    <w:p w14:paraId="44F06F2A"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According to (</w:t>
      </w:r>
      <w:r>
        <w:rPr>
          <w:rFonts w:ascii="Times New Roman" w:eastAsia="Times New Roman" w:hAnsi="Times New Roman" w:cs="Times New Roman"/>
          <w:color w:val="222222"/>
          <w:sz w:val="24"/>
          <w:szCs w:val="24"/>
          <w:highlight w:val="white"/>
        </w:rPr>
        <w:t>Lewis and Shore, 2019</w:t>
      </w:r>
      <w:r>
        <w:rPr>
          <w:rFonts w:ascii="Times New Roman" w:eastAsia="Times New Roman" w:hAnsi="Times New Roman" w:cs="Times New Roman"/>
        </w:rPr>
        <w:t>), the process of scanning and assessing an organization's numerous external environmental sectors to identify positive and negative trends that may influence organisational performance is known as an external analysis. The strategic decisions made by a firm can be impacted by a variety of circumstances. Among those things that should be regularly monitored is the outside environment. In addition, particularly in this new media era, technology advancements and even political changes may have an impact on business strategic strategy. Being able to recognise changes quickly and take appropriate action is an essential competitive advantage. As a result, each strategy plan needs to include an external examination. The advantages of external analysis are that it enhances knowledge, lowers expenses, encourages learning, and supports adjustments that will assist profit-making. Strategic analysis plays a major role in the Strategic Learning Cycle (</w:t>
      </w:r>
      <w:r>
        <w:rPr>
          <w:rFonts w:ascii="Times New Roman" w:eastAsia="Times New Roman" w:hAnsi="Times New Roman" w:cs="Times New Roman"/>
          <w:color w:val="222222"/>
          <w:sz w:val="24"/>
          <w:szCs w:val="24"/>
          <w:highlight w:val="white"/>
        </w:rPr>
        <w:t>Min, 2020</w:t>
      </w:r>
      <w:r>
        <w:rPr>
          <w:rFonts w:ascii="Times New Roman" w:eastAsia="Times New Roman" w:hAnsi="Times New Roman" w:cs="Times New Roman"/>
        </w:rPr>
        <w:t xml:space="preserve">). Each strategist should be equipped with a toolkit of analytical models. Same as having the right tools won't guarantee they will become a skilled mechanic, having the right equipment won't guarantee a smart strategist will be able to achieve their objectives more successfully. Porter's Five Forces will be utilised for the external analysis in this research as it provides a simple framework for researching and analysing the threats and opportunities present in an industry as well as the development of company strategy. </w:t>
      </w:r>
    </w:p>
    <w:p w14:paraId="56E5837C" w14:textId="77777777" w:rsidR="00874092" w:rsidRDefault="00874092" w:rsidP="00874092">
      <w:pPr>
        <w:pStyle w:val="Heading2"/>
        <w:rPr>
          <w:rFonts w:ascii="Times New Roman" w:hAnsi="Times New Roman"/>
        </w:rPr>
      </w:pPr>
      <w:bookmarkStart w:id="30" w:name="_Toc121922793"/>
      <w:r>
        <w:t>Porter Five Forces Analysis</w:t>
      </w:r>
      <w:bookmarkEnd w:id="30"/>
    </w:p>
    <w:p w14:paraId="3DF21519" w14:textId="77777777"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Understanding the dynamic of the external environment can help the firm compete more successfully in the market. The five factors outlined by Porter include the threat of substitutes, industry competition, supplier bargaining power, and buyer bargaining power (</w:t>
      </w:r>
      <w:proofErr w:type="spellStart"/>
      <w:r>
        <w:rPr>
          <w:rFonts w:ascii="Times New Roman" w:eastAsia="Times New Roman" w:hAnsi="Times New Roman" w:cs="Times New Roman"/>
          <w:color w:val="222222"/>
          <w:sz w:val="24"/>
          <w:szCs w:val="24"/>
          <w:highlight w:val="white"/>
        </w:rPr>
        <w:t>Nategh</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rPr>
        <w:t>). The intensity of a market's competition, according to Porter, is determined by the relative potency of these forces. These variables influence how an industry is set up and how highly competitive it is. As competition levels rise, the industry experiences a decline in profitability. The industry will be regarded as highly competitive if it has low entry barriers, few buyers, and few suppliers but many substitute items and competitors. The ability of providers to negotiate prices is one of the five elements that define how competitive a market is. Due to the presence of powerful suppliers, a sector's profit potential is reduced. Suppliers intensify competition within a certain industry by threatening to raise prices or degrade the quality of goods and services (</w:t>
      </w:r>
      <w:proofErr w:type="spellStart"/>
      <w:r>
        <w:rPr>
          <w:rFonts w:ascii="Times New Roman" w:eastAsia="Times New Roman" w:hAnsi="Times New Roman" w:cs="Times New Roman"/>
          <w:color w:val="222222"/>
          <w:sz w:val="24"/>
          <w:szCs w:val="24"/>
          <w:highlight w:val="white"/>
        </w:rPr>
        <w:t>Thaxter</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rPr>
        <w:t xml:space="preserve">). Businesses in a sector have poorer profitability because of being unable to pass on cost increases through increased prices. </w:t>
      </w:r>
    </w:p>
    <w:p w14:paraId="0B202CE3" w14:textId="359365B7" w:rsidR="00874092" w:rsidRDefault="00874092" w:rsidP="00874092">
      <w:pPr>
        <w:spacing w:line="360" w:lineRule="auto"/>
        <w:jc w:val="center"/>
        <w:rPr>
          <w:rFonts w:ascii="Times New Roman" w:eastAsia="Times New Roman" w:hAnsi="Times New Roman" w:cs="Times New Roman"/>
        </w:rPr>
      </w:pPr>
      <w:r>
        <w:rPr>
          <w:noProof/>
        </w:rPr>
        <w:lastRenderedPageBreak/>
        <w:drawing>
          <wp:inline distT="0" distB="0" distL="0" distR="0" wp14:anchorId="7F7C1388" wp14:editId="291F6C88">
            <wp:extent cx="5733415" cy="4009390"/>
            <wp:effectExtent l="0" t="0" r="635" b="0"/>
            <wp:docPr id="3" name="Picture 3" descr="Use Porter's Five Forces Analysis To Become More Competi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 Porter's Five Forces Analysis To Become More Competitiv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4009390"/>
                    </a:xfrm>
                    <a:prstGeom prst="rect">
                      <a:avLst/>
                    </a:prstGeom>
                    <a:noFill/>
                    <a:ln>
                      <a:noFill/>
                    </a:ln>
                  </pic:spPr>
                </pic:pic>
              </a:graphicData>
            </a:graphic>
          </wp:inline>
        </w:drawing>
      </w:r>
    </w:p>
    <w:p w14:paraId="6C66BAE8" w14:textId="77777777" w:rsidR="00874092" w:rsidRDefault="00874092" w:rsidP="00874092">
      <w:pPr>
        <w:spacing w:line="360" w:lineRule="auto"/>
        <w:jc w:val="center"/>
        <w:rPr>
          <w:rFonts w:ascii="Times New Roman" w:eastAsia="Times New Roman" w:hAnsi="Times New Roman" w:cs="Times New Roman"/>
          <w:b/>
          <w:bCs/>
        </w:rPr>
      </w:pPr>
      <w:r>
        <w:rPr>
          <w:rFonts w:ascii="Times New Roman" w:eastAsia="Times New Roman" w:hAnsi="Times New Roman" w:cs="Times New Roman"/>
          <w:b/>
          <w:bCs/>
        </w:rPr>
        <w:t>Figure 2: Porter’s Five Analysis</w:t>
      </w:r>
    </w:p>
    <w:p w14:paraId="3C1D4A32" w14:textId="77777777" w:rsidR="00874092" w:rsidRDefault="00874092" w:rsidP="00874092">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Sources: (Conceptboard.com, 2018)</w:t>
      </w:r>
    </w:p>
    <w:p w14:paraId="1E3FD6F9" w14:textId="77777777" w:rsidR="00874092" w:rsidRPr="000778A7" w:rsidRDefault="00874092" w:rsidP="000778A7">
      <w:pPr>
        <w:spacing w:line="360" w:lineRule="auto"/>
        <w:jc w:val="both"/>
        <w:rPr>
          <w:rFonts w:ascii="Times New Roman" w:eastAsia="Times New Roman" w:hAnsi="Times New Roman" w:cs="Times New Roman"/>
          <w:color w:val="222222"/>
          <w:sz w:val="24"/>
          <w:szCs w:val="24"/>
          <w:highlight w:val="white"/>
        </w:rPr>
      </w:pPr>
    </w:p>
    <w:p w14:paraId="0000003B" w14:textId="41F694FE" w:rsidR="00EA563A" w:rsidRDefault="00000000">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Slide 9</w:t>
      </w:r>
    </w:p>
    <w:p w14:paraId="0000003C" w14:textId="61280783" w:rsidR="00EA563A" w:rsidRDefault="00000000">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Conclusion</w:t>
      </w:r>
      <w:r w:rsidR="00874092">
        <w:rPr>
          <w:rFonts w:ascii="Times New Roman" w:eastAsia="Times New Roman" w:hAnsi="Times New Roman" w:cs="Times New Roman"/>
          <w:b/>
          <w:color w:val="222222"/>
          <w:sz w:val="28"/>
          <w:szCs w:val="28"/>
          <w:highlight w:val="white"/>
        </w:rPr>
        <w:t>1</w:t>
      </w:r>
    </w:p>
    <w:p w14:paraId="57B51F9B" w14:textId="38CE0B04" w:rsidR="00503D89" w:rsidRDefault="00503D89">
      <w:pPr>
        <w:spacing w:line="360" w:lineRule="auto"/>
        <w:jc w:val="both"/>
        <w:rPr>
          <w:rFonts w:ascii="Times New Roman" w:eastAsia="Times New Roman" w:hAnsi="Times New Roman" w:cs="Times New Roman"/>
          <w:b/>
          <w:color w:val="222222"/>
          <w:sz w:val="28"/>
          <w:szCs w:val="28"/>
          <w:highlight w:val="white"/>
        </w:rPr>
      </w:pPr>
      <w:r>
        <w:rPr>
          <w:highlight w:val="white"/>
        </w:rPr>
        <w:t>With the 21st Century Business Series, instructors have the most creative freedom to offer business subjects in a modular way. Users can design unique one- or two-semester business courses by blending different Learner Guides from the Series. The customised learner guides may also be used to enhance more traditional business courses or develop brand-new programs that are more in line with market needs. The content-rich layout and 21st Century Business Series learning guides are found in every book in the series. The course emphasises the potential applications of 21st-century business abilities while enabling cutting-edge instructional tactics that include the use of practical technology and creative problem-solving approaches in today's business world. Get along well with company suppliers and offer specialised retail goods. A great way to boost a barbershop's profits is by selling retail merchandise. A third of men who shop for hair products do so based on the suggestions of their stylists, and the sale of hair products is rising significantly in the UK.</w:t>
      </w:r>
    </w:p>
    <w:p w14:paraId="4D8A1B15" w14:textId="4AD37287" w:rsidR="000778A7" w:rsidRPr="000778A7" w:rsidRDefault="000778A7" w:rsidP="000778A7">
      <w:pPr>
        <w:keepNext/>
        <w:keepLines/>
        <w:spacing w:before="280" w:line="480" w:lineRule="auto"/>
        <w:outlineLvl w:val="0"/>
        <w:rPr>
          <w:rFonts w:ascii="Times New Roman" w:hAnsi="Times New Roman"/>
          <w:b/>
          <w:sz w:val="28"/>
          <w:szCs w:val="40"/>
          <w:highlight w:val="white"/>
        </w:rPr>
      </w:pPr>
      <w:bookmarkStart w:id="31" w:name="_Toc121923075"/>
      <w:r w:rsidRPr="000778A7">
        <w:rPr>
          <w:rFonts w:ascii="Times New Roman" w:hAnsi="Times New Roman"/>
          <w:b/>
          <w:sz w:val="28"/>
          <w:szCs w:val="40"/>
          <w:highlight w:val="white"/>
        </w:rPr>
        <w:lastRenderedPageBreak/>
        <w:t>Conclusion</w:t>
      </w:r>
      <w:bookmarkEnd w:id="31"/>
      <w:r>
        <w:rPr>
          <w:rFonts w:ascii="Times New Roman" w:hAnsi="Times New Roman"/>
          <w:b/>
          <w:sz w:val="28"/>
          <w:szCs w:val="40"/>
          <w:highlight w:val="white"/>
        </w:rPr>
        <w:t xml:space="preserve"> 2</w:t>
      </w:r>
    </w:p>
    <w:p w14:paraId="463DC5A0" w14:textId="6708F7BB" w:rsidR="000778A7" w:rsidRDefault="000778A7" w:rsidP="000778A7">
      <w:pPr>
        <w:spacing w:line="360" w:lineRule="auto"/>
        <w:jc w:val="both"/>
        <w:rPr>
          <w:rFonts w:ascii="Times New Roman" w:eastAsia="Times New Roman" w:hAnsi="Times New Roman" w:cs="Times New Roman"/>
          <w:color w:val="222222"/>
          <w:sz w:val="24"/>
          <w:szCs w:val="24"/>
          <w:highlight w:val="white"/>
        </w:rPr>
      </w:pPr>
      <w:r w:rsidRPr="000778A7">
        <w:rPr>
          <w:rFonts w:ascii="Times New Roman" w:eastAsia="Times New Roman" w:hAnsi="Times New Roman" w:cs="Times New Roman"/>
          <w:color w:val="222222"/>
          <w:sz w:val="24"/>
          <w:szCs w:val="24"/>
          <w:highlight w:val="white"/>
        </w:rPr>
        <w:t xml:space="preserve">Barbershops are one type of service industry. Customers receive excellent service from the business. They will obtain the supplies required for barbershops from reliable suppliers. This report mainly focused on the management team and their operational plan for a barber shop. The desires of the guy might be met by a barbershop, which competes with other companies in the sector and offers a range of services. The organisation made </w:t>
      </w:r>
      <w:proofErr w:type="spellStart"/>
      <w:r w:rsidRPr="000778A7">
        <w:rPr>
          <w:rFonts w:ascii="Times New Roman" w:eastAsia="Times New Roman" w:hAnsi="Times New Roman" w:cs="Times New Roman"/>
          <w:color w:val="222222"/>
          <w:sz w:val="24"/>
          <w:szCs w:val="24"/>
          <w:highlight w:val="white"/>
        </w:rPr>
        <w:t>sureto</w:t>
      </w:r>
      <w:proofErr w:type="spellEnd"/>
      <w:r w:rsidRPr="000778A7">
        <w:rPr>
          <w:rFonts w:ascii="Times New Roman" w:eastAsia="Times New Roman" w:hAnsi="Times New Roman" w:cs="Times New Roman"/>
          <w:color w:val="222222"/>
          <w:sz w:val="24"/>
          <w:szCs w:val="24"/>
          <w:highlight w:val="white"/>
        </w:rPr>
        <w:t xml:space="preserve"> offer its customers the highest </w:t>
      </w:r>
      <w:proofErr w:type="spellStart"/>
      <w:r w:rsidRPr="000778A7">
        <w:rPr>
          <w:rFonts w:ascii="Times New Roman" w:eastAsia="Times New Roman" w:hAnsi="Times New Roman" w:cs="Times New Roman"/>
          <w:color w:val="222222"/>
          <w:sz w:val="24"/>
          <w:szCs w:val="24"/>
          <w:highlight w:val="white"/>
        </w:rPr>
        <w:t>caliber</w:t>
      </w:r>
      <w:proofErr w:type="spellEnd"/>
      <w:r w:rsidRPr="000778A7">
        <w:rPr>
          <w:rFonts w:ascii="Times New Roman" w:eastAsia="Times New Roman" w:hAnsi="Times New Roman" w:cs="Times New Roman"/>
          <w:color w:val="222222"/>
          <w:sz w:val="24"/>
          <w:szCs w:val="24"/>
          <w:highlight w:val="white"/>
        </w:rPr>
        <w:t xml:space="preserve"> of service to uphold its promise to go above and beyond for them. In order to provide its customers, with the best experience possible, A Barbershop works to keep them coming back.</w:t>
      </w:r>
    </w:p>
    <w:p w14:paraId="10EE5963" w14:textId="59FAD326" w:rsidR="00874092" w:rsidRPr="00874092" w:rsidRDefault="00874092" w:rsidP="00874092">
      <w:pPr>
        <w:pStyle w:val="Heading1"/>
        <w:rPr>
          <w:sz w:val="28"/>
          <w:szCs w:val="28"/>
        </w:rPr>
      </w:pPr>
      <w:bookmarkStart w:id="32" w:name="_Toc121922794"/>
      <w:r w:rsidRPr="00874092">
        <w:rPr>
          <w:sz w:val="28"/>
          <w:szCs w:val="28"/>
        </w:rPr>
        <w:t>Conclusion</w:t>
      </w:r>
      <w:bookmarkEnd w:id="32"/>
      <w:r w:rsidRPr="00874092">
        <w:rPr>
          <w:sz w:val="28"/>
          <w:szCs w:val="28"/>
        </w:rPr>
        <w:t xml:space="preserve">3 </w:t>
      </w:r>
    </w:p>
    <w:p w14:paraId="68752362" w14:textId="4619778C" w:rsidR="00874092" w:rsidRDefault="00874092" w:rsidP="00874092">
      <w:pPr>
        <w:spacing w:line="360" w:lineRule="auto"/>
        <w:jc w:val="both"/>
        <w:rPr>
          <w:rFonts w:ascii="Times New Roman" w:eastAsia="Times New Roman" w:hAnsi="Times New Roman" w:cs="Times New Roman"/>
        </w:rPr>
      </w:pPr>
      <w:r>
        <w:rPr>
          <w:rFonts w:ascii="Times New Roman" w:eastAsia="Times New Roman" w:hAnsi="Times New Roman" w:cs="Times New Roman"/>
        </w:rPr>
        <w:t>In conclusion, this report focuses on the marketing plan and market analysis of a barber shop. Suppliers find themselves in a dominating position when there are a limited number of significant suppliers, the resource they supply is rare, switching to a new supplier is expensive, the product is easy to differentiate, and loyal consumers are hesitant to switch. The same need is satisfied, and an alternative is provided by a replacement item. Replacement products put a company under pressure from the marketplace when a customer's switching cost and the cost of the substitute product are both notably low. The market's appeal and suppliers' sway will both wane because of posing this risk. The businesses must thus stand out from the competition while simultaneously improving the functionality of their products. Once there is a threat of substitution, a company runs the risk of losing business to another company that offers similar products or services.</w:t>
      </w:r>
    </w:p>
    <w:p w14:paraId="5A0C202E" w14:textId="1E3B7B40" w:rsidR="00874092" w:rsidRDefault="00874092" w:rsidP="00874092">
      <w:pPr>
        <w:spacing w:line="360" w:lineRule="auto"/>
        <w:jc w:val="both"/>
        <w:rPr>
          <w:rFonts w:ascii="Times New Roman" w:eastAsia="Times New Roman" w:hAnsi="Times New Roman" w:cs="Times New Roman"/>
        </w:rPr>
      </w:pPr>
    </w:p>
    <w:p w14:paraId="6AF4075C" w14:textId="617EE73D"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5C7A034C" w14:textId="4FDD6947"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7C1CAD7E" w14:textId="7338BFC5"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6321D24A" w14:textId="238D461D"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7DC78938" w14:textId="6AE81C82"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659A881B" w14:textId="74646EC3"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4BFA31D0" w14:textId="5855E5E2"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7260E976" w14:textId="0AE95652"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34A14468" w14:textId="29CA2199"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4A77BFED" w14:textId="6F0ABCAA"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09F4B03C" w14:textId="0B19A59F"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71F38499" w14:textId="2632D87F"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07A83DCE" w14:textId="5C57CE1E"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2F8B3D46" w14:textId="0BBA813F"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0CFD070F" w14:textId="367DB9D4"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104EC6AC" w14:textId="77777777" w:rsidR="00874092" w:rsidRDefault="00874092">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64C6B795" w14:textId="77777777" w:rsidR="00874092" w:rsidRDefault="00874092" w:rsidP="00874092">
      <w:pPr>
        <w:spacing w:line="360" w:lineRule="auto"/>
        <w:jc w:val="both"/>
        <w:rPr>
          <w:rFonts w:ascii="Times New Roman" w:eastAsia="Times New Roman" w:hAnsi="Times New Roman" w:cs="Times New Roman"/>
          <w:color w:val="222222"/>
          <w:sz w:val="24"/>
          <w:szCs w:val="24"/>
          <w:highlight w:val="white"/>
        </w:rPr>
      </w:pPr>
    </w:p>
    <w:p w14:paraId="5BAC5D8F" w14:textId="77777777" w:rsidR="000778A7" w:rsidRDefault="000778A7">
      <w:pPr>
        <w:spacing w:line="360" w:lineRule="auto"/>
        <w:jc w:val="both"/>
        <w:rPr>
          <w:rFonts w:ascii="Times New Roman" w:eastAsia="Times New Roman" w:hAnsi="Times New Roman" w:cs="Times New Roman"/>
          <w:color w:val="222222"/>
          <w:sz w:val="24"/>
          <w:szCs w:val="24"/>
          <w:highlight w:val="white"/>
        </w:rPr>
      </w:pPr>
    </w:p>
    <w:p w14:paraId="57CF694E" w14:textId="7223E35C" w:rsidR="00AE1657" w:rsidRDefault="00AE1657" w:rsidP="00AE1657">
      <w:pPr>
        <w:spacing w:line="360" w:lineRule="auto"/>
        <w:jc w:val="both"/>
        <w:rPr>
          <w:rFonts w:ascii="Times New Roman" w:eastAsia="Times New Roman" w:hAnsi="Times New Roman" w:cs="Times New Roman"/>
          <w:b/>
          <w:color w:val="222222"/>
          <w:sz w:val="28"/>
          <w:szCs w:val="28"/>
          <w:highlight w:val="white"/>
        </w:rPr>
      </w:pPr>
    </w:p>
    <w:p w14:paraId="4B07BDEF" w14:textId="65D62C8B" w:rsidR="00AE1657" w:rsidRDefault="00000000" w:rsidP="00AE1657">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Reference list</w:t>
      </w:r>
    </w:p>
    <w:p w14:paraId="01A70B2B" w14:textId="77777777" w:rsidR="00503D89" w:rsidRDefault="00503D89" w:rsidP="00503D89">
      <w:pPr>
        <w:pStyle w:val="NormalWeb"/>
        <w:spacing w:before="0" w:beforeAutospacing="0" w:after="240" w:afterAutospacing="0" w:line="360" w:lineRule="auto"/>
        <w:rPr>
          <w:rFonts w:ascii="Arial" w:hAnsi="Arial" w:cs="Arial"/>
        </w:rPr>
      </w:pPr>
      <w:r>
        <w:rPr>
          <w:rFonts w:ascii="Arial" w:hAnsi="Arial" w:cs="Arial"/>
        </w:rPr>
        <w:t xml:space="preserve">Amazonaws.com. (2022). </w:t>
      </w:r>
      <w:r>
        <w:rPr>
          <w:rFonts w:ascii="Arial" w:hAnsi="Arial" w:cs="Arial"/>
          <w:i/>
          <w:iCs/>
        </w:rPr>
        <w:t>Financial Plan of Barber shop</w:t>
      </w:r>
      <w:r>
        <w:rPr>
          <w:rFonts w:ascii="Arial" w:hAnsi="Arial" w:cs="Arial"/>
        </w:rPr>
        <w:t>. [online] Available at: https://pas-bplans.s3.amazonaws.com/sample-plans/bplans/mens_salon_business_plan/images/224a07c8c7f54ca181c1ddb126d4e424.png [Accessed 14 Dec. 2022].</w:t>
      </w:r>
    </w:p>
    <w:p w14:paraId="0064290C" w14:textId="77777777" w:rsidR="00503D89" w:rsidRDefault="00503D89" w:rsidP="00503D89">
      <w:pPr>
        <w:spacing w:before="240" w:after="240" w:line="360" w:lineRule="auto"/>
        <w:rPr>
          <w:szCs w:val="24"/>
          <w:highlight w:val="white"/>
        </w:rPr>
      </w:pPr>
      <w:r>
        <w:rPr>
          <w:szCs w:val="24"/>
          <w:highlight w:val="white"/>
        </w:rPr>
        <w:t>Bailey, C., Lips</w:t>
      </w:r>
      <w:r>
        <w:rPr>
          <w:rFonts w:ascii="Cambria Math" w:eastAsia="Times New Roman" w:hAnsi="Cambria Math" w:cs="Cambria Math"/>
          <w:szCs w:val="24"/>
          <w:highlight w:val="white"/>
        </w:rPr>
        <w:t>‐</w:t>
      </w:r>
      <w:r>
        <w:rPr>
          <w:szCs w:val="24"/>
          <w:highlight w:val="white"/>
        </w:rPr>
        <w:t xml:space="preserve">Wiersma, M., Madden, A., Yeoman, R., Thompson, M. and </w:t>
      </w:r>
      <w:proofErr w:type="spellStart"/>
      <w:r>
        <w:rPr>
          <w:szCs w:val="24"/>
          <w:highlight w:val="white"/>
        </w:rPr>
        <w:t>Chalofsky</w:t>
      </w:r>
      <w:proofErr w:type="spellEnd"/>
      <w:r>
        <w:rPr>
          <w:szCs w:val="24"/>
          <w:highlight w:val="white"/>
        </w:rPr>
        <w:t xml:space="preserve">, N., 2019. The five paradoxes of meaningful work: Introduction to the special issue 'meaningful work: Prospects for the 21st century. </w:t>
      </w:r>
      <w:r>
        <w:rPr>
          <w:i/>
          <w:szCs w:val="24"/>
          <w:highlight w:val="white"/>
        </w:rPr>
        <w:t>Journal of Management Studies</w:t>
      </w:r>
      <w:r>
        <w:rPr>
          <w:szCs w:val="24"/>
          <w:highlight w:val="white"/>
        </w:rPr>
        <w:t xml:space="preserve">, </w:t>
      </w:r>
      <w:r>
        <w:rPr>
          <w:i/>
          <w:szCs w:val="24"/>
          <w:highlight w:val="white"/>
        </w:rPr>
        <w:t>56</w:t>
      </w:r>
      <w:r>
        <w:rPr>
          <w:szCs w:val="24"/>
          <w:highlight w:val="white"/>
        </w:rPr>
        <w:t>(3), pp.481-499.</w:t>
      </w:r>
    </w:p>
    <w:p w14:paraId="1D875C39" w14:textId="77777777" w:rsidR="00503D89" w:rsidRDefault="00503D89" w:rsidP="00503D89">
      <w:pPr>
        <w:spacing w:before="240" w:after="240" w:line="360" w:lineRule="auto"/>
        <w:rPr>
          <w:szCs w:val="24"/>
          <w:highlight w:val="white"/>
        </w:rPr>
      </w:pPr>
      <w:proofErr w:type="spellStart"/>
      <w:r>
        <w:rPr>
          <w:szCs w:val="24"/>
          <w:highlight w:val="white"/>
        </w:rPr>
        <w:t>Boustras</w:t>
      </w:r>
      <w:proofErr w:type="spellEnd"/>
      <w:r>
        <w:rPr>
          <w:szCs w:val="24"/>
          <w:highlight w:val="white"/>
        </w:rPr>
        <w:t xml:space="preserve">, G. and Waring, A., 2020. Towards a reconceptualization of safety and security, their interactions, and policy requirements in a 21st-century context. </w:t>
      </w:r>
      <w:r>
        <w:rPr>
          <w:i/>
          <w:szCs w:val="24"/>
          <w:highlight w:val="white"/>
        </w:rPr>
        <w:t>Safety Science</w:t>
      </w:r>
      <w:r>
        <w:rPr>
          <w:szCs w:val="24"/>
          <w:highlight w:val="white"/>
        </w:rPr>
        <w:t xml:space="preserve">, </w:t>
      </w:r>
      <w:r>
        <w:rPr>
          <w:i/>
          <w:szCs w:val="24"/>
          <w:highlight w:val="white"/>
        </w:rPr>
        <w:t>132</w:t>
      </w:r>
      <w:r>
        <w:rPr>
          <w:szCs w:val="24"/>
          <w:highlight w:val="white"/>
        </w:rPr>
        <w:t>, p.104942.</w:t>
      </w:r>
    </w:p>
    <w:p w14:paraId="6CE9B1C9" w14:textId="77777777" w:rsidR="00503D89" w:rsidRDefault="00503D89" w:rsidP="00503D89">
      <w:pPr>
        <w:spacing w:before="240" w:after="240" w:line="360" w:lineRule="auto"/>
        <w:rPr>
          <w:szCs w:val="24"/>
          <w:highlight w:val="white"/>
        </w:rPr>
      </w:pPr>
      <w:proofErr w:type="spellStart"/>
      <w:r>
        <w:rPr>
          <w:szCs w:val="24"/>
          <w:highlight w:val="white"/>
        </w:rPr>
        <w:t>Bulturbayevich</w:t>
      </w:r>
      <w:proofErr w:type="spellEnd"/>
      <w:r>
        <w:rPr>
          <w:szCs w:val="24"/>
          <w:highlight w:val="white"/>
        </w:rPr>
        <w:t xml:space="preserve">, M.B. and </w:t>
      </w:r>
      <w:proofErr w:type="spellStart"/>
      <w:r>
        <w:rPr>
          <w:szCs w:val="24"/>
          <w:highlight w:val="white"/>
        </w:rPr>
        <w:t>Abduvafoyevna</w:t>
      </w:r>
      <w:proofErr w:type="spellEnd"/>
      <w:r>
        <w:rPr>
          <w:szCs w:val="24"/>
          <w:highlight w:val="white"/>
        </w:rPr>
        <w:t xml:space="preserve">, M.M., 2022. Development of Methodology for Managing the Activities of Vertically Integrated Industrial Enterprises. </w:t>
      </w:r>
      <w:r>
        <w:rPr>
          <w:i/>
          <w:szCs w:val="24"/>
          <w:highlight w:val="white"/>
        </w:rPr>
        <w:t>INTERNATIONAL JOURNAL OF RESEARCH IN COMMERCE, IT, ENGINEERING AND SOCIAL SCIENCES ISSN: 2349-7793 Impact Factor: 6.876</w:t>
      </w:r>
      <w:r>
        <w:rPr>
          <w:szCs w:val="24"/>
          <w:highlight w:val="white"/>
        </w:rPr>
        <w:t xml:space="preserve">, </w:t>
      </w:r>
      <w:r>
        <w:rPr>
          <w:i/>
          <w:szCs w:val="24"/>
          <w:highlight w:val="white"/>
        </w:rPr>
        <w:t>16</w:t>
      </w:r>
      <w:r>
        <w:rPr>
          <w:szCs w:val="24"/>
          <w:highlight w:val="white"/>
        </w:rPr>
        <w:t>(06), pp.95-105.</w:t>
      </w:r>
    </w:p>
    <w:p w14:paraId="5C564D80" w14:textId="77777777" w:rsidR="00503D89" w:rsidRDefault="00503D89" w:rsidP="00503D89">
      <w:pPr>
        <w:spacing w:before="240" w:after="240" w:line="360" w:lineRule="auto"/>
        <w:rPr>
          <w:szCs w:val="24"/>
          <w:highlight w:val="white"/>
        </w:rPr>
      </w:pPr>
      <w:r>
        <w:rPr>
          <w:szCs w:val="24"/>
          <w:highlight w:val="white"/>
        </w:rPr>
        <w:t xml:space="preserve">Chang, H.J. and </w:t>
      </w:r>
      <w:proofErr w:type="spellStart"/>
      <w:r>
        <w:rPr>
          <w:szCs w:val="24"/>
          <w:highlight w:val="white"/>
        </w:rPr>
        <w:t>Andreoni</w:t>
      </w:r>
      <w:proofErr w:type="spellEnd"/>
      <w:r>
        <w:rPr>
          <w:szCs w:val="24"/>
          <w:highlight w:val="white"/>
        </w:rPr>
        <w:t xml:space="preserve">, A., 2020. Industrial policy in the 21st century. </w:t>
      </w:r>
      <w:r>
        <w:rPr>
          <w:i/>
          <w:szCs w:val="24"/>
          <w:highlight w:val="white"/>
        </w:rPr>
        <w:t>Development and Change</w:t>
      </w:r>
      <w:r>
        <w:rPr>
          <w:szCs w:val="24"/>
          <w:highlight w:val="white"/>
        </w:rPr>
        <w:t xml:space="preserve">, </w:t>
      </w:r>
      <w:r>
        <w:rPr>
          <w:i/>
          <w:szCs w:val="24"/>
          <w:highlight w:val="white"/>
        </w:rPr>
        <w:t>51</w:t>
      </w:r>
      <w:r>
        <w:rPr>
          <w:szCs w:val="24"/>
          <w:highlight w:val="white"/>
        </w:rPr>
        <w:t>(2), pp.324-351.</w:t>
      </w:r>
    </w:p>
    <w:p w14:paraId="75E80D79" w14:textId="77777777" w:rsidR="00503D89" w:rsidRDefault="00503D89" w:rsidP="00503D89">
      <w:pPr>
        <w:spacing w:before="240" w:after="240" w:line="360" w:lineRule="auto"/>
        <w:rPr>
          <w:szCs w:val="24"/>
          <w:highlight w:val="white"/>
        </w:rPr>
      </w:pPr>
      <w:proofErr w:type="spellStart"/>
      <w:r>
        <w:rPr>
          <w:szCs w:val="24"/>
          <w:highlight w:val="white"/>
        </w:rPr>
        <w:t>Dahal</w:t>
      </w:r>
      <w:proofErr w:type="spellEnd"/>
      <w:r>
        <w:rPr>
          <w:szCs w:val="24"/>
          <w:highlight w:val="white"/>
        </w:rPr>
        <w:t xml:space="preserve">, R.K., 2019. Changing role of management accounting in 21st Century. </w:t>
      </w:r>
      <w:r>
        <w:rPr>
          <w:i/>
          <w:szCs w:val="24"/>
          <w:highlight w:val="white"/>
        </w:rPr>
        <w:t>Review of Public Administration and Management</w:t>
      </w:r>
      <w:r>
        <w:rPr>
          <w:szCs w:val="24"/>
          <w:highlight w:val="white"/>
        </w:rPr>
        <w:t xml:space="preserve">, </w:t>
      </w:r>
      <w:r>
        <w:rPr>
          <w:i/>
          <w:szCs w:val="24"/>
          <w:highlight w:val="white"/>
        </w:rPr>
        <w:t>7</w:t>
      </w:r>
      <w:r>
        <w:rPr>
          <w:szCs w:val="24"/>
          <w:highlight w:val="white"/>
        </w:rPr>
        <w:t>(3), pp.1-8.</w:t>
      </w:r>
    </w:p>
    <w:p w14:paraId="6259E353" w14:textId="77777777" w:rsidR="00503D89" w:rsidRDefault="00503D89" w:rsidP="00503D89">
      <w:pPr>
        <w:spacing w:before="240" w:after="240" w:line="360" w:lineRule="auto"/>
        <w:rPr>
          <w:szCs w:val="24"/>
          <w:highlight w:val="white"/>
        </w:rPr>
      </w:pPr>
      <w:r>
        <w:rPr>
          <w:szCs w:val="24"/>
          <w:highlight w:val="white"/>
        </w:rPr>
        <w:t xml:space="preserve">de </w:t>
      </w:r>
      <w:proofErr w:type="spellStart"/>
      <w:r>
        <w:rPr>
          <w:szCs w:val="24"/>
          <w:highlight w:val="white"/>
        </w:rPr>
        <w:t>Jonge</w:t>
      </w:r>
      <w:proofErr w:type="spellEnd"/>
      <w:r>
        <w:rPr>
          <w:szCs w:val="24"/>
          <w:highlight w:val="white"/>
        </w:rPr>
        <w:t xml:space="preserve">, A., 2018. Corporate social responsibility through a feminist lens: Domestic violence and the workplace in the 21st century. </w:t>
      </w:r>
      <w:r>
        <w:rPr>
          <w:i/>
          <w:szCs w:val="24"/>
          <w:highlight w:val="white"/>
        </w:rPr>
        <w:t>Journal of Business Ethics</w:t>
      </w:r>
      <w:r>
        <w:rPr>
          <w:szCs w:val="24"/>
          <w:highlight w:val="white"/>
        </w:rPr>
        <w:t xml:space="preserve">, </w:t>
      </w:r>
      <w:r>
        <w:rPr>
          <w:i/>
          <w:szCs w:val="24"/>
          <w:highlight w:val="white"/>
        </w:rPr>
        <w:t>148</w:t>
      </w:r>
      <w:r>
        <w:rPr>
          <w:szCs w:val="24"/>
          <w:highlight w:val="white"/>
        </w:rPr>
        <w:t>(3), pp.471-487.</w:t>
      </w:r>
    </w:p>
    <w:p w14:paraId="2D72D779" w14:textId="77777777" w:rsidR="00503D89" w:rsidRDefault="00503D89" w:rsidP="00503D89">
      <w:pPr>
        <w:spacing w:before="240" w:after="240" w:line="360" w:lineRule="auto"/>
        <w:rPr>
          <w:szCs w:val="24"/>
          <w:highlight w:val="white"/>
        </w:rPr>
      </w:pPr>
      <w:proofErr w:type="spellStart"/>
      <w:r>
        <w:rPr>
          <w:szCs w:val="24"/>
          <w:highlight w:val="white"/>
        </w:rPr>
        <w:t>Gódány</w:t>
      </w:r>
      <w:proofErr w:type="spellEnd"/>
      <w:r>
        <w:rPr>
          <w:szCs w:val="24"/>
          <w:highlight w:val="white"/>
        </w:rPr>
        <w:t xml:space="preserve">, Z., </w:t>
      </w:r>
      <w:proofErr w:type="spellStart"/>
      <w:r>
        <w:rPr>
          <w:szCs w:val="24"/>
          <w:highlight w:val="white"/>
        </w:rPr>
        <w:t>Machová</w:t>
      </w:r>
      <w:proofErr w:type="spellEnd"/>
      <w:r>
        <w:rPr>
          <w:szCs w:val="24"/>
          <w:highlight w:val="white"/>
        </w:rPr>
        <w:t xml:space="preserve">, R., Mura, L. and </w:t>
      </w:r>
      <w:proofErr w:type="spellStart"/>
      <w:r>
        <w:rPr>
          <w:szCs w:val="24"/>
          <w:highlight w:val="white"/>
        </w:rPr>
        <w:t>Zsigmond</w:t>
      </w:r>
      <w:proofErr w:type="spellEnd"/>
      <w:r>
        <w:rPr>
          <w:szCs w:val="24"/>
          <w:highlight w:val="white"/>
        </w:rPr>
        <w:t xml:space="preserve">, T., 2021. Entrepreneurship motivation in the 21st century in terms of pull and push factors. </w:t>
      </w:r>
      <w:r>
        <w:rPr>
          <w:i/>
          <w:szCs w:val="24"/>
          <w:highlight w:val="white"/>
        </w:rPr>
        <w:t>TEM J</w:t>
      </w:r>
      <w:r>
        <w:rPr>
          <w:szCs w:val="24"/>
          <w:highlight w:val="white"/>
        </w:rPr>
        <w:t xml:space="preserve">, </w:t>
      </w:r>
      <w:r>
        <w:rPr>
          <w:i/>
          <w:szCs w:val="24"/>
          <w:highlight w:val="white"/>
        </w:rPr>
        <w:t>10</w:t>
      </w:r>
      <w:r>
        <w:rPr>
          <w:szCs w:val="24"/>
          <w:highlight w:val="white"/>
        </w:rPr>
        <w:t>, pp.334-342.</w:t>
      </w:r>
    </w:p>
    <w:p w14:paraId="29C0FB26" w14:textId="77777777" w:rsidR="00503D89" w:rsidRDefault="00503D89" w:rsidP="00503D89">
      <w:pPr>
        <w:spacing w:before="240" w:after="240" w:line="360" w:lineRule="auto"/>
        <w:rPr>
          <w:szCs w:val="24"/>
          <w:highlight w:val="white"/>
        </w:rPr>
      </w:pPr>
      <w:r>
        <w:rPr>
          <w:szCs w:val="24"/>
          <w:highlight w:val="white"/>
        </w:rPr>
        <w:t xml:space="preserve">Gunasekaran, A., Subramanian, N. and Ngai, W.T.E., 2019. Quality management in the 21st century enterprises: Research pathway towards Industry 4.0. </w:t>
      </w:r>
      <w:r>
        <w:rPr>
          <w:i/>
          <w:szCs w:val="24"/>
          <w:highlight w:val="white"/>
        </w:rPr>
        <w:t>International journal of production economics</w:t>
      </w:r>
      <w:r>
        <w:rPr>
          <w:szCs w:val="24"/>
          <w:highlight w:val="white"/>
        </w:rPr>
        <w:t xml:space="preserve">, </w:t>
      </w:r>
      <w:r>
        <w:rPr>
          <w:i/>
          <w:szCs w:val="24"/>
          <w:highlight w:val="white"/>
        </w:rPr>
        <w:t>207</w:t>
      </w:r>
      <w:r>
        <w:rPr>
          <w:szCs w:val="24"/>
          <w:highlight w:val="white"/>
        </w:rPr>
        <w:t>, pp.125-129.</w:t>
      </w:r>
    </w:p>
    <w:p w14:paraId="6B6FB180" w14:textId="77777777" w:rsidR="00503D89" w:rsidRDefault="00503D89" w:rsidP="00503D89">
      <w:pPr>
        <w:spacing w:before="240" w:after="240" w:line="360" w:lineRule="auto"/>
        <w:rPr>
          <w:szCs w:val="24"/>
          <w:highlight w:val="white"/>
        </w:rPr>
      </w:pPr>
      <w:r>
        <w:rPr>
          <w:szCs w:val="24"/>
          <w:highlight w:val="white"/>
        </w:rPr>
        <w:lastRenderedPageBreak/>
        <w:t xml:space="preserve">Hassan, M., </w:t>
      </w:r>
      <w:proofErr w:type="spellStart"/>
      <w:r>
        <w:rPr>
          <w:szCs w:val="24"/>
          <w:highlight w:val="white"/>
        </w:rPr>
        <w:t>Jambulingam</w:t>
      </w:r>
      <w:proofErr w:type="spellEnd"/>
      <w:r>
        <w:rPr>
          <w:szCs w:val="24"/>
          <w:highlight w:val="white"/>
        </w:rPr>
        <w:t xml:space="preserve">, M., </w:t>
      </w:r>
      <w:proofErr w:type="spellStart"/>
      <w:r>
        <w:rPr>
          <w:szCs w:val="24"/>
          <w:highlight w:val="white"/>
        </w:rPr>
        <w:t>Alam</w:t>
      </w:r>
      <w:proofErr w:type="spellEnd"/>
      <w:r>
        <w:rPr>
          <w:szCs w:val="24"/>
          <w:highlight w:val="white"/>
        </w:rPr>
        <w:t xml:space="preserve">, M.N. and Islam, S., 2019. Redesigning the retention strategy against the emerging turnover of Generation Y: Revisiting the long-standing problems from 20Th to 21St century. </w:t>
      </w:r>
      <w:r>
        <w:rPr>
          <w:i/>
          <w:szCs w:val="24"/>
          <w:highlight w:val="white"/>
        </w:rPr>
        <w:t>International Journal of Entrepreneurship</w:t>
      </w:r>
      <w:r>
        <w:rPr>
          <w:szCs w:val="24"/>
          <w:highlight w:val="white"/>
        </w:rPr>
        <w:t xml:space="preserve">, </w:t>
      </w:r>
      <w:r>
        <w:rPr>
          <w:i/>
          <w:szCs w:val="24"/>
          <w:highlight w:val="white"/>
        </w:rPr>
        <w:t>23</w:t>
      </w:r>
      <w:r>
        <w:rPr>
          <w:szCs w:val="24"/>
          <w:highlight w:val="white"/>
        </w:rPr>
        <w:t>(2), pp.1-16.</w:t>
      </w:r>
    </w:p>
    <w:p w14:paraId="36F96D64" w14:textId="77777777" w:rsidR="00503D89" w:rsidRDefault="00503D89" w:rsidP="00503D89">
      <w:pPr>
        <w:spacing w:before="240" w:after="240" w:line="360" w:lineRule="auto"/>
        <w:rPr>
          <w:szCs w:val="24"/>
          <w:highlight w:val="white"/>
        </w:rPr>
      </w:pPr>
      <w:r>
        <w:rPr>
          <w:szCs w:val="24"/>
          <w:highlight w:val="white"/>
        </w:rPr>
        <w:t xml:space="preserve">Henderson, R., 2021. Innovation in the 21st century: architectural change, purpose, and the challenges of our time. </w:t>
      </w:r>
      <w:r>
        <w:rPr>
          <w:i/>
          <w:szCs w:val="24"/>
          <w:highlight w:val="white"/>
        </w:rPr>
        <w:t>Management Science</w:t>
      </w:r>
      <w:r>
        <w:rPr>
          <w:szCs w:val="24"/>
          <w:highlight w:val="white"/>
        </w:rPr>
        <w:t xml:space="preserve">, </w:t>
      </w:r>
      <w:r>
        <w:rPr>
          <w:i/>
          <w:szCs w:val="24"/>
          <w:highlight w:val="white"/>
        </w:rPr>
        <w:t>67</w:t>
      </w:r>
      <w:r>
        <w:rPr>
          <w:szCs w:val="24"/>
          <w:highlight w:val="white"/>
        </w:rPr>
        <w:t>(9), pp.5479-5488.</w:t>
      </w:r>
    </w:p>
    <w:p w14:paraId="19E672C4" w14:textId="77777777" w:rsidR="00503D89" w:rsidRDefault="00503D89" w:rsidP="00503D89">
      <w:pPr>
        <w:spacing w:before="240" w:after="240" w:line="360" w:lineRule="auto"/>
        <w:rPr>
          <w:szCs w:val="24"/>
          <w:highlight w:val="white"/>
        </w:rPr>
      </w:pPr>
      <w:r>
        <w:rPr>
          <w:szCs w:val="24"/>
          <w:highlight w:val="white"/>
        </w:rPr>
        <w:t xml:space="preserve">Howard, T.L., </w:t>
      </w:r>
      <w:proofErr w:type="spellStart"/>
      <w:r>
        <w:rPr>
          <w:szCs w:val="24"/>
          <w:highlight w:val="white"/>
        </w:rPr>
        <w:t>Ulferts</w:t>
      </w:r>
      <w:proofErr w:type="spellEnd"/>
      <w:r>
        <w:rPr>
          <w:szCs w:val="24"/>
          <w:highlight w:val="white"/>
        </w:rPr>
        <w:t xml:space="preserve">, G.W. and Hannon, J., 2019. Leadership styles of small business owners: Linking theory to application. </w:t>
      </w:r>
      <w:r>
        <w:rPr>
          <w:i/>
          <w:szCs w:val="24"/>
          <w:highlight w:val="white"/>
        </w:rPr>
        <w:t>Journal of Leadership, Accountability and Ethics</w:t>
      </w:r>
      <w:r>
        <w:rPr>
          <w:szCs w:val="24"/>
          <w:highlight w:val="white"/>
        </w:rPr>
        <w:t xml:space="preserve">, </w:t>
      </w:r>
      <w:r>
        <w:rPr>
          <w:i/>
          <w:szCs w:val="24"/>
          <w:highlight w:val="white"/>
        </w:rPr>
        <w:t>16</w:t>
      </w:r>
      <w:r>
        <w:rPr>
          <w:szCs w:val="24"/>
          <w:highlight w:val="white"/>
        </w:rPr>
        <w:t>(2), pp.47-55.</w:t>
      </w:r>
    </w:p>
    <w:p w14:paraId="38CD9016" w14:textId="77777777" w:rsidR="00503D89" w:rsidRDefault="00503D89" w:rsidP="00503D89">
      <w:pPr>
        <w:spacing w:before="240" w:after="240" w:line="360" w:lineRule="auto"/>
        <w:rPr>
          <w:szCs w:val="24"/>
          <w:highlight w:val="white"/>
        </w:rPr>
      </w:pPr>
      <w:r>
        <w:rPr>
          <w:szCs w:val="24"/>
          <w:highlight w:val="white"/>
        </w:rPr>
        <w:t xml:space="preserve">Huang, Y., </w:t>
      </w:r>
      <w:proofErr w:type="spellStart"/>
      <w:r>
        <w:rPr>
          <w:szCs w:val="24"/>
          <w:highlight w:val="white"/>
        </w:rPr>
        <w:t>Aimin</w:t>
      </w:r>
      <w:proofErr w:type="spellEnd"/>
      <w:r>
        <w:rPr>
          <w:szCs w:val="24"/>
          <w:highlight w:val="white"/>
        </w:rPr>
        <w:t xml:space="preserve">, Y.A.N. and Smith, R., 2019. Methodology for the development of knowledge management on organizational performance based on employees’ professional competence. </w:t>
      </w:r>
      <w:proofErr w:type="spellStart"/>
      <w:r>
        <w:rPr>
          <w:i/>
          <w:szCs w:val="24"/>
          <w:highlight w:val="white"/>
        </w:rPr>
        <w:t>Revista</w:t>
      </w:r>
      <w:proofErr w:type="spellEnd"/>
      <w:r>
        <w:rPr>
          <w:i/>
          <w:szCs w:val="24"/>
          <w:highlight w:val="white"/>
        </w:rPr>
        <w:t xml:space="preserve"> de </w:t>
      </w:r>
      <w:proofErr w:type="spellStart"/>
      <w:r>
        <w:rPr>
          <w:i/>
          <w:szCs w:val="24"/>
          <w:highlight w:val="white"/>
        </w:rPr>
        <w:t>Cercetare</w:t>
      </w:r>
      <w:proofErr w:type="spellEnd"/>
      <w:r>
        <w:rPr>
          <w:i/>
          <w:szCs w:val="24"/>
          <w:highlight w:val="white"/>
        </w:rPr>
        <w:t xml:space="preserve"> Si </w:t>
      </w:r>
      <w:proofErr w:type="spellStart"/>
      <w:r>
        <w:rPr>
          <w:i/>
          <w:szCs w:val="24"/>
          <w:highlight w:val="white"/>
        </w:rPr>
        <w:t>Interventie</w:t>
      </w:r>
      <w:proofErr w:type="spellEnd"/>
      <w:r>
        <w:rPr>
          <w:i/>
          <w:szCs w:val="24"/>
          <w:highlight w:val="white"/>
        </w:rPr>
        <w:t xml:space="preserve"> </w:t>
      </w:r>
      <w:proofErr w:type="spellStart"/>
      <w:r>
        <w:rPr>
          <w:i/>
          <w:szCs w:val="24"/>
          <w:highlight w:val="white"/>
        </w:rPr>
        <w:t>Sociala</w:t>
      </w:r>
      <w:proofErr w:type="spellEnd"/>
      <w:r>
        <w:rPr>
          <w:szCs w:val="24"/>
          <w:highlight w:val="white"/>
        </w:rPr>
        <w:t xml:space="preserve">, </w:t>
      </w:r>
      <w:r>
        <w:rPr>
          <w:i/>
          <w:szCs w:val="24"/>
          <w:highlight w:val="white"/>
        </w:rPr>
        <w:t>64</w:t>
      </w:r>
      <w:r>
        <w:rPr>
          <w:szCs w:val="24"/>
          <w:highlight w:val="white"/>
        </w:rPr>
        <w:t>, pp.85-96.</w:t>
      </w:r>
    </w:p>
    <w:p w14:paraId="411D6F63" w14:textId="77777777" w:rsidR="00503D89" w:rsidRDefault="00503D89" w:rsidP="00503D89">
      <w:pPr>
        <w:spacing w:before="240" w:after="240" w:line="360" w:lineRule="auto"/>
        <w:rPr>
          <w:szCs w:val="24"/>
          <w:highlight w:val="white"/>
        </w:rPr>
      </w:pPr>
      <w:proofErr w:type="spellStart"/>
      <w:r>
        <w:rPr>
          <w:szCs w:val="24"/>
          <w:highlight w:val="white"/>
        </w:rPr>
        <w:t>Jabbour</w:t>
      </w:r>
      <w:proofErr w:type="spellEnd"/>
      <w:r>
        <w:rPr>
          <w:szCs w:val="24"/>
          <w:highlight w:val="white"/>
        </w:rPr>
        <w:t xml:space="preserve">, C.J.C. and Renwick, D., 2020. Organizations as catalysts of sustainable development: greening the workforce for responsible management in the 21st century. </w:t>
      </w:r>
      <w:r>
        <w:rPr>
          <w:i/>
          <w:szCs w:val="24"/>
          <w:highlight w:val="white"/>
        </w:rPr>
        <w:t>International Journal of Manpower</w:t>
      </w:r>
      <w:r>
        <w:rPr>
          <w:szCs w:val="24"/>
          <w:highlight w:val="white"/>
        </w:rPr>
        <w:t xml:space="preserve">, </w:t>
      </w:r>
      <w:r>
        <w:rPr>
          <w:i/>
          <w:szCs w:val="24"/>
          <w:highlight w:val="white"/>
        </w:rPr>
        <w:t>41</w:t>
      </w:r>
      <w:r>
        <w:rPr>
          <w:szCs w:val="24"/>
          <w:highlight w:val="white"/>
        </w:rPr>
        <w:t>, pp.833-844.</w:t>
      </w:r>
    </w:p>
    <w:p w14:paraId="2147092D" w14:textId="77777777" w:rsidR="00503D89" w:rsidRDefault="00503D89" w:rsidP="00503D89">
      <w:pPr>
        <w:spacing w:before="240" w:after="240" w:line="360" w:lineRule="auto"/>
        <w:rPr>
          <w:szCs w:val="24"/>
          <w:highlight w:val="white"/>
        </w:rPr>
      </w:pPr>
      <w:proofErr w:type="spellStart"/>
      <w:r>
        <w:rPr>
          <w:szCs w:val="24"/>
          <w:highlight w:val="white"/>
        </w:rPr>
        <w:t>Jabbour</w:t>
      </w:r>
      <w:proofErr w:type="spellEnd"/>
      <w:r>
        <w:rPr>
          <w:szCs w:val="24"/>
          <w:highlight w:val="white"/>
        </w:rPr>
        <w:t xml:space="preserve">, C.J.C., </w:t>
      </w:r>
      <w:proofErr w:type="spellStart"/>
      <w:r>
        <w:rPr>
          <w:szCs w:val="24"/>
          <w:highlight w:val="white"/>
        </w:rPr>
        <w:t>Fiorini</w:t>
      </w:r>
      <w:proofErr w:type="spellEnd"/>
      <w:r>
        <w:rPr>
          <w:szCs w:val="24"/>
          <w:highlight w:val="white"/>
        </w:rPr>
        <w:t xml:space="preserve">, P.D.C., </w:t>
      </w:r>
      <w:proofErr w:type="spellStart"/>
      <w:r>
        <w:rPr>
          <w:szCs w:val="24"/>
          <w:highlight w:val="white"/>
        </w:rPr>
        <w:t>Ndubisi</w:t>
      </w:r>
      <w:proofErr w:type="spellEnd"/>
      <w:r>
        <w:rPr>
          <w:szCs w:val="24"/>
          <w:highlight w:val="white"/>
        </w:rPr>
        <w:t xml:space="preserve">, N.O., Queiroz, M.M. and </w:t>
      </w:r>
      <w:proofErr w:type="spellStart"/>
      <w:r>
        <w:rPr>
          <w:szCs w:val="24"/>
          <w:highlight w:val="white"/>
        </w:rPr>
        <w:t>Piato</w:t>
      </w:r>
      <w:proofErr w:type="spellEnd"/>
      <w:r>
        <w:rPr>
          <w:szCs w:val="24"/>
          <w:highlight w:val="white"/>
        </w:rPr>
        <w:t xml:space="preserve">, É.L., 2020. </w:t>
      </w:r>
      <w:proofErr w:type="gramStart"/>
      <w:r>
        <w:rPr>
          <w:szCs w:val="24"/>
          <w:highlight w:val="white"/>
        </w:rPr>
        <w:t>Digitally-enabled</w:t>
      </w:r>
      <w:proofErr w:type="gramEnd"/>
      <w:r>
        <w:rPr>
          <w:szCs w:val="24"/>
          <w:highlight w:val="white"/>
        </w:rPr>
        <w:t xml:space="preserve"> sustainable supply chains in the 21st century: A review and a research agenda. </w:t>
      </w:r>
      <w:r>
        <w:rPr>
          <w:i/>
          <w:szCs w:val="24"/>
          <w:highlight w:val="white"/>
        </w:rPr>
        <w:t>Science of the total environment</w:t>
      </w:r>
      <w:r>
        <w:rPr>
          <w:szCs w:val="24"/>
          <w:highlight w:val="white"/>
        </w:rPr>
        <w:t xml:space="preserve">, </w:t>
      </w:r>
      <w:r>
        <w:rPr>
          <w:i/>
          <w:szCs w:val="24"/>
          <w:highlight w:val="white"/>
        </w:rPr>
        <w:t>725</w:t>
      </w:r>
      <w:r>
        <w:rPr>
          <w:szCs w:val="24"/>
          <w:highlight w:val="white"/>
        </w:rPr>
        <w:t>, p.138177.</w:t>
      </w:r>
    </w:p>
    <w:p w14:paraId="3D37BF84" w14:textId="77777777" w:rsidR="00503D89" w:rsidRDefault="00503D89" w:rsidP="00503D89">
      <w:pPr>
        <w:spacing w:before="240" w:after="240" w:line="360" w:lineRule="auto"/>
        <w:rPr>
          <w:szCs w:val="24"/>
          <w:highlight w:val="white"/>
        </w:rPr>
      </w:pPr>
      <w:r>
        <w:rPr>
          <w:szCs w:val="24"/>
          <w:highlight w:val="white"/>
        </w:rPr>
        <w:t xml:space="preserve">Kroon, B. and Paauwe, J., 2022. HRM in 21st century small organizations: a midrange typology to describe, contrast and contextualize the phenomenon. </w:t>
      </w:r>
      <w:r>
        <w:rPr>
          <w:i/>
          <w:szCs w:val="24"/>
          <w:highlight w:val="white"/>
        </w:rPr>
        <w:t>The International Journal of Human Resource Management</w:t>
      </w:r>
      <w:r>
        <w:rPr>
          <w:szCs w:val="24"/>
          <w:highlight w:val="white"/>
        </w:rPr>
        <w:t xml:space="preserve">, </w:t>
      </w:r>
      <w:r>
        <w:rPr>
          <w:i/>
          <w:szCs w:val="24"/>
          <w:highlight w:val="white"/>
        </w:rPr>
        <w:t>33</w:t>
      </w:r>
      <w:r>
        <w:rPr>
          <w:szCs w:val="24"/>
          <w:highlight w:val="white"/>
        </w:rPr>
        <w:t>(16), pp.3224-3251.</w:t>
      </w:r>
    </w:p>
    <w:p w14:paraId="1EBAFF53" w14:textId="77777777" w:rsidR="00503D89" w:rsidRDefault="00503D89" w:rsidP="00503D89">
      <w:pPr>
        <w:spacing w:before="240" w:after="240" w:line="360" w:lineRule="auto"/>
        <w:rPr>
          <w:szCs w:val="24"/>
          <w:highlight w:val="white"/>
        </w:rPr>
      </w:pPr>
      <w:r>
        <w:rPr>
          <w:szCs w:val="24"/>
          <w:highlight w:val="white"/>
        </w:rPr>
        <w:t>Tien, N.H., 2019. Customization and Standardization of the Business Strategy of Foreign Enterprises in Vietnam–the McDonald’s Case and the Fast Food Sector</w:t>
      </w:r>
      <w:proofErr w:type="gramStart"/>
      <w:r>
        <w:rPr>
          <w:szCs w:val="24"/>
          <w:highlight w:val="white"/>
        </w:rPr>
        <w:t>.“</w:t>
      </w:r>
      <w:proofErr w:type="gramEnd"/>
      <w:r>
        <w:rPr>
          <w:szCs w:val="24"/>
          <w:highlight w:val="white"/>
        </w:rPr>
        <w:t xml:space="preserve">. </w:t>
      </w:r>
      <w:r>
        <w:rPr>
          <w:i/>
          <w:szCs w:val="24"/>
          <w:highlight w:val="white"/>
        </w:rPr>
        <w:t>International journal of research in marketing management and sales</w:t>
      </w:r>
      <w:r>
        <w:rPr>
          <w:szCs w:val="24"/>
          <w:highlight w:val="white"/>
        </w:rPr>
        <w:t xml:space="preserve">, </w:t>
      </w:r>
      <w:r>
        <w:rPr>
          <w:i/>
          <w:szCs w:val="24"/>
          <w:highlight w:val="white"/>
        </w:rPr>
        <w:t>1</w:t>
      </w:r>
      <w:r>
        <w:rPr>
          <w:szCs w:val="24"/>
          <w:highlight w:val="white"/>
        </w:rPr>
        <w:t>(2), pp.44-50.</w:t>
      </w:r>
    </w:p>
    <w:p w14:paraId="06E1DADD" w14:textId="77777777" w:rsidR="00503D89" w:rsidRDefault="00503D89" w:rsidP="00503D89">
      <w:pPr>
        <w:spacing w:before="240" w:after="240" w:line="360" w:lineRule="auto"/>
        <w:rPr>
          <w:szCs w:val="24"/>
          <w:highlight w:val="white"/>
        </w:rPr>
      </w:pPr>
      <w:r>
        <w:rPr>
          <w:szCs w:val="24"/>
          <w:highlight w:val="white"/>
        </w:rPr>
        <w:t xml:space="preserve">Tsvetkov, V.A., </w:t>
      </w:r>
      <w:proofErr w:type="spellStart"/>
      <w:r>
        <w:rPr>
          <w:szCs w:val="24"/>
          <w:highlight w:val="white"/>
        </w:rPr>
        <w:t>Gurinovich</w:t>
      </w:r>
      <w:proofErr w:type="spellEnd"/>
      <w:r>
        <w:rPr>
          <w:szCs w:val="24"/>
          <w:highlight w:val="white"/>
        </w:rPr>
        <w:t xml:space="preserve">, A.G., </w:t>
      </w:r>
      <w:proofErr w:type="spellStart"/>
      <w:r>
        <w:rPr>
          <w:szCs w:val="24"/>
          <w:highlight w:val="white"/>
        </w:rPr>
        <w:t>Afanasyev</w:t>
      </w:r>
      <w:proofErr w:type="spellEnd"/>
      <w:r>
        <w:rPr>
          <w:szCs w:val="24"/>
          <w:highlight w:val="white"/>
        </w:rPr>
        <w:t xml:space="preserve">, I.V., </w:t>
      </w:r>
      <w:proofErr w:type="spellStart"/>
      <w:r>
        <w:rPr>
          <w:szCs w:val="24"/>
          <w:highlight w:val="white"/>
        </w:rPr>
        <w:t>Anastasov</w:t>
      </w:r>
      <w:proofErr w:type="spellEnd"/>
      <w:r>
        <w:rPr>
          <w:szCs w:val="24"/>
          <w:highlight w:val="white"/>
        </w:rPr>
        <w:t xml:space="preserve">, M.S., </w:t>
      </w:r>
      <w:proofErr w:type="spellStart"/>
      <w:r>
        <w:rPr>
          <w:szCs w:val="24"/>
          <w:highlight w:val="white"/>
        </w:rPr>
        <w:t>Vrazhnova</w:t>
      </w:r>
      <w:proofErr w:type="spellEnd"/>
      <w:r>
        <w:rPr>
          <w:szCs w:val="24"/>
          <w:highlight w:val="white"/>
        </w:rPr>
        <w:t xml:space="preserve">, M.N. and </w:t>
      </w:r>
      <w:proofErr w:type="spellStart"/>
      <w:r>
        <w:rPr>
          <w:szCs w:val="24"/>
          <w:highlight w:val="white"/>
        </w:rPr>
        <w:t>Churin</w:t>
      </w:r>
      <w:proofErr w:type="spellEnd"/>
      <w:r>
        <w:rPr>
          <w:szCs w:val="24"/>
          <w:highlight w:val="white"/>
        </w:rPr>
        <w:t xml:space="preserve">, V.V., 2019. Effective management of a company's economic security: 21st century challenges. </w:t>
      </w:r>
      <w:r>
        <w:rPr>
          <w:i/>
          <w:szCs w:val="24"/>
          <w:highlight w:val="white"/>
        </w:rPr>
        <w:t>International Journal of Civil Engineering and Technology</w:t>
      </w:r>
      <w:r>
        <w:rPr>
          <w:szCs w:val="24"/>
          <w:highlight w:val="white"/>
        </w:rPr>
        <w:t xml:space="preserve">, </w:t>
      </w:r>
      <w:r>
        <w:rPr>
          <w:i/>
          <w:szCs w:val="24"/>
          <w:highlight w:val="white"/>
        </w:rPr>
        <w:t>10</w:t>
      </w:r>
      <w:r>
        <w:rPr>
          <w:szCs w:val="24"/>
          <w:highlight w:val="white"/>
        </w:rPr>
        <w:t>(2), p.1810.</w:t>
      </w:r>
    </w:p>
    <w:p w14:paraId="2195FD3F" w14:textId="77777777" w:rsidR="00503D89" w:rsidRDefault="00503D89" w:rsidP="00503D89">
      <w:pPr>
        <w:pStyle w:val="NormalWeb"/>
        <w:spacing w:before="0" w:beforeAutospacing="0" w:after="240" w:afterAutospacing="0" w:line="360" w:lineRule="auto"/>
        <w:rPr>
          <w:rFonts w:ascii="Arial" w:hAnsi="Arial" w:cs="Arial"/>
          <w:highlight w:val="white"/>
        </w:rPr>
      </w:pPr>
      <w:r>
        <w:rPr>
          <w:rFonts w:ascii="Arial" w:hAnsi="Arial" w:cs="Arial"/>
        </w:rPr>
        <w:t xml:space="preserve">Upmetrics.co. (2022). </w:t>
      </w:r>
      <w:r>
        <w:rPr>
          <w:rFonts w:ascii="Arial" w:hAnsi="Arial" w:cs="Arial"/>
          <w:i/>
          <w:iCs/>
        </w:rPr>
        <w:t>Barber shop Business plan</w:t>
      </w:r>
      <w:r>
        <w:rPr>
          <w:rFonts w:ascii="Arial" w:hAnsi="Arial" w:cs="Arial"/>
        </w:rPr>
        <w:t>. [online] Available at: https://static-web.upmetrics.co/wp-content/uploads/2022/07/barber-shop-business-plan.png [Accessed 14 Dec. 2022].</w:t>
      </w:r>
    </w:p>
    <w:p w14:paraId="12210CC4" w14:textId="77777777" w:rsidR="00503D89" w:rsidRDefault="00503D89" w:rsidP="00503D89">
      <w:pPr>
        <w:spacing w:before="240" w:after="240" w:line="360" w:lineRule="auto"/>
        <w:rPr>
          <w:szCs w:val="24"/>
          <w:highlight w:val="white"/>
        </w:rPr>
      </w:pPr>
      <w:proofErr w:type="spellStart"/>
      <w:r>
        <w:rPr>
          <w:szCs w:val="24"/>
          <w:highlight w:val="white"/>
        </w:rPr>
        <w:lastRenderedPageBreak/>
        <w:t>Vanclay</w:t>
      </w:r>
      <w:proofErr w:type="spellEnd"/>
      <w:r>
        <w:rPr>
          <w:szCs w:val="24"/>
          <w:highlight w:val="white"/>
        </w:rPr>
        <w:t xml:space="preserve">, F., 2020. Reflections on Social Impact Assessment in the 21st century. </w:t>
      </w:r>
      <w:r>
        <w:rPr>
          <w:i/>
          <w:szCs w:val="24"/>
          <w:highlight w:val="white"/>
        </w:rPr>
        <w:t>Impact Assessment and Project Appraisal</w:t>
      </w:r>
      <w:r>
        <w:rPr>
          <w:szCs w:val="24"/>
          <w:highlight w:val="white"/>
        </w:rPr>
        <w:t xml:space="preserve">, </w:t>
      </w:r>
      <w:r>
        <w:rPr>
          <w:i/>
          <w:szCs w:val="24"/>
          <w:highlight w:val="white"/>
        </w:rPr>
        <w:t>38</w:t>
      </w:r>
      <w:r>
        <w:rPr>
          <w:szCs w:val="24"/>
          <w:highlight w:val="white"/>
        </w:rPr>
        <w:t>(2), pp.126-131.</w:t>
      </w:r>
    </w:p>
    <w:p w14:paraId="6477AE87" w14:textId="77777777" w:rsidR="00503D89" w:rsidRDefault="00503D89" w:rsidP="00AE1657">
      <w:pPr>
        <w:spacing w:line="360" w:lineRule="auto"/>
        <w:jc w:val="both"/>
        <w:rPr>
          <w:rFonts w:ascii="Times New Roman" w:eastAsia="Times New Roman" w:hAnsi="Times New Roman" w:cs="Times New Roman"/>
          <w:b/>
          <w:color w:val="222222"/>
          <w:sz w:val="28"/>
          <w:szCs w:val="28"/>
          <w:highlight w:val="white"/>
        </w:rPr>
      </w:pPr>
    </w:p>
    <w:p w14:paraId="030E698C"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Abrahamsson</w:t>
      </w:r>
      <w:proofErr w:type="spellEnd"/>
      <w:r>
        <w:rPr>
          <w:rFonts w:ascii="Times New Roman" w:eastAsia="Times New Roman" w:hAnsi="Times New Roman" w:cs="Times New Roman"/>
          <w:color w:val="222222"/>
          <w:sz w:val="24"/>
          <w:szCs w:val="24"/>
          <w:highlight w:val="white"/>
        </w:rPr>
        <w:t xml:space="preserve">, J., Maga, A. and Nicol, C., 2019. The effect of business model innovation on share prices–A study of us listed technology firms. </w:t>
      </w:r>
      <w:r>
        <w:rPr>
          <w:rFonts w:ascii="Times New Roman" w:eastAsia="Times New Roman" w:hAnsi="Times New Roman" w:cs="Times New Roman"/>
          <w:i/>
          <w:color w:val="222222"/>
          <w:sz w:val="24"/>
          <w:szCs w:val="24"/>
          <w:highlight w:val="white"/>
        </w:rPr>
        <w:t>Journal of Business Models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pp.37-52.</w:t>
      </w:r>
    </w:p>
    <w:p w14:paraId="5AF3CCAA"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Baker, J.L., Stevenson, H.C., Talley, L.M., </w:t>
      </w:r>
      <w:proofErr w:type="spellStart"/>
      <w:r>
        <w:rPr>
          <w:rFonts w:ascii="Times New Roman" w:eastAsia="Times New Roman" w:hAnsi="Times New Roman" w:cs="Times New Roman"/>
          <w:color w:val="222222"/>
          <w:sz w:val="24"/>
          <w:szCs w:val="24"/>
          <w:highlight w:val="white"/>
        </w:rPr>
        <w:t>Jemmott</w:t>
      </w:r>
      <w:proofErr w:type="spellEnd"/>
      <w:r>
        <w:rPr>
          <w:rFonts w:ascii="Times New Roman" w:eastAsia="Times New Roman" w:hAnsi="Times New Roman" w:cs="Times New Roman"/>
          <w:color w:val="222222"/>
          <w:sz w:val="24"/>
          <w:szCs w:val="24"/>
          <w:highlight w:val="white"/>
        </w:rPr>
        <w:t xml:space="preserve">, L.S. and </w:t>
      </w:r>
      <w:proofErr w:type="spellStart"/>
      <w:r>
        <w:rPr>
          <w:rFonts w:ascii="Times New Roman" w:eastAsia="Times New Roman" w:hAnsi="Times New Roman" w:cs="Times New Roman"/>
          <w:color w:val="222222"/>
          <w:sz w:val="24"/>
          <w:szCs w:val="24"/>
          <w:highlight w:val="white"/>
        </w:rPr>
        <w:t>Jemmott</w:t>
      </w:r>
      <w:proofErr w:type="spellEnd"/>
      <w:r>
        <w:rPr>
          <w:rFonts w:ascii="Times New Roman" w:eastAsia="Times New Roman" w:hAnsi="Times New Roman" w:cs="Times New Roman"/>
          <w:color w:val="222222"/>
          <w:sz w:val="24"/>
          <w:szCs w:val="24"/>
          <w:highlight w:val="white"/>
        </w:rPr>
        <w:t xml:space="preserve">, J.B., 2018. Development of a barbershop-based violence intervention for young Black emerging adult men. </w:t>
      </w:r>
      <w:r>
        <w:rPr>
          <w:rFonts w:ascii="Times New Roman" w:eastAsia="Times New Roman" w:hAnsi="Times New Roman" w:cs="Times New Roman"/>
          <w:i/>
          <w:color w:val="222222"/>
          <w:sz w:val="24"/>
          <w:szCs w:val="24"/>
          <w:highlight w:val="white"/>
        </w:rPr>
        <w:t>Journal of Community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(6), pp.762-774.</w:t>
      </w:r>
    </w:p>
    <w:p w14:paraId="55FF876D"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Barber, T.M., </w:t>
      </w:r>
      <w:proofErr w:type="spellStart"/>
      <w:r>
        <w:rPr>
          <w:rFonts w:ascii="Times New Roman" w:eastAsia="Times New Roman" w:hAnsi="Times New Roman" w:cs="Times New Roman"/>
          <w:color w:val="222222"/>
          <w:sz w:val="24"/>
          <w:szCs w:val="24"/>
          <w:highlight w:val="white"/>
        </w:rPr>
        <w:t>Kabisch</w:t>
      </w:r>
      <w:proofErr w:type="spellEnd"/>
      <w:r>
        <w:rPr>
          <w:rFonts w:ascii="Times New Roman" w:eastAsia="Times New Roman" w:hAnsi="Times New Roman" w:cs="Times New Roman"/>
          <w:color w:val="222222"/>
          <w:sz w:val="24"/>
          <w:szCs w:val="24"/>
          <w:highlight w:val="white"/>
        </w:rPr>
        <w:t xml:space="preserve">, S., Pfeiffer, A.F. and </w:t>
      </w:r>
      <w:proofErr w:type="spellStart"/>
      <w:r>
        <w:rPr>
          <w:rFonts w:ascii="Times New Roman" w:eastAsia="Times New Roman" w:hAnsi="Times New Roman" w:cs="Times New Roman"/>
          <w:color w:val="222222"/>
          <w:sz w:val="24"/>
          <w:szCs w:val="24"/>
          <w:highlight w:val="white"/>
        </w:rPr>
        <w:t>Weickert</w:t>
      </w:r>
      <w:proofErr w:type="spellEnd"/>
      <w:r>
        <w:rPr>
          <w:rFonts w:ascii="Times New Roman" w:eastAsia="Times New Roman" w:hAnsi="Times New Roman" w:cs="Times New Roman"/>
          <w:color w:val="222222"/>
          <w:sz w:val="24"/>
          <w:szCs w:val="24"/>
          <w:highlight w:val="white"/>
        </w:rPr>
        <w:t xml:space="preserve">, M.O., 2020. The health benefits of dietary </w:t>
      </w:r>
      <w:proofErr w:type="spellStart"/>
      <w:r>
        <w:rPr>
          <w:rFonts w:ascii="Times New Roman" w:eastAsia="Times New Roman" w:hAnsi="Times New Roman" w:cs="Times New Roman"/>
          <w:color w:val="222222"/>
          <w:sz w:val="24"/>
          <w:szCs w:val="24"/>
          <w:highlight w:val="white"/>
        </w:rPr>
        <w:t>fiber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Nutrients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(10), p.3209.</w:t>
      </w:r>
    </w:p>
    <w:p w14:paraId="46FB4022"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Bateson, R., 2020. Strategic discrimination. </w:t>
      </w:r>
      <w:r>
        <w:rPr>
          <w:rFonts w:ascii="Times New Roman" w:eastAsia="Times New Roman" w:hAnsi="Times New Roman" w:cs="Times New Roman"/>
          <w:i/>
          <w:color w:val="222222"/>
          <w:sz w:val="24"/>
          <w:szCs w:val="24"/>
          <w:highlight w:val="white"/>
        </w:rPr>
        <w:t>Perspectives on Politics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pp.1068-1087.</w:t>
      </w:r>
    </w:p>
    <w:p w14:paraId="2FD82288" w14:textId="146E51FE"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Carlton, L., Woods-</w:t>
      </w:r>
      <w:proofErr w:type="spellStart"/>
      <w:r>
        <w:rPr>
          <w:rFonts w:ascii="Times New Roman" w:eastAsia="Times New Roman" w:hAnsi="Times New Roman" w:cs="Times New Roman"/>
          <w:color w:val="222222"/>
          <w:sz w:val="24"/>
          <w:szCs w:val="24"/>
          <w:highlight w:val="white"/>
        </w:rPr>
        <w:t>Giscombe</w:t>
      </w:r>
      <w:proofErr w:type="spellEnd"/>
      <w:r>
        <w:rPr>
          <w:rFonts w:ascii="Times New Roman" w:eastAsia="Times New Roman" w:hAnsi="Times New Roman" w:cs="Times New Roman"/>
          <w:color w:val="222222"/>
          <w:sz w:val="24"/>
          <w:szCs w:val="24"/>
          <w:highlight w:val="white"/>
        </w:rPr>
        <w:t xml:space="preserve">, C.L., Palmer, C. and Rodgers, S.G., 2021. Barbers as community mental health advocates for African American men: ADAAM-QR web design to address social determinants of depression and access to </w:t>
      </w:r>
      <w:r w:rsidR="00C652F1">
        <w:rPr>
          <w:rFonts w:ascii="Times New Roman" w:eastAsia="Times New Roman" w:hAnsi="Times New Roman" w:cs="Times New Roman"/>
          <w:color w:val="222222"/>
          <w:sz w:val="24"/>
          <w:szCs w:val="24"/>
          <w:highlight w:val="white"/>
        </w:rPr>
        <w:t>culturally relevant</w:t>
      </w:r>
      <w:r>
        <w:rPr>
          <w:rFonts w:ascii="Times New Roman" w:eastAsia="Times New Roman" w:hAnsi="Times New Roman" w:cs="Times New Roman"/>
          <w:color w:val="222222"/>
          <w:sz w:val="24"/>
          <w:szCs w:val="24"/>
          <w:highlight w:val="white"/>
        </w:rPr>
        <w:t xml:space="preserve"> resources. </w:t>
      </w:r>
      <w:r>
        <w:rPr>
          <w:rFonts w:ascii="Times New Roman" w:eastAsia="Times New Roman" w:hAnsi="Times New Roman" w:cs="Times New Roman"/>
          <w:i/>
          <w:color w:val="222222"/>
          <w:sz w:val="24"/>
          <w:szCs w:val="24"/>
          <w:highlight w:val="white"/>
        </w:rPr>
        <w:t>Archives of Psychiatric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(1), pp.137-140.</w:t>
      </w:r>
    </w:p>
    <w:p w14:paraId="11B18E81"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 L., Vest, A.R., O’Donoghue, M.L., </w:t>
      </w:r>
      <w:proofErr w:type="spellStart"/>
      <w:r>
        <w:rPr>
          <w:rFonts w:ascii="Times New Roman" w:eastAsia="Times New Roman" w:hAnsi="Times New Roman" w:cs="Times New Roman"/>
          <w:color w:val="222222"/>
          <w:sz w:val="24"/>
          <w:szCs w:val="24"/>
          <w:highlight w:val="white"/>
        </w:rPr>
        <w:t>Ogunniyi</w:t>
      </w:r>
      <w:proofErr w:type="spellEnd"/>
      <w:r>
        <w:rPr>
          <w:rFonts w:ascii="Times New Roman" w:eastAsia="Times New Roman" w:hAnsi="Times New Roman" w:cs="Times New Roman"/>
          <w:color w:val="222222"/>
          <w:sz w:val="24"/>
          <w:szCs w:val="24"/>
          <w:highlight w:val="white"/>
        </w:rPr>
        <w:t xml:space="preserve">, M.O., </w:t>
      </w:r>
      <w:proofErr w:type="spellStart"/>
      <w:r>
        <w:rPr>
          <w:rFonts w:ascii="Times New Roman" w:eastAsia="Times New Roman" w:hAnsi="Times New Roman" w:cs="Times New Roman"/>
          <w:color w:val="222222"/>
          <w:sz w:val="24"/>
          <w:szCs w:val="24"/>
          <w:highlight w:val="white"/>
        </w:rPr>
        <w:t>Sarma</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Denby</w:t>
      </w:r>
      <w:proofErr w:type="spellEnd"/>
      <w:r>
        <w:rPr>
          <w:rFonts w:ascii="Times New Roman" w:eastAsia="Times New Roman" w:hAnsi="Times New Roman" w:cs="Times New Roman"/>
          <w:color w:val="222222"/>
          <w:sz w:val="24"/>
          <w:szCs w:val="24"/>
          <w:highlight w:val="white"/>
        </w:rPr>
        <w:t xml:space="preserve">, K.J., Lau, E.S., Poole, J.E., Lindley, K.J., Mehran, R. and Cardiovascular Disease in Women Committee Leadership Council, 2021. Increasing participation of women in cardiovascular trials: JACC council perspectives. </w:t>
      </w:r>
      <w:r>
        <w:rPr>
          <w:rFonts w:ascii="Times New Roman" w:eastAsia="Times New Roman" w:hAnsi="Times New Roman" w:cs="Times New Roman"/>
          <w:i/>
          <w:color w:val="222222"/>
          <w:sz w:val="24"/>
          <w:szCs w:val="24"/>
          <w:highlight w:val="white"/>
        </w:rPr>
        <w:t>Journal of the American College of Cardiology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(7), pp.737-751.</w:t>
      </w:r>
    </w:p>
    <w:p w14:paraId="63B4AF32"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Dill, L.J., </w:t>
      </w:r>
      <w:proofErr w:type="spellStart"/>
      <w:r>
        <w:rPr>
          <w:rFonts w:ascii="Times New Roman" w:eastAsia="Times New Roman" w:hAnsi="Times New Roman" w:cs="Times New Roman"/>
          <w:color w:val="222222"/>
          <w:sz w:val="24"/>
          <w:szCs w:val="24"/>
          <w:highlight w:val="white"/>
        </w:rPr>
        <w:t>Gousse</w:t>
      </w:r>
      <w:proofErr w:type="spellEnd"/>
      <w:r>
        <w:rPr>
          <w:rFonts w:ascii="Times New Roman" w:eastAsia="Times New Roman" w:hAnsi="Times New Roman" w:cs="Times New Roman"/>
          <w:color w:val="222222"/>
          <w:sz w:val="24"/>
          <w:szCs w:val="24"/>
          <w:highlight w:val="white"/>
        </w:rPr>
        <w:t xml:space="preserve">, Y., Huggins, K., Fraser, M.A., Browne, R.C., Stewart, M., Salifu, M., Joseph, M.A. and Wilson, T.E., 2020. Adjournment in community HIV prevention: Exploring transitions in community–academic partnerships. </w:t>
      </w:r>
      <w:r>
        <w:rPr>
          <w:rFonts w:ascii="Times New Roman" w:eastAsia="Times New Roman" w:hAnsi="Times New Roman" w:cs="Times New Roman"/>
          <w:i/>
          <w:color w:val="222222"/>
          <w:sz w:val="24"/>
          <w:szCs w:val="24"/>
          <w:highlight w:val="white"/>
        </w:rPr>
        <w:t>Health promotion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(4), pp.544-551.</w:t>
      </w:r>
    </w:p>
    <w:p w14:paraId="25B2042E"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Ebinger</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Blyler</w:t>
      </w:r>
      <w:proofErr w:type="spellEnd"/>
      <w:r>
        <w:rPr>
          <w:rFonts w:ascii="Times New Roman" w:eastAsia="Times New Roman" w:hAnsi="Times New Roman" w:cs="Times New Roman"/>
          <w:color w:val="222222"/>
          <w:sz w:val="24"/>
          <w:szCs w:val="24"/>
          <w:highlight w:val="white"/>
        </w:rPr>
        <w:t xml:space="preserve">, C.A., </w:t>
      </w:r>
      <w:proofErr w:type="spellStart"/>
      <w:r>
        <w:rPr>
          <w:rFonts w:ascii="Times New Roman" w:eastAsia="Times New Roman" w:hAnsi="Times New Roman" w:cs="Times New Roman"/>
          <w:color w:val="222222"/>
          <w:sz w:val="24"/>
          <w:szCs w:val="24"/>
          <w:highlight w:val="white"/>
        </w:rPr>
        <w:t>Brettler</w:t>
      </w:r>
      <w:proofErr w:type="spellEnd"/>
      <w:r>
        <w:rPr>
          <w:rFonts w:ascii="Times New Roman" w:eastAsia="Times New Roman" w:hAnsi="Times New Roman" w:cs="Times New Roman"/>
          <w:color w:val="222222"/>
          <w:sz w:val="24"/>
          <w:szCs w:val="24"/>
          <w:highlight w:val="white"/>
        </w:rPr>
        <w:t xml:space="preserve">, J. and Rader, F., 2020. Barbershop management of hypertension in the African American population: pitfalls and opportunities for extension to other underserved communities. </w:t>
      </w:r>
      <w:r>
        <w:rPr>
          <w:rFonts w:ascii="Times New Roman" w:eastAsia="Times New Roman" w:hAnsi="Times New Roman" w:cs="Times New Roman"/>
          <w:i/>
          <w:color w:val="222222"/>
          <w:sz w:val="24"/>
          <w:szCs w:val="24"/>
          <w:highlight w:val="white"/>
        </w:rPr>
        <w:t>Current Cardiology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(8), pp.1-8.</w:t>
      </w:r>
    </w:p>
    <w:p w14:paraId="39572B95"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Mbilishaka</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Mbande</w:t>
      </w:r>
      <w:proofErr w:type="spellEnd"/>
      <w:r>
        <w:rPr>
          <w:rFonts w:ascii="Times New Roman" w:eastAsia="Times New Roman" w:hAnsi="Times New Roman" w:cs="Times New Roman"/>
          <w:color w:val="222222"/>
          <w:sz w:val="24"/>
          <w:szCs w:val="24"/>
          <w:highlight w:val="white"/>
        </w:rPr>
        <w:t xml:space="preserve">, A., Gulley, C. and </w:t>
      </w:r>
      <w:proofErr w:type="spellStart"/>
      <w:r>
        <w:rPr>
          <w:rFonts w:ascii="Times New Roman" w:eastAsia="Times New Roman" w:hAnsi="Times New Roman" w:cs="Times New Roman"/>
          <w:color w:val="222222"/>
          <w:sz w:val="24"/>
          <w:szCs w:val="24"/>
          <w:highlight w:val="white"/>
        </w:rPr>
        <w:t>Mbande</w:t>
      </w:r>
      <w:proofErr w:type="spellEnd"/>
      <w:r>
        <w:rPr>
          <w:rFonts w:ascii="Times New Roman" w:eastAsia="Times New Roman" w:hAnsi="Times New Roman" w:cs="Times New Roman"/>
          <w:color w:val="222222"/>
          <w:sz w:val="24"/>
          <w:szCs w:val="24"/>
          <w:highlight w:val="white"/>
        </w:rPr>
        <w:t xml:space="preserve">, T., 2021. Faded fresh tapers and line-ups: </w:t>
      </w:r>
      <w:proofErr w:type="spellStart"/>
      <w:r>
        <w:rPr>
          <w:rFonts w:ascii="Times New Roman" w:eastAsia="Times New Roman" w:hAnsi="Times New Roman" w:cs="Times New Roman"/>
          <w:color w:val="222222"/>
          <w:sz w:val="24"/>
          <w:szCs w:val="24"/>
          <w:highlight w:val="white"/>
        </w:rPr>
        <w:t>Centering</w:t>
      </w:r>
      <w:proofErr w:type="spellEnd"/>
      <w:r>
        <w:rPr>
          <w:rFonts w:ascii="Times New Roman" w:eastAsia="Times New Roman" w:hAnsi="Times New Roman" w:cs="Times New Roman"/>
          <w:color w:val="222222"/>
          <w:sz w:val="24"/>
          <w:szCs w:val="24"/>
          <w:highlight w:val="white"/>
        </w:rPr>
        <w:t xml:space="preserve"> barbershop hair stories in understanding gendered racial socialization for black men. </w:t>
      </w:r>
      <w:r>
        <w:rPr>
          <w:rFonts w:ascii="Times New Roman" w:eastAsia="Times New Roman" w:hAnsi="Times New Roman" w:cs="Times New Roman"/>
          <w:i/>
          <w:color w:val="222222"/>
          <w:sz w:val="24"/>
          <w:szCs w:val="24"/>
          <w:highlight w:val="white"/>
        </w:rPr>
        <w:t>Psychology of Men &amp; Masculinities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p.166.</w:t>
      </w:r>
    </w:p>
    <w:p w14:paraId="602FC8EC"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Oliffe</w:t>
      </w:r>
      <w:proofErr w:type="spellEnd"/>
      <w:r>
        <w:rPr>
          <w:rFonts w:ascii="Times New Roman" w:eastAsia="Times New Roman" w:hAnsi="Times New Roman" w:cs="Times New Roman"/>
          <w:color w:val="222222"/>
          <w:sz w:val="24"/>
          <w:szCs w:val="24"/>
          <w:highlight w:val="white"/>
        </w:rPr>
        <w:t xml:space="preserve">, J.L., </w:t>
      </w:r>
      <w:proofErr w:type="spellStart"/>
      <w:r>
        <w:rPr>
          <w:rFonts w:ascii="Times New Roman" w:eastAsia="Times New Roman" w:hAnsi="Times New Roman" w:cs="Times New Roman"/>
          <w:color w:val="222222"/>
          <w:sz w:val="24"/>
          <w:szCs w:val="24"/>
          <w:highlight w:val="white"/>
        </w:rPr>
        <w:t>Rossnagel</w:t>
      </w:r>
      <w:proofErr w:type="spellEnd"/>
      <w:r>
        <w:rPr>
          <w:rFonts w:ascii="Times New Roman" w:eastAsia="Times New Roman" w:hAnsi="Times New Roman" w:cs="Times New Roman"/>
          <w:color w:val="222222"/>
          <w:sz w:val="24"/>
          <w:szCs w:val="24"/>
          <w:highlight w:val="white"/>
        </w:rPr>
        <w:t xml:space="preserve">, E., Bottorff, J.L., Chambers, S.K., </w:t>
      </w:r>
      <w:proofErr w:type="spellStart"/>
      <w:r>
        <w:rPr>
          <w:rFonts w:ascii="Times New Roman" w:eastAsia="Times New Roman" w:hAnsi="Times New Roman" w:cs="Times New Roman"/>
          <w:color w:val="222222"/>
          <w:sz w:val="24"/>
          <w:szCs w:val="24"/>
          <w:highlight w:val="white"/>
        </w:rPr>
        <w:t>Caperchione</w:t>
      </w:r>
      <w:proofErr w:type="spellEnd"/>
      <w:r>
        <w:rPr>
          <w:rFonts w:ascii="Times New Roman" w:eastAsia="Times New Roman" w:hAnsi="Times New Roman" w:cs="Times New Roman"/>
          <w:color w:val="222222"/>
          <w:sz w:val="24"/>
          <w:szCs w:val="24"/>
          <w:highlight w:val="white"/>
        </w:rPr>
        <w:t xml:space="preserve">, C. and Rice, S.M., 2020. Community-based men's health promotion programs: eight lessons learned and their caveats. </w:t>
      </w:r>
      <w:r>
        <w:rPr>
          <w:rFonts w:ascii="Times New Roman" w:eastAsia="Times New Roman" w:hAnsi="Times New Roman" w:cs="Times New Roman"/>
          <w:i/>
          <w:color w:val="222222"/>
          <w:sz w:val="24"/>
          <w:szCs w:val="24"/>
          <w:highlight w:val="white"/>
        </w:rPr>
        <w:t>Health promotion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(5), pp.1230-1240.</w:t>
      </w:r>
    </w:p>
    <w:p w14:paraId="243BDEC0"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Putra, K.D.K., </w:t>
      </w:r>
      <w:proofErr w:type="spellStart"/>
      <w:r>
        <w:rPr>
          <w:rFonts w:ascii="Times New Roman" w:eastAsia="Times New Roman" w:hAnsi="Times New Roman" w:cs="Times New Roman"/>
          <w:color w:val="222222"/>
          <w:sz w:val="24"/>
          <w:szCs w:val="24"/>
          <w:highlight w:val="white"/>
        </w:rPr>
        <w:t>Piarsa</w:t>
      </w:r>
      <w:proofErr w:type="spellEnd"/>
      <w:r>
        <w:rPr>
          <w:rFonts w:ascii="Times New Roman" w:eastAsia="Times New Roman" w:hAnsi="Times New Roman" w:cs="Times New Roman"/>
          <w:color w:val="222222"/>
          <w:sz w:val="24"/>
          <w:szCs w:val="24"/>
          <w:highlight w:val="white"/>
        </w:rPr>
        <w:t xml:space="preserve">, I.N. and </w:t>
      </w:r>
      <w:proofErr w:type="spellStart"/>
      <w:r>
        <w:rPr>
          <w:rFonts w:ascii="Times New Roman" w:eastAsia="Times New Roman" w:hAnsi="Times New Roman" w:cs="Times New Roman"/>
          <w:color w:val="222222"/>
          <w:sz w:val="24"/>
          <w:szCs w:val="24"/>
          <w:highlight w:val="white"/>
        </w:rPr>
        <w:t>Sukarsa</w:t>
      </w:r>
      <w:proofErr w:type="spellEnd"/>
      <w:r>
        <w:rPr>
          <w:rFonts w:ascii="Times New Roman" w:eastAsia="Times New Roman" w:hAnsi="Times New Roman" w:cs="Times New Roman"/>
          <w:color w:val="222222"/>
          <w:sz w:val="24"/>
          <w:szCs w:val="24"/>
          <w:highlight w:val="white"/>
        </w:rPr>
        <w:t xml:space="preserve">, I.M., 2020. Geographic Information System for Booking Beauty Salon and Barber Shop with an Android-Based ECRM Approach. </w:t>
      </w:r>
      <w:r>
        <w:rPr>
          <w:rFonts w:ascii="Times New Roman" w:eastAsia="Times New Roman" w:hAnsi="Times New Roman" w:cs="Times New Roman"/>
          <w:i/>
          <w:color w:val="222222"/>
          <w:sz w:val="24"/>
          <w:szCs w:val="24"/>
          <w:highlight w:val="white"/>
        </w:rPr>
        <w:t>Scientific Journal of Informatics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pp.52-65.</w:t>
      </w:r>
    </w:p>
    <w:p w14:paraId="27DD3D80"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Romero, M.C., Lara, P. and Villalobos, J., 2021. Evolution of the business model: Arriving at open business model dynamics. </w:t>
      </w:r>
      <w:r>
        <w:rPr>
          <w:rFonts w:ascii="Times New Roman" w:eastAsia="Times New Roman" w:hAnsi="Times New Roman" w:cs="Times New Roman"/>
          <w:i/>
          <w:color w:val="222222"/>
          <w:sz w:val="24"/>
          <w:szCs w:val="24"/>
          <w:highlight w:val="white"/>
        </w:rPr>
        <w:t>Journal of Open Innovation: Technology, Market, and Complexity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p.86.</w:t>
      </w:r>
    </w:p>
    <w:p w14:paraId="6D8D117E"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Sarmiento, C., 2022. Not diverse enough? Displacement, diversity discourse, and commercial gentrification in Santa Ana, California, a majority-Mexican city. </w:t>
      </w:r>
      <w:r>
        <w:rPr>
          <w:rFonts w:ascii="Times New Roman" w:eastAsia="Times New Roman" w:hAnsi="Times New Roman" w:cs="Times New Roman"/>
          <w:i/>
          <w:color w:val="222222"/>
          <w:sz w:val="24"/>
          <w:szCs w:val="24"/>
          <w:highlight w:val="white"/>
        </w:rPr>
        <w:t>Urban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(9), pp.1782-1799.</w:t>
      </w:r>
    </w:p>
    <w:p w14:paraId="57E4FF3D" w14:textId="77777777"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Sattari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Wessman</w:t>
      </w:r>
      <w:proofErr w:type="spellEnd"/>
      <w:r>
        <w:rPr>
          <w:rFonts w:ascii="Times New Roman" w:eastAsia="Times New Roman" w:hAnsi="Times New Roman" w:cs="Times New Roman"/>
          <w:color w:val="222222"/>
          <w:sz w:val="24"/>
          <w:szCs w:val="24"/>
          <w:highlight w:val="white"/>
        </w:rPr>
        <w:t xml:space="preserve">, A. and Borders, L., 2020. Business model innovation for sustainability: An investigation of consumers’ willingness to adopt product-service systems. </w:t>
      </w:r>
      <w:r>
        <w:rPr>
          <w:rFonts w:ascii="Times New Roman" w:eastAsia="Times New Roman" w:hAnsi="Times New Roman" w:cs="Times New Roman"/>
          <w:i/>
          <w:color w:val="222222"/>
          <w:sz w:val="24"/>
          <w:szCs w:val="24"/>
          <w:highlight w:val="white"/>
        </w:rPr>
        <w:t>Journal of Global Scholars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(3), pp.274-290.</w:t>
      </w:r>
    </w:p>
    <w:p w14:paraId="0720B9BB" w14:textId="47CD654F" w:rsidR="00AE1657" w:rsidRDefault="00000000" w:rsidP="00AE165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Timmons, E.J. and Thornton, R.J., 2019. There and Back Again: The De‐licensing and re‐licensing of barbers in Alabama. </w:t>
      </w:r>
      <w:r>
        <w:rPr>
          <w:rFonts w:ascii="Times New Roman" w:eastAsia="Times New Roman" w:hAnsi="Times New Roman" w:cs="Times New Roman"/>
          <w:i/>
          <w:color w:val="222222"/>
          <w:sz w:val="24"/>
          <w:szCs w:val="24"/>
          <w:highlight w:val="white"/>
        </w:rPr>
        <w:t>British Journal of Industrial Relations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(4), pp.764-790.</w:t>
      </w:r>
    </w:p>
    <w:p w14:paraId="7ADEEBEC"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Barber, F., Whitehead, J., and </w:t>
      </w:r>
      <w:proofErr w:type="spellStart"/>
      <w:r>
        <w:rPr>
          <w:rFonts w:ascii="Times New Roman" w:eastAsia="Times New Roman" w:hAnsi="Times New Roman" w:cs="Times New Roman"/>
          <w:color w:val="222222"/>
          <w:sz w:val="24"/>
          <w:szCs w:val="24"/>
          <w:highlight w:val="white"/>
        </w:rPr>
        <w:t>Bistrova</w:t>
      </w:r>
      <w:proofErr w:type="spellEnd"/>
      <w:r>
        <w:rPr>
          <w:rFonts w:ascii="Times New Roman" w:eastAsia="Times New Roman" w:hAnsi="Times New Roman" w:cs="Times New Roman"/>
          <w:color w:val="222222"/>
          <w:sz w:val="24"/>
          <w:szCs w:val="24"/>
          <w:highlight w:val="white"/>
        </w:rPr>
        <w:t xml:space="preserve">, J., 2019. Why do giants stumble. </w:t>
      </w:r>
      <w:r>
        <w:rPr>
          <w:rFonts w:ascii="Times New Roman" w:eastAsia="Times New Roman" w:hAnsi="Times New Roman" w:cs="Times New Roman"/>
          <w:i/>
          <w:color w:val="222222"/>
          <w:sz w:val="24"/>
          <w:szCs w:val="24"/>
          <w:highlight w:val="white"/>
        </w:rPr>
        <w:t>California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(1), pp.5-30.</w:t>
      </w:r>
    </w:p>
    <w:p w14:paraId="550DAC01"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Ebinger</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Blyler</w:t>
      </w:r>
      <w:proofErr w:type="spellEnd"/>
      <w:r>
        <w:rPr>
          <w:rFonts w:ascii="Times New Roman" w:eastAsia="Times New Roman" w:hAnsi="Times New Roman" w:cs="Times New Roman"/>
          <w:color w:val="222222"/>
          <w:sz w:val="24"/>
          <w:szCs w:val="24"/>
          <w:highlight w:val="white"/>
        </w:rPr>
        <w:t xml:space="preserve">, C.A., </w:t>
      </w:r>
      <w:proofErr w:type="spellStart"/>
      <w:r>
        <w:rPr>
          <w:rFonts w:ascii="Times New Roman" w:eastAsia="Times New Roman" w:hAnsi="Times New Roman" w:cs="Times New Roman"/>
          <w:color w:val="222222"/>
          <w:sz w:val="24"/>
          <w:szCs w:val="24"/>
          <w:highlight w:val="white"/>
        </w:rPr>
        <w:t>Brettler</w:t>
      </w:r>
      <w:proofErr w:type="spellEnd"/>
      <w:r>
        <w:rPr>
          <w:rFonts w:ascii="Times New Roman" w:eastAsia="Times New Roman" w:hAnsi="Times New Roman" w:cs="Times New Roman"/>
          <w:color w:val="222222"/>
          <w:sz w:val="24"/>
          <w:szCs w:val="24"/>
          <w:highlight w:val="white"/>
        </w:rPr>
        <w:t xml:space="preserve">, J. and Rader, F., 2020. Barbershop management of hypertension in the African American population: pitfalls and opportunities for extension to other underserved communities. </w:t>
      </w:r>
      <w:r>
        <w:rPr>
          <w:rFonts w:ascii="Times New Roman" w:eastAsia="Times New Roman" w:hAnsi="Times New Roman" w:cs="Times New Roman"/>
          <w:i/>
          <w:color w:val="222222"/>
          <w:sz w:val="24"/>
          <w:szCs w:val="24"/>
          <w:highlight w:val="white"/>
        </w:rPr>
        <w:t>Current Cardiology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(8), pp.1-8.</w:t>
      </w:r>
    </w:p>
    <w:p w14:paraId="088C8918"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Farrokhi</w:t>
      </w:r>
      <w:proofErr w:type="spellEnd"/>
      <w:r>
        <w:rPr>
          <w:rFonts w:ascii="Times New Roman" w:eastAsia="Times New Roman" w:hAnsi="Times New Roman" w:cs="Times New Roman"/>
          <w:color w:val="222222"/>
          <w:sz w:val="24"/>
          <w:szCs w:val="24"/>
          <w:highlight w:val="white"/>
        </w:rPr>
        <w:t xml:space="preserve">, A., Shirazi, F., </w:t>
      </w:r>
      <w:proofErr w:type="spellStart"/>
      <w:r>
        <w:rPr>
          <w:rFonts w:ascii="Times New Roman" w:eastAsia="Times New Roman" w:hAnsi="Times New Roman" w:cs="Times New Roman"/>
          <w:color w:val="222222"/>
          <w:sz w:val="24"/>
          <w:szCs w:val="24"/>
          <w:highlight w:val="white"/>
        </w:rPr>
        <w:t>Hajli</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Tajvidi</w:t>
      </w:r>
      <w:proofErr w:type="spellEnd"/>
      <w:r>
        <w:rPr>
          <w:rFonts w:ascii="Times New Roman" w:eastAsia="Times New Roman" w:hAnsi="Times New Roman" w:cs="Times New Roman"/>
          <w:color w:val="222222"/>
          <w:sz w:val="24"/>
          <w:szCs w:val="24"/>
          <w:highlight w:val="white"/>
        </w:rPr>
        <w:t xml:space="preserve">, M., 2020. Using artificial intelligence to detect crisis related to events: Decision making in B2B by artificial intelligence.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 pp.257-273.</w:t>
      </w:r>
    </w:p>
    <w:p w14:paraId="12741252"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Golemanov</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Golemanova</w:t>
      </w:r>
      <w:proofErr w:type="spellEnd"/>
      <w:r>
        <w:rPr>
          <w:rFonts w:ascii="Times New Roman" w:eastAsia="Times New Roman" w:hAnsi="Times New Roman" w:cs="Times New Roman"/>
          <w:color w:val="222222"/>
          <w:sz w:val="24"/>
          <w:szCs w:val="24"/>
          <w:highlight w:val="white"/>
        </w:rPr>
        <w:t xml:space="preserve">, E., 2020. Using TOST in Teaching Operating Systems and Concurrent Programming Concepts. </w:t>
      </w:r>
      <w:r>
        <w:rPr>
          <w:rFonts w:ascii="Times New Roman" w:eastAsia="Times New Roman" w:hAnsi="Times New Roman" w:cs="Times New Roman"/>
          <w:i/>
          <w:color w:val="222222"/>
          <w:sz w:val="24"/>
          <w:szCs w:val="24"/>
          <w:highlight w:val="white"/>
        </w:rPr>
        <w:t>Advances in Science, Technology and Engineering Systems Journal</w:t>
      </w:r>
      <w:r>
        <w:rPr>
          <w:rFonts w:ascii="Times New Roman" w:eastAsia="Times New Roman" w:hAnsi="Times New Roman" w:cs="Times New Roman"/>
          <w:color w:val="222222"/>
          <w:sz w:val="24"/>
          <w:szCs w:val="24"/>
          <w:highlight w:val="white"/>
        </w:rPr>
        <w:t>, (5), pp.96-107.</w:t>
      </w:r>
    </w:p>
    <w:p w14:paraId="09EF9AE6"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Kazi</w:t>
      </w:r>
      <w:proofErr w:type="spellEnd"/>
      <w:r>
        <w:rPr>
          <w:rFonts w:ascii="Times New Roman" w:eastAsia="Times New Roman" w:hAnsi="Times New Roman" w:cs="Times New Roman"/>
          <w:color w:val="222222"/>
          <w:sz w:val="24"/>
          <w:szCs w:val="24"/>
          <w:highlight w:val="white"/>
        </w:rPr>
        <w:t xml:space="preserve">, D.S., Wei, P.C., </w:t>
      </w:r>
      <w:proofErr w:type="spellStart"/>
      <w:r>
        <w:rPr>
          <w:rFonts w:ascii="Times New Roman" w:eastAsia="Times New Roman" w:hAnsi="Times New Roman" w:cs="Times New Roman"/>
          <w:color w:val="222222"/>
          <w:sz w:val="24"/>
          <w:szCs w:val="24"/>
          <w:highlight w:val="white"/>
        </w:rPr>
        <w:t>Penko</w:t>
      </w:r>
      <w:proofErr w:type="spellEnd"/>
      <w:r>
        <w:rPr>
          <w:rFonts w:ascii="Times New Roman" w:eastAsia="Times New Roman" w:hAnsi="Times New Roman" w:cs="Times New Roman"/>
          <w:color w:val="222222"/>
          <w:sz w:val="24"/>
          <w:szCs w:val="24"/>
          <w:highlight w:val="white"/>
        </w:rPr>
        <w:t xml:space="preserve">, J., Bellows, B.K., </w:t>
      </w:r>
      <w:proofErr w:type="spellStart"/>
      <w:r>
        <w:rPr>
          <w:rFonts w:ascii="Times New Roman" w:eastAsia="Times New Roman" w:hAnsi="Times New Roman" w:cs="Times New Roman"/>
          <w:color w:val="222222"/>
          <w:sz w:val="24"/>
          <w:szCs w:val="24"/>
          <w:highlight w:val="white"/>
        </w:rPr>
        <w:t>Coxson</w:t>
      </w:r>
      <w:proofErr w:type="spellEnd"/>
      <w:r>
        <w:rPr>
          <w:rFonts w:ascii="Times New Roman" w:eastAsia="Times New Roman" w:hAnsi="Times New Roman" w:cs="Times New Roman"/>
          <w:color w:val="222222"/>
          <w:sz w:val="24"/>
          <w:szCs w:val="24"/>
          <w:highlight w:val="white"/>
        </w:rPr>
        <w:t xml:space="preserve">, P., Bryant, K.B., </w:t>
      </w:r>
      <w:proofErr w:type="spellStart"/>
      <w:r>
        <w:rPr>
          <w:rFonts w:ascii="Times New Roman" w:eastAsia="Times New Roman" w:hAnsi="Times New Roman" w:cs="Times New Roman"/>
          <w:color w:val="222222"/>
          <w:sz w:val="24"/>
          <w:szCs w:val="24"/>
          <w:highlight w:val="white"/>
        </w:rPr>
        <w:t>Fontil</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Blyler</w:t>
      </w:r>
      <w:proofErr w:type="spellEnd"/>
      <w:r>
        <w:rPr>
          <w:rFonts w:ascii="Times New Roman" w:eastAsia="Times New Roman" w:hAnsi="Times New Roman" w:cs="Times New Roman"/>
          <w:color w:val="222222"/>
          <w:sz w:val="24"/>
          <w:szCs w:val="24"/>
          <w:highlight w:val="white"/>
        </w:rPr>
        <w:t xml:space="preserve">, C.A., Lyles, C., Lynch, K. and </w:t>
      </w:r>
      <w:proofErr w:type="spellStart"/>
      <w:r>
        <w:rPr>
          <w:rFonts w:ascii="Times New Roman" w:eastAsia="Times New Roman" w:hAnsi="Times New Roman" w:cs="Times New Roman"/>
          <w:color w:val="222222"/>
          <w:sz w:val="24"/>
          <w:szCs w:val="24"/>
          <w:highlight w:val="white"/>
        </w:rPr>
        <w:t>Ebinger</w:t>
      </w:r>
      <w:proofErr w:type="spellEnd"/>
      <w:r>
        <w:rPr>
          <w:rFonts w:ascii="Times New Roman" w:eastAsia="Times New Roman" w:hAnsi="Times New Roman" w:cs="Times New Roman"/>
          <w:color w:val="222222"/>
          <w:sz w:val="24"/>
          <w:szCs w:val="24"/>
          <w:highlight w:val="white"/>
        </w:rPr>
        <w:t xml:space="preserve">, J., 2021. Scaling Up Pharmacist-Led Blood Pressure Control Programs in black barbershops: projected population health impact and value. </w:t>
      </w:r>
      <w:r>
        <w:rPr>
          <w:rFonts w:ascii="Times New Roman" w:eastAsia="Times New Roman" w:hAnsi="Times New Roman" w:cs="Times New Roman"/>
          <w:i/>
          <w:color w:val="222222"/>
          <w:sz w:val="24"/>
          <w:szCs w:val="24"/>
          <w:highlight w:val="white"/>
        </w:rPr>
        <w:t>Circulation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(24), pp.2406-2408.</w:t>
      </w:r>
    </w:p>
    <w:p w14:paraId="48162B7E"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Khadafi, M., </w:t>
      </w:r>
      <w:proofErr w:type="spellStart"/>
      <w:r>
        <w:rPr>
          <w:rFonts w:ascii="Times New Roman" w:eastAsia="Times New Roman" w:hAnsi="Times New Roman" w:cs="Times New Roman"/>
          <w:color w:val="222222"/>
          <w:sz w:val="24"/>
          <w:szCs w:val="24"/>
          <w:highlight w:val="white"/>
        </w:rPr>
        <w:t>Marzuki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Akhyar</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Chalirafi</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Fuadi</w:t>
      </w:r>
      <w:proofErr w:type="spellEnd"/>
      <w:r>
        <w:rPr>
          <w:rFonts w:ascii="Times New Roman" w:eastAsia="Times New Roman" w:hAnsi="Times New Roman" w:cs="Times New Roman"/>
          <w:color w:val="222222"/>
          <w:sz w:val="24"/>
          <w:szCs w:val="24"/>
          <w:highlight w:val="white"/>
        </w:rPr>
        <w:t xml:space="preserve">, F., Sinta, I. and Ilham, R.N., 2021. Analysis of Financial Ratio Determinants for Increasing Operating Profit in MSMEs Service Sector: </w:t>
      </w:r>
      <w:proofErr w:type="gramStart"/>
      <w:r>
        <w:rPr>
          <w:rFonts w:ascii="Times New Roman" w:eastAsia="Times New Roman" w:hAnsi="Times New Roman" w:cs="Times New Roman"/>
          <w:color w:val="222222"/>
          <w:sz w:val="24"/>
          <w:szCs w:val="24"/>
          <w:highlight w:val="white"/>
        </w:rPr>
        <w:t>an</w:t>
      </w:r>
      <w:proofErr w:type="gramEnd"/>
      <w:r>
        <w:rPr>
          <w:rFonts w:ascii="Times New Roman" w:eastAsia="Times New Roman" w:hAnsi="Times New Roman" w:cs="Times New Roman"/>
          <w:color w:val="222222"/>
          <w:sz w:val="24"/>
          <w:szCs w:val="24"/>
          <w:highlight w:val="white"/>
        </w:rPr>
        <w:t xml:space="preserve"> Empirical Case Study from Barber Shop Business in Indonesia. </w:t>
      </w:r>
      <w:r>
        <w:rPr>
          <w:rFonts w:ascii="Times New Roman" w:eastAsia="Times New Roman" w:hAnsi="Times New Roman" w:cs="Times New Roman"/>
          <w:i/>
          <w:color w:val="222222"/>
          <w:sz w:val="24"/>
          <w:szCs w:val="24"/>
          <w:highlight w:val="white"/>
        </w:rPr>
        <w:t xml:space="preserve">Management Research and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i/>
          <w:color w:val="222222"/>
          <w:sz w:val="24"/>
          <w:szCs w:val="24"/>
          <w:highlight w:val="white"/>
        </w:rPr>
        <w:t xml:space="preserv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pp.68-73.</w:t>
      </w:r>
    </w:p>
    <w:p w14:paraId="158F549F"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Kurniawan, M., </w:t>
      </w:r>
      <w:proofErr w:type="spellStart"/>
      <w:r>
        <w:rPr>
          <w:rFonts w:ascii="Times New Roman" w:eastAsia="Times New Roman" w:hAnsi="Times New Roman" w:cs="Times New Roman"/>
          <w:color w:val="222222"/>
          <w:sz w:val="24"/>
          <w:szCs w:val="24"/>
          <w:highlight w:val="white"/>
        </w:rPr>
        <w:t>Syah</w:t>
      </w:r>
      <w:proofErr w:type="spellEnd"/>
      <w:r>
        <w:rPr>
          <w:rFonts w:ascii="Times New Roman" w:eastAsia="Times New Roman" w:hAnsi="Times New Roman" w:cs="Times New Roman"/>
          <w:color w:val="222222"/>
          <w:sz w:val="24"/>
          <w:szCs w:val="24"/>
          <w:highlight w:val="white"/>
        </w:rPr>
        <w:t xml:space="preserve">, T.Y.R., </w:t>
      </w:r>
      <w:proofErr w:type="spellStart"/>
      <w:r>
        <w:rPr>
          <w:rFonts w:ascii="Times New Roman" w:eastAsia="Times New Roman" w:hAnsi="Times New Roman" w:cs="Times New Roman"/>
          <w:color w:val="222222"/>
          <w:sz w:val="24"/>
          <w:szCs w:val="24"/>
          <w:highlight w:val="white"/>
        </w:rPr>
        <w:t>Pusaka</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Indradewa</w:t>
      </w:r>
      <w:proofErr w:type="spellEnd"/>
      <w:r>
        <w:rPr>
          <w:rFonts w:ascii="Times New Roman" w:eastAsia="Times New Roman" w:hAnsi="Times New Roman" w:cs="Times New Roman"/>
          <w:color w:val="222222"/>
          <w:sz w:val="24"/>
          <w:szCs w:val="24"/>
          <w:highlight w:val="white"/>
        </w:rPr>
        <w:t xml:space="preserve">, R., 2020. Marketing analysis of start-up business in lifestyle (combining barbershop and coffee shop) at PT. Jeeva Work Corporation. </w:t>
      </w:r>
      <w:r>
        <w:rPr>
          <w:rFonts w:ascii="Times New Roman" w:eastAsia="Times New Roman" w:hAnsi="Times New Roman" w:cs="Times New Roman"/>
          <w:i/>
          <w:color w:val="222222"/>
          <w:sz w:val="24"/>
          <w:szCs w:val="24"/>
          <w:highlight w:val="white"/>
        </w:rPr>
        <w:t>Journal of Multidisciplinary Academic</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pp.52-55.</w:t>
      </w:r>
    </w:p>
    <w:p w14:paraId="36AE150E"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Levine, D.A., Duncan, P.W., Nguyen-Huynh, M.N. and </w:t>
      </w:r>
      <w:proofErr w:type="spellStart"/>
      <w:r>
        <w:rPr>
          <w:rFonts w:ascii="Times New Roman" w:eastAsia="Times New Roman" w:hAnsi="Times New Roman" w:cs="Times New Roman"/>
          <w:color w:val="222222"/>
          <w:sz w:val="24"/>
          <w:szCs w:val="24"/>
          <w:highlight w:val="white"/>
        </w:rPr>
        <w:t>Ogedegbe</w:t>
      </w:r>
      <w:proofErr w:type="spellEnd"/>
      <w:r>
        <w:rPr>
          <w:rFonts w:ascii="Times New Roman" w:eastAsia="Times New Roman" w:hAnsi="Times New Roman" w:cs="Times New Roman"/>
          <w:color w:val="222222"/>
          <w:sz w:val="24"/>
          <w:szCs w:val="24"/>
          <w:highlight w:val="white"/>
        </w:rPr>
        <w:t xml:space="preserve">, O.G., 2020. Interventions targeting racial/ethnic disparities in stroke prevention and treatment. </w:t>
      </w:r>
      <w:r>
        <w:rPr>
          <w:rFonts w:ascii="Times New Roman" w:eastAsia="Times New Roman" w:hAnsi="Times New Roman" w:cs="Times New Roman"/>
          <w:i/>
          <w:color w:val="222222"/>
          <w:sz w:val="24"/>
          <w:szCs w:val="24"/>
          <w:highlight w:val="white"/>
        </w:rPr>
        <w:t>Stroke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(11), pp.3425-3432.</w:t>
      </w:r>
    </w:p>
    <w:p w14:paraId="4F6A83E4"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Lokhande</w:t>
      </w:r>
      <w:proofErr w:type="spellEnd"/>
      <w:r>
        <w:rPr>
          <w:rFonts w:ascii="Times New Roman" w:eastAsia="Times New Roman" w:hAnsi="Times New Roman" w:cs="Times New Roman"/>
          <w:color w:val="222222"/>
          <w:sz w:val="24"/>
          <w:szCs w:val="24"/>
          <w:highlight w:val="white"/>
        </w:rPr>
        <w:t xml:space="preserve">, D.A., </w:t>
      </w:r>
      <w:proofErr w:type="spellStart"/>
      <w:r>
        <w:rPr>
          <w:rFonts w:ascii="Times New Roman" w:eastAsia="Times New Roman" w:hAnsi="Times New Roman" w:cs="Times New Roman"/>
          <w:color w:val="222222"/>
          <w:sz w:val="24"/>
          <w:szCs w:val="24"/>
          <w:highlight w:val="white"/>
        </w:rPr>
        <w:t>Venkateswaran</w:t>
      </w:r>
      <w:proofErr w:type="spellEnd"/>
      <w:r>
        <w:rPr>
          <w:rFonts w:ascii="Times New Roman" w:eastAsia="Times New Roman" w:hAnsi="Times New Roman" w:cs="Times New Roman"/>
          <w:color w:val="222222"/>
          <w:sz w:val="24"/>
          <w:szCs w:val="24"/>
          <w:highlight w:val="white"/>
        </w:rPr>
        <w:t xml:space="preserve">, D.C., Ramachandran, D.M., </w:t>
      </w:r>
      <w:proofErr w:type="spellStart"/>
      <w:r>
        <w:rPr>
          <w:rFonts w:ascii="Times New Roman" w:eastAsia="Times New Roman" w:hAnsi="Times New Roman" w:cs="Times New Roman"/>
          <w:color w:val="222222"/>
          <w:sz w:val="24"/>
          <w:szCs w:val="24"/>
          <w:highlight w:val="white"/>
        </w:rPr>
        <w:t>Chinnasami</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Vennila</w:t>
      </w:r>
      <w:proofErr w:type="spellEnd"/>
      <w:r>
        <w:rPr>
          <w:rFonts w:ascii="Times New Roman" w:eastAsia="Times New Roman" w:hAnsi="Times New Roman" w:cs="Times New Roman"/>
          <w:color w:val="222222"/>
          <w:sz w:val="24"/>
          <w:szCs w:val="24"/>
          <w:highlight w:val="white"/>
        </w:rPr>
        <w:t xml:space="preserve">, T., 2021. A Review on Various Implications on Re engineering in Manufacturing. </w:t>
      </w:r>
      <w:r>
        <w:rPr>
          <w:rFonts w:ascii="Times New Roman" w:eastAsia="Times New Roman" w:hAnsi="Times New Roman" w:cs="Times New Roman"/>
          <w:i/>
          <w:color w:val="222222"/>
          <w:sz w:val="24"/>
          <w:szCs w:val="24"/>
          <w:highlight w:val="white"/>
        </w:rPr>
        <w:t>REST Journal on Emerging trends in Modelling and Manufacturing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(3), pp.70-75.</w:t>
      </w:r>
    </w:p>
    <w:p w14:paraId="44529872"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Lui, A.K., Lo, C.K. and Ngai, E.W., 2019. Does mandated RFID affect firm risk? The moderating role of top management team heterogeneity. </w:t>
      </w:r>
      <w:r>
        <w:rPr>
          <w:rFonts w:ascii="Times New Roman" w:eastAsia="Times New Roman" w:hAnsi="Times New Roman" w:cs="Times New Roman"/>
          <w:i/>
          <w:color w:val="222222"/>
          <w:sz w:val="24"/>
          <w:szCs w:val="24"/>
          <w:highlight w:val="white"/>
        </w:rPr>
        <w:t>International Journal of Production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210</w:t>
      </w:r>
      <w:r>
        <w:rPr>
          <w:rFonts w:ascii="Times New Roman" w:eastAsia="Times New Roman" w:hAnsi="Times New Roman" w:cs="Times New Roman"/>
          <w:color w:val="222222"/>
          <w:sz w:val="24"/>
          <w:szCs w:val="24"/>
          <w:highlight w:val="white"/>
        </w:rPr>
        <w:t>, pp.84-96.</w:t>
      </w:r>
    </w:p>
    <w:p w14:paraId="2FAF265B"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Marsiwi</w:t>
      </w:r>
      <w:proofErr w:type="spellEnd"/>
      <w:r>
        <w:rPr>
          <w:rFonts w:ascii="Times New Roman" w:eastAsia="Times New Roman" w:hAnsi="Times New Roman" w:cs="Times New Roman"/>
          <w:color w:val="222222"/>
          <w:sz w:val="24"/>
          <w:szCs w:val="24"/>
          <w:highlight w:val="white"/>
        </w:rPr>
        <w:t xml:space="preserve">, C.K.K., </w:t>
      </w:r>
      <w:proofErr w:type="spellStart"/>
      <w:r>
        <w:rPr>
          <w:rFonts w:ascii="Times New Roman" w:eastAsia="Times New Roman" w:hAnsi="Times New Roman" w:cs="Times New Roman"/>
          <w:color w:val="222222"/>
          <w:sz w:val="24"/>
          <w:szCs w:val="24"/>
          <w:highlight w:val="white"/>
        </w:rPr>
        <w:t>Syah</w:t>
      </w:r>
      <w:proofErr w:type="spellEnd"/>
      <w:r>
        <w:rPr>
          <w:rFonts w:ascii="Times New Roman" w:eastAsia="Times New Roman" w:hAnsi="Times New Roman" w:cs="Times New Roman"/>
          <w:color w:val="222222"/>
          <w:sz w:val="24"/>
          <w:szCs w:val="24"/>
          <w:highlight w:val="white"/>
        </w:rPr>
        <w:t xml:space="preserve">, T.Y.R., </w:t>
      </w:r>
      <w:proofErr w:type="spellStart"/>
      <w:r>
        <w:rPr>
          <w:rFonts w:ascii="Times New Roman" w:eastAsia="Times New Roman" w:hAnsi="Times New Roman" w:cs="Times New Roman"/>
          <w:color w:val="222222"/>
          <w:sz w:val="24"/>
          <w:szCs w:val="24"/>
          <w:highlight w:val="white"/>
        </w:rPr>
        <w:t>Pusaka</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Indradewa</w:t>
      </w:r>
      <w:proofErr w:type="spellEnd"/>
      <w:r>
        <w:rPr>
          <w:rFonts w:ascii="Times New Roman" w:eastAsia="Times New Roman" w:hAnsi="Times New Roman" w:cs="Times New Roman"/>
          <w:color w:val="222222"/>
          <w:sz w:val="24"/>
          <w:szCs w:val="24"/>
          <w:highlight w:val="white"/>
        </w:rPr>
        <w:t xml:space="preserve">, R., 2019. Investment feasibility analysis in financial aspects of </w:t>
      </w:r>
      <w:proofErr w:type="spellStart"/>
      <w:r>
        <w:rPr>
          <w:rFonts w:ascii="Times New Roman" w:eastAsia="Times New Roman" w:hAnsi="Times New Roman" w:cs="Times New Roman"/>
          <w:color w:val="222222"/>
          <w:sz w:val="24"/>
          <w:szCs w:val="24"/>
          <w:highlight w:val="white"/>
        </w:rPr>
        <w:t>startup</w:t>
      </w:r>
      <w:proofErr w:type="spellEnd"/>
      <w:r>
        <w:rPr>
          <w:rFonts w:ascii="Times New Roman" w:eastAsia="Times New Roman" w:hAnsi="Times New Roman" w:cs="Times New Roman"/>
          <w:color w:val="222222"/>
          <w:sz w:val="24"/>
          <w:szCs w:val="24"/>
          <w:highlight w:val="white"/>
        </w:rPr>
        <w:t xml:space="preserve"> business in lifestyle combining barbershop and coffee shop over Pt. Jeeva Work Corporation. </w:t>
      </w:r>
      <w:r>
        <w:rPr>
          <w:rFonts w:ascii="Times New Roman" w:eastAsia="Times New Roman" w:hAnsi="Times New Roman" w:cs="Times New Roman"/>
          <w:i/>
          <w:color w:val="222222"/>
          <w:sz w:val="24"/>
          <w:szCs w:val="24"/>
          <w:highlight w:val="white"/>
        </w:rPr>
        <w:t>Journal of Multidisciplinary Academic</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(4), pp.97-100.</w:t>
      </w:r>
    </w:p>
    <w:p w14:paraId="6D5F3BD6"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Mohanty, M.P., </w:t>
      </w:r>
      <w:proofErr w:type="spellStart"/>
      <w:r>
        <w:rPr>
          <w:rFonts w:ascii="Times New Roman" w:eastAsia="Times New Roman" w:hAnsi="Times New Roman" w:cs="Times New Roman"/>
          <w:color w:val="222222"/>
          <w:sz w:val="24"/>
          <w:szCs w:val="24"/>
          <w:highlight w:val="white"/>
        </w:rPr>
        <w:t>Mudgil</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Karmakar</w:t>
      </w:r>
      <w:proofErr w:type="spellEnd"/>
      <w:r>
        <w:rPr>
          <w:rFonts w:ascii="Times New Roman" w:eastAsia="Times New Roman" w:hAnsi="Times New Roman" w:cs="Times New Roman"/>
          <w:color w:val="222222"/>
          <w:sz w:val="24"/>
          <w:szCs w:val="24"/>
          <w:highlight w:val="white"/>
        </w:rPr>
        <w:t xml:space="preserve">, S., 2020. Flood management in India: a focussed review on the current status and future challenges. </w:t>
      </w:r>
      <w:r>
        <w:rPr>
          <w:rFonts w:ascii="Times New Roman" w:eastAsia="Times New Roman" w:hAnsi="Times New Roman" w:cs="Times New Roman"/>
          <w:i/>
          <w:color w:val="222222"/>
          <w:sz w:val="24"/>
          <w:szCs w:val="24"/>
          <w:highlight w:val="white"/>
        </w:rPr>
        <w:t>International Journal of Disaster Risk Reduction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49</w:t>
      </w:r>
      <w:r>
        <w:rPr>
          <w:rFonts w:ascii="Times New Roman" w:eastAsia="Times New Roman" w:hAnsi="Times New Roman" w:cs="Times New Roman"/>
          <w:color w:val="222222"/>
          <w:sz w:val="24"/>
          <w:szCs w:val="24"/>
          <w:highlight w:val="white"/>
        </w:rPr>
        <w:t>, p.101660.</w:t>
      </w:r>
    </w:p>
    <w:p w14:paraId="79876538"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Nasser, S.A. and Ferdinand, K.C., 2018. Community outreach to </w:t>
      </w:r>
      <w:proofErr w:type="gramStart"/>
      <w:r>
        <w:rPr>
          <w:rFonts w:ascii="Times New Roman" w:eastAsia="Times New Roman" w:hAnsi="Times New Roman" w:cs="Times New Roman"/>
          <w:color w:val="222222"/>
          <w:sz w:val="24"/>
          <w:szCs w:val="24"/>
          <w:highlight w:val="white"/>
        </w:rPr>
        <w:t>African-Americans</w:t>
      </w:r>
      <w:proofErr w:type="gramEnd"/>
      <w:r>
        <w:rPr>
          <w:rFonts w:ascii="Times New Roman" w:eastAsia="Times New Roman" w:hAnsi="Times New Roman" w:cs="Times New Roman"/>
          <w:color w:val="222222"/>
          <w:sz w:val="24"/>
          <w:szCs w:val="24"/>
          <w:highlight w:val="white"/>
        </w:rPr>
        <w:t xml:space="preserve">: Implementations for controlling hypertension. </w:t>
      </w:r>
      <w:r>
        <w:rPr>
          <w:rFonts w:ascii="Times New Roman" w:eastAsia="Times New Roman" w:hAnsi="Times New Roman" w:cs="Times New Roman"/>
          <w:i/>
          <w:color w:val="222222"/>
          <w:sz w:val="24"/>
          <w:szCs w:val="24"/>
          <w:highlight w:val="white"/>
        </w:rPr>
        <w:t>Current hypertension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(4), pp.1-9.</w:t>
      </w:r>
    </w:p>
    <w:p w14:paraId="5A430583"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Oliffe</w:t>
      </w:r>
      <w:proofErr w:type="spellEnd"/>
      <w:r>
        <w:rPr>
          <w:rFonts w:ascii="Times New Roman" w:eastAsia="Times New Roman" w:hAnsi="Times New Roman" w:cs="Times New Roman"/>
          <w:color w:val="222222"/>
          <w:sz w:val="24"/>
          <w:szCs w:val="24"/>
          <w:highlight w:val="white"/>
        </w:rPr>
        <w:t xml:space="preserve">, J.L., </w:t>
      </w:r>
      <w:proofErr w:type="spellStart"/>
      <w:r>
        <w:rPr>
          <w:rFonts w:ascii="Times New Roman" w:eastAsia="Times New Roman" w:hAnsi="Times New Roman" w:cs="Times New Roman"/>
          <w:color w:val="222222"/>
          <w:sz w:val="24"/>
          <w:szCs w:val="24"/>
          <w:highlight w:val="white"/>
        </w:rPr>
        <w:t>Rossnagel</w:t>
      </w:r>
      <w:proofErr w:type="spellEnd"/>
      <w:r>
        <w:rPr>
          <w:rFonts w:ascii="Times New Roman" w:eastAsia="Times New Roman" w:hAnsi="Times New Roman" w:cs="Times New Roman"/>
          <w:color w:val="222222"/>
          <w:sz w:val="24"/>
          <w:szCs w:val="24"/>
          <w:highlight w:val="white"/>
        </w:rPr>
        <w:t xml:space="preserve">, E., Bottorff, J.L., Chambers, S.K., </w:t>
      </w:r>
      <w:proofErr w:type="spellStart"/>
      <w:r>
        <w:rPr>
          <w:rFonts w:ascii="Times New Roman" w:eastAsia="Times New Roman" w:hAnsi="Times New Roman" w:cs="Times New Roman"/>
          <w:color w:val="222222"/>
          <w:sz w:val="24"/>
          <w:szCs w:val="24"/>
          <w:highlight w:val="white"/>
        </w:rPr>
        <w:t>Caperchione</w:t>
      </w:r>
      <w:proofErr w:type="spellEnd"/>
      <w:r>
        <w:rPr>
          <w:rFonts w:ascii="Times New Roman" w:eastAsia="Times New Roman" w:hAnsi="Times New Roman" w:cs="Times New Roman"/>
          <w:color w:val="222222"/>
          <w:sz w:val="24"/>
          <w:szCs w:val="24"/>
          <w:highlight w:val="white"/>
        </w:rPr>
        <w:t xml:space="preserve">, C. and Rice, S.M., 2020. Community-based men's health promotion programs: eight lessons learned and their caveats. </w:t>
      </w:r>
      <w:r>
        <w:rPr>
          <w:rFonts w:ascii="Times New Roman" w:eastAsia="Times New Roman" w:hAnsi="Times New Roman" w:cs="Times New Roman"/>
          <w:i/>
          <w:color w:val="222222"/>
          <w:sz w:val="24"/>
          <w:szCs w:val="24"/>
          <w:highlight w:val="white"/>
        </w:rPr>
        <w:t>Health promotion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(5), pp.1230-1240.</w:t>
      </w:r>
    </w:p>
    <w:p w14:paraId="58374948"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Ray, A., 2020. Managing supply chain aspects of the COVID-19 pandemic in India. </w:t>
      </w:r>
      <w:r>
        <w:rPr>
          <w:rFonts w:ascii="Times New Roman" w:eastAsia="Times New Roman" w:hAnsi="Times New Roman" w:cs="Times New Roman"/>
          <w:i/>
          <w:color w:val="222222"/>
          <w:sz w:val="24"/>
          <w:szCs w:val="24"/>
          <w:highlight w:val="white"/>
        </w:rPr>
        <w:t>Indian Chemical Engineer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(4), pp.396-401.</w:t>
      </w:r>
    </w:p>
    <w:p w14:paraId="5C032F10" w14:textId="77777777" w:rsidR="000778A7" w:rsidRDefault="000778A7" w:rsidP="000778A7">
      <w:pPr>
        <w:pStyle w:val="NormalWeb"/>
        <w:spacing w:before="0" w:beforeAutospacing="0" w:after="240" w:afterAutospacing="0" w:line="360" w:lineRule="auto"/>
      </w:pPr>
      <w:r>
        <w:t xml:space="preserve">Referenceforbusiness.com. (2022). </w:t>
      </w:r>
      <w:r>
        <w:rPr>
          <w:i/>
          <w:iCs/>
        </w:rPr>
        <w:t>Management plan of a Barber shop business plan</w:t>
      </w:r>
      <w:r>
        <w:t>. [online] Available at: https://www.referenceforbusiness.com/photos/hair-salon-business-plan-105.jpg [Accessed 14 Dec. 2022].</w:t>
      </w:r>
    </w:p>
    <w:p w14:paraId="013165D6" w14:textId="77777777" w:rsidR="000778A7" w:rsidRDefault="000778A7" w:rsidP="000778A7">
      <w:pPr>
        <w:pStyle w:val="NormalWeb"/>
        <w:spacing w:before="0" w:beforeAutospacing="0" w:after="240" w:afterAutospacing="0" w:line="360" w:lineRule="auto"/>
      </w:pPr>
      <w:r>
        <w:t xml:space="preserve">Sanders, N. (2018). </w:t>
      </w:r>
      <w:r>
        <w:rPr>
          <w:i/>
          <w:iCs/>
        </w:rPr>
        <w:t>Operations Management Defined</w:t>
      </w:r>
      <w:r>
        <w:t>. [online] informed database. Available at: https://www.informit.com/articles/article.aspx?p=2167438.</w:t>
      </w:r>
    </w:p>
    <w:p w14:paraId="5F1C813B"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Thum</w:t>
      </w:r>
      <w:proofErr w:type="spellEnd"/>
      <w:r>
        <w:rPr>
          <w:rFonts w:ascii="Times New Roman" w:eastAsia="Times New Roman" w:hAnsi="Times New Roman" w:cs="Times New Roman"/>
          <w:color w:val="222222"/>
          <w:sz w:val="24"/>
          <w:szCs w:val="24"/>
          <w:highlight w:val="white"/>
        </w:rPr>
        <w:t xml:space="preserve">, C.C., Chai, Y.C., Zaman Huri, S., Wan Nawawi, W.Z. and Ibrahim, N., 2021. Innovative psychological first aid (PFA) is the new normal for front liners. </w:t>
      </w:r>
      <w:r>
        <w:rPr>
          <w:rFonts w:ascii="Times New Roman" w:eastAsia="Times New Roman" w:hAnsi="Times New Roman" w:cs="Times New Roman"/>
          <w:i/>
          <w:color w:val="222222"/>
          <w:sz w:val="24"/>
          <w:szCs w:val="24"/>
          <w:highlight w:val="white"/>
        </w:rPr>
        <w:t>Perspectives in Psychiatric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(2), pp.965-967.</w:t>
      </w:r>
    </w:p>
    <w:p w14:paraId="6396A101"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Tian, Y., Zhao, M., Liu, M., Liao, Y., Huang, C. and Hu, M., 2022. Hybrid </w:t>
      </w:r>
      <w:proofErr w:type="spellStart"/>
      <w:r>
        <w:rPr>
          <w:rFonts w:ascii="Times New Roman" w:eastAsia="Times New Roman" w:hAnsi="Times New Roman" w:cs="Times New Roman"/>
          <w:color w:val="222222"/>
          <w:sz w:val="24"/>
          <w:szCs w:val="24"/>
          <w:highlight w:val="white"/>
        </w:rPr>
        <w:t>modeling</w:t>
      </w:r>
      <w:proofErr w:type="spellEnd"/>
      <w:r>
        <w:rPr>
          <w:rFonts w:ascii="Times New Roman" w:eastAsia="Times New Roman" w:hAnsi="Times New Roman" w:cs="Times New Roman"/>
          <w:color w:val="222222"/>
          <w:sz w:val="24"/>
          <w:szCs w:val="24"/>
          <w:highlight w:val="white"/>
        </w:rPr>
        <w:t xml:space="preserve"> methodology for integrating customers’ </w:t>
      </w:r>
      <w:proofErr w:type="spellStart"/>
      <w:r>
        <w:rPr>
          <w:rFonts w:ascii="Times New Roman" w:eastAsia="Times New Roman" w:hAnsi="Times New Roman" w:cs="Times New Roman"/>
          <w:color w:val="222222"/>
          <w:sz w:val="24"/>
          <w:szCs w:val="24"/>
          <w:highlight w:val="white"/>
        </w:rPr>
        <w:t>behaviors</w:t>
      </w:r>
      <w:proofErr w:type="spellEnd"/>
      <w:r>
        <w:rPr>
          <w:rFonts w:ascii="Times New Roman" w:eastAsia="Times New Roman" w:hAnsi="Times New Roman" w:cs="Times New Roman"/>
          <w:color w:val="222222"/>
          <w:sz w:val="24"/>
          <w:szCs w:val="24"/>
          <w:highlight w:val="white"/>
        </w:rPr>
        <w:t xml:space="preserve"> into system simulation to improve service operations management. </w:t>
      </w:r>
      <w:r>
        <w:rPr>
          <w:rFonts w:ascii="Times New Roman" w:eastAsia="Times New Roman" w:hAnsi="Times New Roman" w:cs="Times New Roman"/>
          <w:i/>
          <w:color w:val="222222"/>
          <w:sz w:val="24"/>
          <w:szCs w:val="24"/>
          <w:highlight w:val="white"/>
        </w:rPr>
        <w:t>Simulation Modelling Practice and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115</w:t>
      </w:r>
      <w:r>
        <w:rPr>
          <w:rFonts w:ascii="Times New Roman" w:eastAsia="Times New Roman" w:hAnsi="Times New Roman" w:cs="Times New Roman"/>
          <w:color w:val="222222"/>
          <w:sz w:val="24"/>
          <w:szCs w:val="24"/>
          <w:highlight w:val="white"/>
        </w:rPr>
        <w:t>, p.102445.</w:t>
      </w:r>
    </w:p>
    <w:p w14:paraId="24AB903C"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Victor, R.G., </w:t>
      </w:r>
      <w:proofErr w:type="spellStart"/>
      <w:r>
        <w:rPr>
          <w:rFonts w:ascii="Times New Roman" w:eastAsia="Times New Roman" w:hAnsi="Times New Roman" w:cs="Times New Roman"/>
          <w:color w:val="222222"/>
          <w:sz w:val="24"/>
          <w:szCs w:val="24"/>
          <w:highlight w:val="white"/>
        </w:rPr>
        <w:t>Blyler</w:t>
      </w:r>
      <w:proofErr w:type="spellEnd"/>
      <w:r>
        <w:rPr>
          <w:rFonts w:ascii="Times New Roman" w:eastAsia="Times New Roman" w:hAnsi="Times New Roman" w:cs="Times New Roman"/>
          <w:color w:val="222222"/>
          <w:sz w:val="24"/>
          <w:szCs w:val="24"/>
          <w:highlight w:val="white"/>
        </w:rPr>
        <w:t xml:space="preserve">, C.A., Li, N., Lynch, K., Moy, N.B., Rashid, M., Chang, L.C., Handler, J., </w:t>
      </w:r>
      <w:proofErr w:type="spellStart"/>
      <w:r>
        <w:rPr>
          <w:rFonts w:ascii="Times New Roman" w:eastAsia="Times New Roman" w:hAnsi="Times New Roman" w:cs="Times New Roman"/>
          <w:color w:val="222222"/>
          <w:sz w:val="24"/>
          <w:szCs w:val="24"/>
          <w:highlight w:val="white"/>
        </w:rPr>
        <w:t>Brettler</w:t>
      </w:r>
      <w:proofErr w:type="spellEnd"/>
      <w:r>
        <w:rPr>
          <w:rFonts w:ascii="Times New Roman" w:eastAsia="Times New Roman" w:hAnsi="Times New Roman" w:cs="Times New Roman"/>
          <w:color w:val="222222"/>
          <w:sz w:val="24"/>
          <w:szCs w:val="24"/>
          <w:highlight w:val="white"/>
        </w:rPr>
        <w:t xml:space="preserve">, J., Rader, F. and </w:t>
      </w:r>
      <w:proofErr w:type="spellStart"/>
      <w:r>
        <w:rPr>
          <w:rFonts w:ascii="Times New Roman" w:eastAsia="Times New Roman" w:hAnsi="Times New Roman" w:cs="Times New Roman"/>
          <w:color w:val="222222"/>
          <w:sz w:val="24"/>
          <w:szCs w:val="24"/>
          <w:highlight w:val="white"/>
        </w:rPr>
        <w:t>Elashoff</w:t>
      </w:r>
      <w:proofErr w:type="spellEnd"/>
      <w:r>
        <w:rPr>
          <w:rFonts w:ascii="Times New Roman" w:eastAsia="Times New Roman" w:hAnsi="Times New Roman" w:cs="Times New Roman"/>
          <w:color w:val="222222"/>
          <w:sz w:val="24"/>
          <w:szCs w:val="24"/>
          <w:highlight w:val="white"/>
        </w:rPr>
        <w:t xml:space="preserve">, R.M., 2019. Sustainability of blood pressure reduction in black barbershops. </w:t>
      </w:r>
      <w:r>
        <w:rPr>
          <w:rFonts w:ascii="Times New Roman" w:eastAsia="Times New Roman" w:hAnsi="Times New Roman" w:cs="Times New Roman"/>
          <w:i/>
          <w:color w:val="222222"/>
          <w:sz w:val="24"/>
          <w:szCs w:val="24"/>
          <w:highlight w:val="white"/>
        </w:rPr>
        <w:t>Circulation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139</w:t>
      </w:r>
      <w:r>
        <w:rPr>
          <w:rFonts w:ascii="Times New Roman" w:eastAsia="Times New Roman" w:hAnsi="Times New Roman" w:cs="Times New Roman"/>
          <w:color w:val="222222"/>
          <w:sz w:val="24"/>
          <w:szCs w:val="24"/>
          <w:highlight w:val="white"/>
        </w:rPr>
        <w:t>(1), pp.10-19.</w:t>
      </w:r>
    </w:p>
    <w:p w14:paraId="64C924B6" w14:textId="77777777"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Zheng, X., Zhou, Y. and Iqbal, S., 2022. Working capital management of SMEs in COVID-19: role of managerial personality traits and overconfidence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Economic Analysis and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 pp.439-451.</w:t>
      </w:r>
    </w:p>
    <w:p w14:paraId="13924EEF" w14:textId="08997392" w:rsidR="000778A7" w:rsidRDefault="000778A7" w:rsidP="000778A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Zuckerman, A.D., Patel, P.C., Sullivan, M., Potts, A., Knostman, M., Humphreys, E., O’Neal, M., Bryant, A., Torr, D.K., Lobo, B. and Peek, G., 2020. From natural disaster to pandemic: A health-system pharmacy rises to the challenge. </w:t>
      </w:r>
      <w:r>
        <w:rPr>
          <w:rFonts w:ascii="Times New Roman" w:eastAsia="Times New Roman" w:hAnsi="Times New Roman" w:cs="Times New Roman"/>
          <w:i/>
          <w:color w:val="222222"/>
          <w:sz w:val="24"/>
          <w:szCs w:val="24"/>
          <w:highlight w:val="white"/>
        </w:rPr>
        <w:t>American Journal of Health-System 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(23), pp.1986-1993.</w:t>
      </w:r>
    </w:p>
    <w:p w14:paraId="3F641CBD"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Barber, B. and Miller, C., 2019. Propaganda and combat motivation: Radio broadcasts and German soldiers’ performance in World War II. </w:t>
      </w:r>
      <w:r>
        <w:rPr>
          <w:rFonts w:ascii="Times New Roman" w:eastAsia="Times New Roman" w:hAnsi="Times New Roman" w:cs="Times New Roman"/>
          <w:i/>
          <w:sz w:val="24"/>
          <w:szCs w:val="24"/>
        </w:rPr>
        <w:t>World Politics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71</w:t>
      </w:r>
      <w:r>
        <w:rPr>
          <w:rFonts w:ascii="Times New Roman" w:eastAsia="Times New Roman" w:hAnsi="Times New Roman" w:cs="Times New Roman"/>
          <w:sz w:val="24"/>
          <w:szCs w:val="24"/>
        </w:rPr>
        <w:t>(3), pp.457-502.</w:t>
      </w:r>
    </w:p>
    <w:p w14:paraId="7EAF5772"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Barber, B.M., Huang, X., </w:t>
      </w:r>
      <w:proofErr w:type="spellStart"/>
      <w:r>
        <w:rPr>
          <w:rFonts w:ascii="Times New Roman" w:eastAsia="Times New Roman" w:hAnsi="Times New Roman" w:cs="Times New Roman"/>
          <w:color w:val="222222"/>
          <w:sz w:val="24"/>
          <w:szCs w:val="24"/>
          <w:highlight w:val="white"/>
        </w:rPr>
        <w:t>Odean</w:t>
      </w:r>
      <w:proofErr w:type="spellEnd"/>
      <w:r>
        <w:rPr>
          <w:rFonts w:ascii="Times New Roman" w:eastAsia="Times New Roman" w:hAnsi="Times New Roman" w:cs="Times New Roman"/>
          <w:color w:val="222222"/>
          <w:sz w:val="24"/>
          <w:szCs w:val="24"/>
          <w:highlight w:val="white"/>
        </w:rPr>
        <w:t xml:space="preserve">, T. and Schwarz, C., 2022. Attention‐induced trading and returns: Evidence from Robinhood users. </w:t>
      </w:r>
      <w:r>
        <w:rPr>
          <w:rFonts w:ascii="Times New Roman" w:eastAsia="Times New Roman" w:hAnsi="Times New Roman" w:cs="Times New Roman"/>
          <w:i/>
          <w:sz w:val="24"/>
          <w:szCs w:val="24"/>
        </w:rPr>
        <w:t>The Journal of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77</w:t>
      </w:r>
      <w:r>
        <w:rPr>
          <w:rFonts w:ascii="Times New Roman" w:eastAsia="Times New Roman" w:hAnsi="Times New Roman" w:cs="Times New Roman"/>
          <w:sz w:val="24"/>
          <w:szCs w:val="24"/>
        </w:rPr>
        <w:t>(6), pp.3141-3190.</w:t>
      </w:r>
    </w:p>
    <w:p w14:paraId="27BAB9FC"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Barber, M., 2018. Settling for </w:t>
      </w:r>
      <w:proofErr w:type="gramStart"/>
      <w:r>
        <w:rPr>
          <w:rFonts w:ascii="Times New Roman" w:eastAsia="Times New Roman" w:hAnsi="Times New Roman" w:cs="Times New Roman"/>
          <w:color w:val="222222"/>
          <w:sz w:val="24"/>
          <w:szCs w:val="24"/>
          <w:highlight w:val="white"/>
        </w:rPr>
        <w:t>dams?:</w:t>
      </w:r>
      <w:proofErr w:type="gramEnd"/>
      <w:r>
        <w:rPr>
          <w:rFonts w:ascii="Times New Roman" w:eastAsia="Times New Roman" w:hAnsi="Times New Roman" w:cs="Times New Roman"/>
          <w:color w:val="222222"/>
          <w:sz w:val="24"/>
          <w:szCs w:val="24"/>
          <w:highlight w:val="white"/>
        </w:rPr>
        <w:t xml:space="preserve"> planning for sustainable Indigenous livelihoods within large-scale irrigated agricultural development in north Queensland, Australia. </w:t>
      </w:r>
      <w:r>
        <w:rPr>
          <w:rFonts w:ascii="Times New Roman" w:eastAsia="Times New Roman" w:hAnsi="Times New Roman" w:cs="Times New Roman"/>
          <w:i/>
          <w:sz w:val="24"/>
          <w:szCs w:val="24"/>
        </w:rPr>
        <w:t>The Rangeland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(4), pp.365-379.</w:t>
      </w:r>
    </w:p>
    <w:p w14:paraId="417DBEE8"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Barber, P., 2020. ‘Context is everything…’: Ruminations on Developments in the History of Cartography since the 1970s and Their Consequences. </w:t>
      </w:r>
      <w:r>
        <w:rPr>
          <w:rFonts w:ascii="Times New Roman" w:eastAsia="Times New Roman" w:hAnsi="Times New Roman" w:cs="Times New Roman"/>
          <w:i/>
          <w:sz w:val="24"/>
          <w:szCs w:val="24"/>
        </w:rPr>
        <w:t>Imago Mundi</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72</w:t>
      </w:r>
      <w:r>
        <w:rPr>
          <w:rFonts w:ascii="Times New Roman" w:eastAsia="Times New Roman" w:hAnsi="Times New Roman" w:cs="Times New Roman"/>
          <w:sz w:val="24"/>
          <w:szCs w:val="24"/>
        </w:rPr>
        <w:t>(2), pp.131-147.</w:t>
      </w:r>
    </w:p>
    <w:p w14:paraId="10119344"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Barber, T.M., 2020. COVID-19 and diabetes mellitus: implications for prognosis and clinical management. </w:t>
      </w:r>
      <w:r>
        <w:rPr>
          <w:rFonts w:ascii="Times New Roman" w:eastAsia="Times New Roman" w:hAnsi="Times New Roman" w:cs="Times New Roman"/>
          <w:i/>
          <w:sz w:val="24"/>
          <w:szCs w:val="24"/>
        </w:rPr>
        <w:t>Expert Review of Endocrinology &amp; Metabolism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(4), pp.227-236.</w:t>
      </w:r>
    </w:p>
    <w:p w14:paraId="0D4B4809"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Buechley</w:t>
      </w:r>
      <w:proofErr w:type="spellEnd"/>
      <w:r>
        <w:rPr>
          <w:rFonts w:ascii="Times New Roman" w:eastAsia="Times New Roman" w:hAnsi="Times New Roman" w:cs="Times New Roman"/>
          <w:color w:val="222222"/>
          <w:sz w:val="24"/>
          <w:szCs w:val="24"/>
          <w:highlight w:val="white"/>
        </w:rPr>
        <w:t xml:space="preserve">, E.R., </w:t>
      </w:r>
      <w:proofErr w:type="spellStart"/>
      <w:r>
        <w:rPr>
          <w:rFonts w:ascii="Times New Roman" w:eastAsia="Times New Roman" w:hAnsi="Times New Roman" w:cs="Times New Roman"/>
          <w:color w:val="222222"/>
          <w:sz w:val="24"/>
          <w:szCs w:val="24"/>
          <w:highlight w:val="white"/>
        </w:rPr>
        <w:t>Girardello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Santangeli</w:t>
      </w:r>
      <w:proofErr w:type="spellEnd"/>
      <w:r>
        <w:rPr>
          <w:rFonts w:ascii="Times New Roman" w:eastAsia="Times New Roman" w:hAnsi="Times New Roman" w:cs="Times New Roman"/>
          <w:color w:val="222222"/>
          <w:sz w:val="24"/>
          <w:szCs w:val="24"/>
          <w:highlight w:val="white"/>
        </w:rPr>
        <w:t xml:space="preserve">, A., Ruffo, A.D., </w:t>
      </w:r>
      <w:proofErr w:type="spellStart"/>
      <w:r>
        <w:rPr>
          <w:rFonts w:ascii="Times New Roman" w:eastAsia="Times New Roman" w:hAnsi="Times New Roman" w:cs="Times New Roman"/>
          <w:color w:val="222222"/>
          <w:sz w:val="24"/>
          <w:szCs w:val="24"/>
          <w:highlight w:val="white"/>
        </w:rPr>
        <w:t>Ayalew</w:t>
      </w:r>
      <w:proofErr w:type="spellEnd"/>
      <w:r>
        <w:rPr>
          <w:rFonts w:ascii="Times New Roman" w:eastAsia="Times New Roman" w:hAnsi="Times New Roman" w:cs="Times New Roman"/>
          <w:color w:val="222222"/>
          <w:sz w:val="24"/>
          <w:szCs w:val="24"/>
          <w:highlight w:val="white"/>
        </w:rPr>
        <w:t xml:space="preserve">, G., Abebe, Y.D., Barber, D.R., </w:t>
      </w:r>
      <w:proofErr w:type="spellStart"/>
      <w:r>
        <w:rPr>
          <w:rFonts w:ascii="Times New Roman" w:eastAsia="Times New Roman" w:hAnsi="Times New Roman" w:cs="Times New Roman"/>
          <w:color w:val="222222"/>
          <w:sz w:val="24"/>
          <w:szCs w:val="24"/>
          <w:highlight w:val="white"/>
        </w:rPr>
        <w:t>Buij</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Bildstein</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Mahamued</w:t>
      </w:r>
      <w:proofErr w:type="spellEnd"/>
      <w:r>
        <w:rPr>
          <w:rFonts w:ascii="Times New Roman" w:eastAsia="Times New Roman" w:hAnsi="Times New Roman" w:cs="Times New Roman"/>
          <w:color w:val="222222"/>
          <w:sz w:val="24"/>
          <w:szCs w:val="24"/>
          <w:highlight w:val="white"/>
        </w:rPr>
        <w:t xml:space="preserve">, B.A. and </w:t>
      </w:r>
      <w:proofErr w:type="spellStart"/>
      <w:r>
        <w:rPr>
          <w:rFonts w:ascii="Times New Roman" w:eastAsia="Times New Roman" w:hAnsi="Times New Roman" w:cs="Times New Roman"/>
          <w:color w:val="222222"/>
          <w:sz w:val="24"/>
          <w:szCs w:val="24"/>
          <w:highlight w:val="white"/>
        </w:rPr>
        <w:t>Neate</w:t>
      </w:r>
      <w:proofErr w:type="spellEnd"/>
      <w:r>
        <w:rPr>
          <w:rFonts w:ascii="Times New Roman" w:eastAsia="Times New Roman" w:hAnsi="Times New Roman" w:cs="Times New Roman"/>
          <w:color w:val="222222"/>
          <w:sz w:val="24"/>
          <w:szCs w:val="24"/>
          <w:highlight w:val="white"/>
        </w:rPr>
        <w:t xml:space="preserve">-Clegg, M.H., 2022. Priority areas for vulture conservation in the Horn of Africa largely fall outside the protected area network. </w:t>
      </w:r>
      <w:r>
        <w:rPr>
          <w:rFonts w:ascii="Times New Roman" w:eastAsia="Times New Roman" w:hAnsi="Times New Roman" w:cs="Times New Roman"/>
          <w:i/>
          <w:sz w:val="24"/>
          <w:szCs w:val="24"/>
        </w:rPr>
        <w:t>Bird Conservation 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(2), pp.188-205.</w:t>
      </w:r>
    </w:p>
    <w:p w14:paraId="1C173AD1"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Chatterjee, S. and Barber, K., 2021. Between 'here-now and 'there-then': the West and Asia's colonial entanglements in international higher education. </w:t>
      </w:r>
      <w:r>
        <w:rPr>
          <w:rFonts w:ascii="Times New Roman" w:eastAsia="Times New Roman" w:hAnsi="Times New Roman" w:cs="Times New Roman"/>
          <w:i/>
          <w:sz w:val="24"/>
          <w:szCs w:val="24"/>
        </w:rPr>
        <w:t>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81</w:t>
      </w:r>
      <w:r>
        <w:rPr>
          <w:rFonts w:ascii="Times New Roman" w:eastAsia="Times New Roman" w:hAnsi="Times New Roman" w:cs="Times New Roman"/>
          <w:sz w:val="24"/>
          <w:szCs w:val="24"/>
        </w:rPr>
        <w:t>(2), pp.221-239.</w:t>
      </w:r>
    </w:p>
    <w:p w14:paraId="42382A95" w14:textId="77777777" w:rsidR="00874092" w:rsidRDefault="00874092" w:rsidP="00874092">
      <w:pPr>
        <w:pStyle w:val="NormalWeb"/>
        <w:spacing w:before="0" w:beforeAutospacing="0" w:after="240" w:afterAutospacing="0" w:line="360" w:lineRule="auto"/>
      </w:pPr>
      <w:r>
        <w:t xml:space="preserve">Conceptboard.com. (2018). </w:t>
      </w:r>
      <w:r>
        <w:rPr>
          <w:i/>
          <w:iCs/>
        </w:rPr>
        <w:t>Porter Five Analysis</w:t>
      </w:r>
      <w:r>
        <w:t>. [online] Available at: https://conceptboard.com/wp-content/uploads/porters-five-forces-template.jpg [Accessed 14 Dec. 2022].</w:t>
      </w:r>
    </w:p>
    <w:p w14:paraId="7FC67AFB"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Ebinger</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Blyler</w:t>
      </w:r>
      <w:proofErr w:type="spellEnd"/>
      <w:r>
        <w:rPr>
          <w:rFonts w:ascii="Times New Roman" w:eastAsia="Times New Roman" w:hAnsi="Times New Roman" w:cs="Times New Roman"/>
          <w:color w:val="222222"/>
          <w:sz w:val="24"/>
          <w:szCs w:val="24"/>
          <w:highlight w:val="white"/>
        </w:rPr>
        <w:t xml:space="preserve">, C.A., </w:t>
      </w:r>
      <w:proofErr w:type="spellStart"/>
      <w:r>
        <w:rPr>
          <w:rFonts w:ascii="Times New Roman" w:eastAsia="Times New Roman" w:hAnsi="Times New Roman" w:cs="Times New Roman"/>
          <w:color w:val="222222"/>
          <w:sz w:val="24"/>
          <w:szCs w:val="24"/>
          <w:highlight w:val="white"/>
        </w:rPr>
        <w:t>Brettler</w:t>
      </w:r>
      <w:proofErr w:type="spellEnd"/>
      <w:r>
        <w:rPr>
          <w:rFonts w:ascii="Times New Roman" w:eastAsia="Times New Roman" w:hAnsi="Times New Roman" w:cs="Times New Roman"/>
          <w:color w:val="222222"/>
          <w:sz w:val="24"/>
          <w:szCs w:val="24"/>
          <w:highlight w:val="white"/>
        </w:rPr>
        <w:t xml:space="preserve">, J. and Rader, F., 2020. Barbershop management of hypertension in the African American population: pitfalls and opportunities for extension to other underserved communities. </w:t>
      </w:r>
      <w:r>
        <w:rPr>
          <w:rFonts w:ascii="Times New Roman" w:eastAsia="Times New Roman" w:hAnsi="Times New Roman" w:cs="Times New Roman"/>
          <w:i/>
          <w:sz w:val="24"/>
          <w:szCs w:val="24"/>
        </w:rPr>
        <w:t>Current Cardiology Reports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(8), pp.1-8.</w:t>
      </w:r>
    </w:p>
    <w:p w14:paraId="7C68DBC0"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Gao, X., Xu, J., and Liu, H., 2021. Current Status of Healthcare and Available E-Health Solutions in China. </w:t>
      </w:r>
      <w:r>
        <w:rPr>
          <w:rFonts w:ascii="Times New Roman" w:eastAsia="Times New Roman" w:hAnsi="Times New Roman" w:cs="Times New Roman"/>
          <w:i/>
          <w:sz w:val="24"/>
          <w:szCs w:val="24"/>
        </w:rPr>
        <w:t>E-Business in the 21st Century: Essential Topics and Studies; World Scientific Pub. Co. Inc.: Singapore</w:t>
      </w:r>
      <w:r>
        <w:rPr>
          <w:rFonts w:ascii="Times New Roman" w:eastAsia="Times New Roman" w:hAnsi="Times New Roman" w:cs="Times New Roman"/>
          <w:sz w:val="24"/>
          <w:szCs w:val="24"/>
        </w:rPr>
        <w:t>, pp.169-199.</w:t>
      </w:r>
    </w:p>
    <w:p w14:paraId="5DC35C98"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González-Pérez, L.I. and Ramírez-Montoya, M.S., 2022. Components of Education 4.0 in 21st century skills frameworks: systematic review.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(3), p.1493.</w:t>
      </w:r>
    </w:p>
    <w:p w14:paraId="2AC41933" w14:textId="77777777" w:rsidR="00874092" w:rsidRDefault="00874092" w:rsidP="00874092">
      <w:pPr>
        <w:pStyle w:val="NormalWeb"/>
        <w:spacing w:before="0" w:beforeAutospacing="0" w:after="240" w:afterAutospacing="0" w:line="360" w:lineRule="auto"/>
      </w:pPr>
      <w:r>
        <w:t xml:space="preserve">Kbvresearch.com. (2022). </w:t>
      </w:r>
      <w:r>
        <w:rPr>
          <w:i/>
          <w:iCs/>
        </w:rPr>
        <w:t>Market analysis of Barbershop</w:t>
      </w:r>
      <w:r>
        <w:t>. [online] Available at: https://www.kbvresearch.com/kcfinder/upload/images/medical-spa-market-share.jpg [Accessed 14 Dec. 2022].</w:t>
      </w:r>
    </w:p>
    <w:p w14:paraId="4007752C"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Kroon, B. and Paauwe, J., 2022. HRM in 21st century small organizations: a midrange typology to describe, contrast and contextualize the phenomenon.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(16), pp.3224-3251.</w:t>
      </w:r>
    </w:p>
    <w:p w14:paraId="7926E2EF"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Lewis, N. and Shore, C., 2019. From unbundling to market making: Reimagining, reassembling, and reinventing the public university. </w:t>
      </w:r>
      <w:r>
        <w:rPr>
          <w:rFonts w:ascii="Times New Roman" w:eastAsia="Times New Roman" w:hAnsi="Times New Roman" w:cs="Times New Roman"/>
          <w:i/>
          <w:sz w:val="24"/>
          <w:szCs w:val="24"/>
        </w:rPr>
        <w:t>Globalisation, Societies, and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(1), pp.11-27.</w:t>
      </w:r>
    </w:p>
    <w:p w14:paraId="63DCF5BD"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Lyons, I. and Barber, M., 2021. Relatedness and co-existence in water resource assessments: Indigenous water values, rights, and interests in the Mitchell catchment, North Queensland. </w:t>
      </w:r>
      <w:r>
        <w:rPr>
          <w:rFonts w:ascii="Times New Roman" w:eastAsia="Times New Roman" w:hAnsi="Times New Roman" w:cs="Times New Roman"/>
          <w:i/>
          <w:sz w:val="24"/>
          <w:szCs w:val="24"/>
        </w:rPr>
        <w:t>Australasian Journal of Water Resources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(1), pp.57-69.</w:t>
      </w:r>
    </w:p>
    <w:p w14:paraId="2ECC4ADF"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McMillan, A. and Barber III, D., 2020. Credit hour to contact hour: Using the Carnegie unit to measure student learning in the </w:t>
      </w:r>
      <w:proofErr w:type="gramStart"/>
      <w:r>
        <w:rPr>
          <w:rFonts w:ascii="Times New Roman" w:eastAsia="Times New Roman" w:hAnsi="Times New Roman" w:cs="Times New Roman"/>
          <w:color w:val="222222"/>
          <w:sz w:val="24"/>
          <w:szCs w:val="24"/>
          <w:highlight w:val="white"/>
        </w:rPr>
        <w:t>united states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Journal of Higher Education Theory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(2), pp.88-99.</w:t>
      </w:r>
    </w:p>
    <w:p w14:paraId="6E612679"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Min, S.J., 2020. What the twenty-</w:t>
      </w:r>
      <w:proofErr w:type="gramStart"/>
      <w:r>
        <w:rPr>
          <w:rFonts w:ascii="Times New Roman" w:eastAsia="Times New Roman" w:hAnsi="Times New Roman" w:cs="Times New Roman"/>
          <w:color w:val="222222"/>
          <w:sz w:val="24"/>
          <w:szCs w:val="24"/>
          <w:highlight w:val="white"/>
        </w:rPr>
        <w:t>first-century</w:t>
      </w:r>
      <w:proofErr w:type="gramEnd"/>
      <w:r>
        <w:rPr>
          <w:rFonts w:ascii="Times New Roman" w:eastAsia="Times New Roman" w:hAnsi="Times New Roman" w:cs="Times New Roman"/>
          <w:color w:val="222222"/>
          <w:sz w:val="24"/>
          <w:szCs w:val="24"/>
          <w:highlight w:val="white"/>
        </w:rPr>
        <w:t xml:space="preserve"> engaged journalism can learn from twentieth-century public journalism? </w:t>
      </w:r>
      <w:r>
        <w:rPr>
          <w:rFonts w:ascii="Times New Roman" w:eastAsia="Times New Roman" w:hAnsi="Times New Roman" w:cs="Times New Roman"/>
          <w:i/>
          <w:sz w:val="24"/>
          <w:szCs w:val="24"/>
        </w:rPr>
        <w:t>Journalism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(5), pp.626-641.</w:t>
      </w:r>
    </w:p>
    <w:p w14:paraId="200DEB84"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Monteiro, P. and Adler, P.S., 2022. Bureaucracy for the 21st Century: Clarifying and Expanding Our View of Bureaucratic Organization. </w:t>
      </w:r>
      <w:r>
        <w:rPr>
          <w:rFonts w:ascii="Times New Roman" w:eastAsia="Times New Roman" w:hAnsi="Times New Roman" w:cs="Times New Roman"/>
          <w:i/>
          <w:sz w:val="24"/>
          <w:szCs w:val="24"/>
        </w:rPr>
        <w:t>Academy of Management Annals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(2), pp.427-475.</w:t>
      </w:r>
    </w:p>
    <w:p w14:paraId="5110EEA9"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Nam, J. and Dempsey, N., 2020. Acceptability of income generation practices in 21st-century urban park management: The case of city district parks. </w:t>
      </w:r>
      <w:r>
        <w:rPr>
          <w:rFonts w:ascii="Times New Roman" w:eastAsia="Times New Roman" w:hAnsi="Times New Roman" w:cs="Times New Roman"/>
          <w:i/>
          <w:sz w:val="24"/>
          <w:szCs w:val="24"/>
        </w:rPr>
        <w:t>Journal of environmental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264</w:t>
      </w:r>
      <w:r>
        <w:rPr>
          <w:rFonts w:ascii="Times New Roman" w:eastAsia="Times New Roman" w:hAnsi="Times New Roman" w:cs="Times New Roman"/>
          <w:sz w:val="24"/>
          <w:szCs w:val="24"/>
        </w:rPr>
        <w:t>, p.109948.</w:t>
      </w:r>
    </w:p>
    <w:p w14:paraId="11A09CB8"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Nategh</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Boglietti</w:t>
      </w:r>
      <w:proofErr w:type="spellEnd"/>
      <w:r>
        <w:rPr>
          <w:rFonts w:ascii="Times New Roman" w:eastAsia="Times New Roman" w:hAnsi="Times New Roman" w:cs="Times New Roman"/>
          <w:color w:val="222222"/>
          <w:sz w:val="24"/>
          <w:szCs w:val="24"/>
          <w:highlight w:val="white"/>
        </w:rPr>
        <w:t xml:space="preserve">, A., Liu, Y., Barber, D., Brammer, R., Lindberg, D. and </w:t>
      </w:r>
      <w:proofErr w:type="spellStart"/>
      <w:r>
        <w:rPr>
          <w:rFonts w:ascii="Times New Roman" w:eastAsia="Times New Roman" w:hAnsi="Times New Roman" w:cs="Times New Roman"/>
          <w:color w:val="222222"/>
          <w:sz w:val="24"/>
          <w:szCs w:val="24"/>
          <w:highlight w:val="white"/>
        </w:rPr>
        <w:t>Aglen</w:t>
      </w:r>
      <w:proofErr w:type="spellEnd"/>
      <w:r>
        <w:rPr>
          <w:rFonts w:ascii="Times New Roman" w:eastAsia="Times New Roman" w:hAnsi="Times New Roman" w:cs="Times New Roman"/>
          <w:color w:val="222222"/>
          <w:sz w:val="24"/>
          <w:szCs w:val="24"/>
          <w:highlight w:val="white"/>
        </w:rPr>
        <w:t xml:space="preserve">, O., 2020. A review of different aspects of traction motor design for railway applications. </w:t>
      </w:r>
      <w:r>
        <w:rPr>
          <w:rFonts w:ascii="Times New Roman" w:eastAsia="Times New Roman" w:hAnsi="Times New Roman" w:cs="Times New Roman"/>
          <w:i/>
          <w:sz w:val="24"/>
          <w:szCs w:val="24"/>
        </w:rPr>
        <w:t>IEEE Transactions on Industry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56</w:t>
      </w:r>
      <w:r>
        <w:rPr>
          <w:rFonts w:ascii="Times New Roman" w:eastAsia="Times New Roman" w:hAnsi="Times New Roman" w:cs="Times New Roman"/>
          <w:sz w:val="24"/>
          <w:szCs w:val="24"/>
        </w:rPr>
        <w:t>(3), pp.2148-2157.</w:t>
      </w:r>
    </w:p>
    <w:p w14:paraId="59A8F1B8"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Petter</w:t>
      </w:r>
      <w:proofErr w:type="spellEnd"/>
      <w:r>
        <w:rPr>
          <w:rFonts w:ascii="Times New Roman" w:eastAsia="Times New Roman" w:hAnsi="Times New Roman" w:cs="Times New Roman"/>
          <w:color w:val="222222"/>
          <w:sz w:val="24"/>
          <w:szCs w:val="24"/>
          <w:highlight w:val="white"/>
        </w:rPr>
        <w:t xml:space="preserve">, S., Barber, C.S. and Barber, D., 2020. Gaming the system: The effects of social capital as a resource for virtual team members. </w:t>
      </w:r>
      <w:r>
        <w:rPr>
          <w:rFonts w:ascii="Times New Roman" w:eastAsia="Times New Roman" w:hAnsi="Times New Roman" w:cs="Times New Roman"/>
          <w:i/>
          <w:sz w:val="24"/>
          <w:szCs w:val="24"/>
        </w:rPr>
        <w:t>Information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(6), p.103239.</w:t>
      </w:r>
    </w:p>
    <w:p w14:paraId="414E067F"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Pla</w:t>
      </w:r>
      <w:proofErr w:type="spellEnd"/>
      <w:r>
        <w:rPr>
          <w:rFonts w:ascii="Times New Roman" w:eastAsia="Times New Roman" w:hAnsi="Times New Roman" w:cs="Times New Roman"/>
          <w:color w:val="222222"/>
          <w:sz w:val="24"/>
          <w:szCs w:val="24"/>
          <w:highlight w:val="white"/>
        </w:rPr>
        <w:t xml:space="preserve">-Barber, J., Villar, C. and Narula, R., 2021. Governance of global value chains after the Covid-19 pandemic: A new wave of regionalization? </w:t>
      </w:r>
      <w:r>
        <w:rPr>
          <w:rFonts w:ascii="Times New Roman" w:eastAsia="Times New Roman" w:hAnsi="Times New Roman" w:cs="Times New Roman"/>
          <w:i/>
          <w:sz w:val="24"/>
          <w:szCs w:val="24"/>
        </w:rPr>
        <w:t>BRQ Business Research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(3), pp.204-213.</w:t>
      </w:r>
    </w:p>
    <w:p w14:paraId="695C0A21"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Reeves, M.D., </w:t>
      </w:r>
      <w:proofErr w:type="spellStart"/>
      <w:r>
        <w:rPr>
          <w:rFonts w:ascii="Times New Roman" w:eastAsia="Times New Roman" w:hAnsi="Times New Roman" w:cs="Times New Roman"/>
          <w:color w:val="222222"/>
          <w:sz w:val="24"/>
          <w:szCs w:val="24"/>
          <w:highlight w:val="white"/>
        </w:rPr>
        <w:t>Fritzsche</w:t>
      </w:r>
      <w:proofErr w:type="spellEnd"/>
      <w:r>
        <w:rPr>
          <w:rFonts w:ascii="Times New Roman" w:eastAsia="Times New Roman" w:hAnsi="Times New Roman" w:cs="Times New Roman"/>
          <w:color w:val="222222"/>
          <w:sz w:val="24"/>
          <w:szCs w:val="24"/>
          <w:highlight w:val="white"/>
        </w:rPr>
        <w:t xml:space="preserve">, B.A., Marcus, J., Smith, N.A. and Ng, Y.L., 2021. “Beware the young doctor and the old barber”: Development and validation of a job age-type spectrum. </w:t>
      </w:r>
      <w:r>
        <w:rPr>
          <w:rFonts w:ascii="Times New Roman" w:eastAsia="Times New Roman" w:hAnsi="Times New Roman" w:cs="Times New Roman"/>
          <w:i/>
          <w:sz w:val="24"/>
          <w:szCs w:val="24"/>
        </w:rPr>
        <w:t xml:space="preserve">Journal of Vocational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129</w:t>
      </w:r>
      <w:r>
        <w:rPr>
          <w:rFonts w:ascii="Times New Roman" w:eastAsia="Times New Roman" w:hAnsi="Times New Roman" w:cs="Times New Roman"/>
          <w:sz w:val="24"/>
          <w:szCs w:val="24"/>
        </w:rPr>
        <w:t>, p.103616.</w:t>
      </w:r>
    </w:p>
    <w:p w14:paraId="0AFD8595" w14:textId="77777777" w:rsidR="00874092" w:rsidRDefault="00874092" w:rsidP="0087409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Sanders, J.S. and Wong, T., 2021. International partner selection among higher education institutions in Hong Kong, Singapore, and Japan: a resource-based view. </w:t>
      </w:r>
      <w:r>
        <w:rPr>
          <w:rFonts w:ascii="Times New Roman" w:eastAsia="Times New Roman" w:hAnsi="Times New Roman" w:cs="Times New Roman"/>
          <w:i/>
          <w:sz w:val="24"/>
          <w:szCs w:val="24"/>
        </w:rPr>
        <w:t>Journal of Higher Education Policy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(2), pp.214-229.</w:t>
      </w:r>
    </w:p>
    <w:p w14:paraId="3AFA66B1" w14:textId="77777777" w:rsidR="00874092" w:rsidRDefault="00874092" w:rsidP="0087409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Thaxter</w:t>
      </w:r>
      <w:proofErr w:type="spellEnd"/>
      <w:r>
        <w:rPr>
          <w:rFonts w:ascii="Times New Roman" w:eastAsia="Times New Roman" w:hAnsi="Times New Roman" w:cs="Times New Roman"/>
          <w:color w:val="222222"/>
          <w:sz w:val="24"/>
          <w:szCs w:val="24"/>
          <w:highlight w:val="white"/>
        </w:rPr>
        <w:t xml:space="preserve">, C.B., Ross‐Smith, V.H., </w:t>
      </w:r>
      <w:proofErr w:type="spellStart"/>
      <w:r>
        <w:rPr>
          <w:rFonts w:ascii="Times New Roman" w:eastAsia="Times New Roman" w:hAnsi="Times New Roman" w:cs="Times New Roman"/>
          <w:color w:val="222222"/>
          <w:sz w:val="24"/>
          <w:szCs w:val="24"/>
          <w:highlight w:val="white"/>
        </w:rPr>
        <w:t>Bouten</w:t>
      </w:r>
      <w:proofErr w:type="spellEnd"/>
      <w:r>
        <w:rPr>
          <w:rFonts w:ascii="Times New Roman" w:eastAsia="Times New Roman" w:hAnsi="Times New Roman" w:cs="Times New Roman"/>
          <w:color w:val="222222"/>
          <w:sz w:val="24"/>
          <w:szCs w:val="24"/>
          <w:highlight w:val="white"/>
        </w:rPr>
        <w:t xml:space="preserve">, W., Clark, N.A., Conway, G.J., </w:t>
      </w:r>
      <w:proofErr w:type="spellStart"/>
      <w:r>
        <w:rPr>
          <w:rFonts w:ascii="Times New Roman" w:eastAsia="Times New Roman" w:hAnsi="Times New Roman" w:cs="Times New Roman"/>
          <w:color w:val="222222"/>
          <w:sz w:val="24"/>
          <w:szCs w:val="24"/>
          <w:highlight w:val="white"/>
        </w:rPr>
        <w:t>Masden</w:t>
      </w:r>
      <w:proofErr w:type="spellEnd"/>
      <w:r>
        <w:rPr>
          <w:rFonts w:ascii="Times New Roman" w:eastAsia="Times New Roman" w:hAnsi="Times New Roman" w:cs="Times New Roman"/>
          <w:color w:val="222222"/>
          <w:sz w:val="24"/>
          <w:szCs w:val="24"/>
          <w:highlight w:val="white"/>
        </w:rPr>
        <w:t xml:space="preserve">, E.A., </w:t>
      </w:r>
      <w:proofErr w:type="spellStart"/>
      <w:r>
        <w:rPr>
          <w:rFonts w:ascii="Times New Roman" w:eastAsia="Times New Roman" w:hAnsi="Times New Roman" w:cs="Times New Roman"/>
          <w:color w:val="222222"/>
          <w:sz w:val="24"/>
          <w:szCs w:val="24"/>
          <w:highlight w:val="white"/>
        </w:rPr>
        <w:t>Clewley</w:t>
      </w:r>
      <w:proofErr w:type="spellEnd"/>
      <w:r>
        <w:rPr>
          <w:rFonts w:ascii="Times New Roman" w:eastAsia="Times New Roman" w:hAnsi="Times New Roman" w:cs="Times New Roman"/>
          <w:color w:val="222222"/>
          <w:sz w:val="24"/>
          <w:szCs w:val="24"/>
          <w:highlight w:val="white"/>
        </w:rPr>
        <w:t xml:space="preserve">, G.D., Barber, L.J. and Burton, N.H., 2019. Avian vulnerability to wind farm collision through the year: Insights from lesser black‐backed gulls (Larus </w:t>
      </w:r>
      <w:proofErr w:type="spellStart"/>
      <w:r>
        <w:rPr>
          <w:rFonts w:ascii="Times New Roman" w:eastAsia="Times New Roman" w:hAnsi="Times New Roman" w:cs="Times New Roman"/>
          <w:color w:val="222222"/>
          <w:sz w:val="24"/>
          <w:szCs w:val="24"/>
          <w:highlight w:val="white"/>
        </w:rPr>
        <w:t>fuscus</w:t>
      </w:r>
      <w:proofErr w:type="spellEnd"/>
      <w:r>
        <w:rPr>
          <w:rFonts w:ascii="Times New Roman" w:eastAsia="Times New Roman" w:hAnsi="Times New Roman" w:cs="Times New Roman"/>
          <w:color w:val="222222"/>
          <w:sz w:val="24"/>
          <w:szCs w:val="24"/>
          <w:highlight w:val="white"/>
        </w:rPr>
        <w:t xml:space="preserve">) tracked from multiple breeding colonies. </w:t>
      </w:r>
      <w:r>
        <w:rPr>
          <w:rFonts w:ascii="Times New Roman" w:eastAsia="Times New Roman" w:hAnsi="Times New Roman" w:cs="Times New Roman"/>
          <w:i/>
          <w:sz w:val="24"/>
          <w:szCs w:val="24"/>
        </w:rPr>
        <w:t>Journal of Applied Ecology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56</w:t>
      </w:r>
      <w:r>
        <w:rPr>
          <w:rFonts w:ascii="Times New Roman" w:eastAsia="Times New Roman" w:hAnsi="Times New Roman" w:cs="Times New Roman"/>
          <w:sz w:val="24"/>
          <w:szCs w:val="24"/>
        </w:rPr>
        <w:t>(11), pp.2410-2422.</w:t>
      </w:r>
    </w:p>
    <w:p w14:paraId="01F3597F" w14:textId="77777777" w:rsidR="00874092" w:rsidRDefault="00874092" w:rsidP="000778A7">
      <w:pPr>
        <w:spacing w:before="240" w:after="240" w:line="360" w:lineRule="auto"/>
        <w:jc w:val="both"/>
        <w:rPr>
          <w:rFonts w:ascii="Times New Roman" w:eastAsia="Times New Roman" w:hAnsi="Times New Roman" w:cs="Times New Roman"/>
          <w:color w:val="222222"/>
          <w:sz w:val="24"/>
          <w:szCs w:val="24"/>
          <w:highlight w:val="white"/>
        </w:rPr>
      </w:pPr>
    </w:p>
    <w:p w14:paraId="2DB46F40" w14:textId="77777777" w:rsidR="000778A7" w:rsidRDefault="000778A7" w:rsidP="00AE1657">
      <w:pPr>
        <w:spacing w:before="240" w:after="240" w:line="360" w:lineRule="auto"/>
        <w:jc w:val="both"/>
        <w:rPr>
          <w:rFonts w:ascii="Times New Roman" w:eastAsia="Times New Roman" w:hAnsi="Times New Roman" w:cs="Times New Roman"/>
          <w:color w:val="222222"/>
          <w:sz w:val="24"/>
          <w:szCs w:val="24"/>
          <w:highlight w:val="white"/>
        </w:rPr>
      </w:pPr>
    </w:p>
    <w:p w14:paraId="0000004F" w14:textId="77777777" w:rsidR="00EA563A" w:rsidRDefault="00000000">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Slide 11</w:t>
      </w:r>
    </w:p>
    <w:p w14:paraId="00000050" w14:textId="7A841B77" w:rsidR="00EA563A" w:rsidRDefault="00000000">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Thank You</w:t>
      </w:r>
    </w:p>
    <w:p w14:paraId="391EA735" w14:textId="68016335"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1847E8FC" w14:textId="19C1C146"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392056F9" w14:textId="28B55F4E"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51160CCD" w14:textId="55F5E9AA"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56120CC0" w14:textId="0D801478"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059DF698" w14:textId="1809E523" w:rsidR="005D4035" w:rsidRDefault="005D4035">
      <w:pPr>
        <w:spacing w:line="360" w:lineRule="auto"/>
        <w:jc w:val="both"/>
        <w:rPr>
          <w:rFonts w:ascii="Times New Roman" w:eastAsia="Times New Roman" w:hAnsi="Times New Roman" w:cs="Times New Roman"/>
          <w:b/>
          <w:color w:val="222222"/>
          <w:sz w:val="28"/>
          <w:szCs w:val="28"/>
          <w:highlight w:val="white"/>
        </w:rPr>
      </w:pPr>
    </w:p>
    <w:p w14:paraId="4EA820DE" w14:textId="1DE92E50" w:rsidR="005D4035" w:rsidRDefault="005D4035">
      <w:pPr>
        <w:spacing w:line="360" w:lineRule="auto"/>
        <w:jc w:val="both"/>
        <w:rPr>
          <w:rFonts w:ascii="Times New Roman" w:eastAsia="Times New Roman" w:hAnsi="Times New Roman" w:cs="Times New Roman"/>
          <w:b/>
          <w:color w:val="222222"/>
          <w:sz w:val="28"/>
          <w:szCs w:val="28"/>
          <w:highlight w:val="white"/>
        </w:rPr>
      </w:pPr>
      <w:r w:rsidRPr="005D4035">
        <w:rPr>
          <w:rFonts w:ascii="Times New Roman" w:eastAsia="Times New Roman" w:hAnsi="Times New Roman" w:cs="Times New Roman"/>
          <w:b/>
          <w:noProof/>
          <w:color w:val="222222"/>
          <w:sz w:val="28"/>
          <w:szCs w:val="28"/>
          <w:highlight w:val="white"/>
        </w:rPr>
        <w:lastRenderedPageBreak/>
        <w:drawing>
          <wp:inline distT="0" distB="0" distL="0" distR="0" wp14:anchorId="37CD5FFE" wp14:editId="389A98EB">
            <wp:extent cx="4097020" cy="8860790"/>
            <wp:effectExtent l="0" t="0" r="0" b="0"/>
            <wp:docPr id="7" name="Picture 7"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description availab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7020" cy="8860790"/>
                    </a:xfrm>
                    <a:prstGeom prst="rect">
                      <a:avLst/>
                    </a:prstGeom>
                    <a:noFill/>
                    <a:ln>
                      <a:noFill/>
                    </a:ln>
                  </pic:spPr>
                </pic:pic>
              </a:graphicData>
            </a:graphic>
          </wp:inline>
        </w:drawing>
      </w:r>
    </w:p>
    <w:p w14:paraId="15DB88BD" w14:textId="5BCA7F68" w:rsidR="005D4035" w:rsidRDefault="005D4035">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noProof/>
          <w:color w:val="222222"/>
          <w:sz w:val="28"/>
          <w:szCs w:val="28"/>
        </w:rPr>
        <w:lastRenderedPageBreak/>
        <w:drawing>
          <wp:inline distT="0" distB="0" distL="0" distR="0" wp14:anchorId="0286B132" wp14:editId="14073A6E">
            <wp:extent cx="4097020" cy="88607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4097020" cy="8860790"/>
                    </a:xfrm>
                    <a:prstGeom prst="rect">
                      <a:avLst/>
                    </a:prstGeom>
                  </pic:spPr>
                </pic:pic>
              </a:graphicData>
            </a:graphic>
          </wp:inline>
        </w:drawing>
      </w:r>
    </w:p>
    <w:p w14:paraId="46E7AC43" w14:textId="22551326" w:rsidR="005D4035" w:rsidRDefault="005D4035">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noProof/>
          <w:color w:val="222222"/>
          <w:sz w:val="28"/>
          <w:szCs w:val="28"/>
        </w:rPr>
        <w:lastRenderedPageBreak/>
        <w:drawing>
          <wp:inline distT="0" distB="0" distL="0" distR="0" wp14:anchorId="34CC6F59" wp14:editId="4265C3E0">
            <wp:extent cx="4097020" cy="8860790"/>
            <wp:effectExtent l="0"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97020" cy="8860790"/>
                    </a:xfrm>
                    <a:prstGeom prst="rect">
                      <a:avLst/>
                    </a:prstGeom>
                  </pic:spPr>
                </pic:pic>
              </a:graphicData>
            </a:graphic>
          </wp:inline>
        </w:drawing>
      </w:r>
    </w:p>
    <w:p w14:paraId="63C8033E" w14:textId="1EEA8711" w:rsidR="005D4035" w:rsidRDefault="005D4035">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noProof/>
          <w:color w:val="222222"/>
          <w:sz w:val="28"/>
          <w:szCs w:val="28"/>
        </w:rPr>
        <w:lastRenderedPageBreak/>
        <w:drawing>
          <wp:inline distT="0" distB="0" distL="0" distR="0" wp14:anchorId="264C6ADF" wp14:editId="19161762">
            <wp:extent cx="4097020" cy="8860790"/>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97020" cy="8860790"/>
                    </a:xfrm>
                    <a:prstGeom prst="rect">
                      <a:avLst/>
                    </a:prstGeom>
                  </pic:spPr>
                </pic:pic>
              </a:graphicData>
            </a:graphic>
          </wp:inline>
        </w:drawing>
      </w:r>
    </w:p>
    <w:sectPr w:rsidR="005D4035" w:rsidSect="008D3745">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AA86F" w14:textId="77777777" w:rsidR="00CC78AD" w:rsidRDefault="00CC78AD">
      <w:pPr>
        <w:spacing w:line="240" w:lineRule="auto"/>
      </w:pPr>
      <w:r>
        <w:separator/>
      </w:r>
    </w:p>
  </w:endnote>
  <w:endnote w:type="continuationSeparator" w:id="0">
    <w:p w14:paraId="64E2563F" w14:textId="77777777" w:rsidR="00CC78AD" w:rsidRDefault="00CC7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148001"/>
      <w:docPartObj>
        <w:docPartGallery w:val="Page Numbers (Bottom of Page)"/>
        <w:docPartUnique/>
      </w:docPartObj>
    </w:sdtPr>
    <w:sdtEndPr>
      <w:rPr>
        <w:noProof/>
      </w:rPr>
    </w:sdtEndPr>
    <w:sdtContent>
      <w:p w14:paraId="30F64F72" w14:textId="166DF966" w:rsidR="008D374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A73D7" w14:textId="77777777" w:rsidR="008D3745" w:rsidRDefault="008D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DE2D3" w14:textId="77777777" w:rsidR="00CC78AD" w:rsidRDefault="00CC78AD">
      <w:pPr>
        <w:spacing w:line="240" w:lineRule="auto"/>
      </w:pPr>
      <w:r>
        <w:separator/>
      </w:r>
    </w:p>
  </w:footnote>
  <w:footnote w:type="continuationSeparator" w:id="0">
    <w:p w14:paraId="04A751A0" w14:textId="77777777" w:rsidR="00CC78AD" w:rsidRDefault="00CC78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2BE7"/>
    <w:multiLevelType w:val="multilevel"/>
    <w:tmpl w:val="D36A1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9F6202"/>
    <w:multiLevelType w:val="multilevel"/>
    <w:tmpl w:val="7868D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DC238E"/>
    <w:multiLevelType w:val="multilevel"/>
    <w:tmpl w:val="4F387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AB0D46"/>
    <w:multiLevelType w:val="multilevel"/>
    <w:tmpl w:val="F5DA4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B50E07"/>
    <w:multiLevelType w:val="multilevel"/>
    <w:tmpl w:val="9E3E2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67262F"/>
    <w:multiLevelType w:val="multilevel"/>
    <w:tmpl w:val="47CCE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173988"/>
    <w:multiLevelType w:val="multilevel"/>
    <w:tmpl w:val="B9AA3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0408837">
    <w:abstractNumId w:val="6"/>
  </w:num>
  <w:num w:numId="2" w16cid:durableId="1771315429">
    <w:abstractNumId w:val="0"/>
  </w:num>
  <w:num w:numId="3" w16cid:durableId="1973705776">
    <w:abstractNumId w:val="5"/>
  </w:num>
  <w:num w:numId="4" w16cid:durableId="1429733473">
    <w:abstractNumId w:val="4"/>
  </w:num>
  <w:num w:numId="5" w16cid:durableId="2133741632">
    <w:abstractNumId w:val="1"/>
  </w:num>
  <w:num w:numId="6" w16cid:durableId="1486045094">
    <w:abstractNumId w:val="2"/>
  </w:num>
  <w:num w:numId="7" w16cid:durableId="16167187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63A"/>
    <w:rsid w:val="000778A7"/>
    <w:rsid w:val="0025349E"/>
    <w:rsid w:val="00503D89"/>
    <w:rsid w:val="005D4035"/>
    <w:rsid w:val="006A64C3"/>
    <w:rsid w:val="006A7CC5"/>
    <w:rsid w:val="00874092"/>
    <w:rsid w:val="008D3745"/>
    <w:rsid w:val="00AA1F0D"/>
    <w:rsid w:val="00AE1657"/>
    <w:rsid w:val="00BB1934"/>
    <w:rsid w:val="00C652F1"/>
    <w:rsid w:val="00CC78AD"/>
    <w:rsid w:val="00EA563A"/>
    <w:rsid w:val="00FD1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08004"/>
  <w15:docId w15:val="{2555268F-BDA0-418D-A1D0-CB345D103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3745"/>
    <w:pPr>
      <w:tabs>
        <w:tab w:val="center" w:pos="4680"/>
        <w:tab w:val="right" w:pos="9360"/>
      </w:tabs>
      <w:spacing w:line="240" w:lineRule="auto"/>
    </w:pPr>
  </w:style>
  <w:style w:type="character" w:customStyle="1" w:styleId="HeaderChar">
    <w:name w:val="Header Char"/>
    <w:basedOn w:val="DefaultParagraphFont"/>
    <w:link w:val="Header"/>
    <w:uiPriority w:val="99"/>
    <w:rsid w:val="008D3745"/>
  </w:style>
  <w:style w:type="paragraph" w:styleId="Footer">
    <w:name w:val="footer"/>
    <w:basedOn w:val="Normal"/>
    <w:link w:val="FooterChar"/>
    <w:uiPriority w:val="99"/>
    <w:unhideWhenUsed/>
    <w:rsid w:val="008D3745"/>
    <w:pPr>
      <w:tabs>
        <w:tab w:val="center" w:pos="4680"/>
        <w:tab w:val="right" w:pos="9360"/>
      </w:tabs>
      <w:spacing w:line="240" w:lineRule="auto"/>
    </w:pPr>
  </w:style>
  <w:style w:type="character" w:customStyle="1" w:styleId="FooterChar">
    <w:name w:val="Footer Char"/>
    <w:basedOn w:val="DefaultParagraphFont"/>
    <w:link w:val="Footer"/>
    <w:uiPriority w:val="99"/>
    <w:rsid w:val="008D3745"/>
  </w:style>
  <w:style w:type="paragraph" w:styleId="Revision">
    <w:name w:val="Revision"/>
    <w:hidden/>
    <w:uiPriority w:val="99"/>
    <w:semiHidden/>
    <w:rsid w:val="000778A7"/>
    <w:pPr>
      <w:spacing w:line="240" w:lineRule="auto"/>
    </w:pPr>
  </w:style>
  <w:style w:type="paragraph" w:styleId="NormalWeb">
    <w:name w:val="Normal (Web)"/>
    <w:basedOn w:val="Normal"/>
    <w:uiPriority w:val="99"/>
    <w:semiHidden/>
    <w:unhideWhenUsed/>
    <w:rsid w:val="000778A7"/>
    <w:pPr>
      <w:spacing w:before="100" w:beforeAutospacing="1" w:after="100" w:afterAutospacing="1" w:line="240" w:lineRule="auto"/>
    </w:pPr>
    <w:rPr>
      <w:rFonts w:ascii="Times New Roman" w:eastAsia="Times New Roman" w:hAnsi="Times New Roman" w:cs="Times New Roman"/>
      <w:sz w:val="24"/>
      <w:szCs w:val="24"/>
      <w:lang w:val="en-US"/>
    </w:rPr>
  </w:style>
  <w:style w:type="table" w:customStyle="1" w:styleId="a">
    <w:name w:val="a"/>
    <w:basedOn w:val="TableNormal"/>
    <w:rsid w:val="00874092"/>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503D89"/>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503D89"/>
    <w:tblPr>
      <w:tblStyleRowBandSize w:val="1"/>
      <w:tblStyleColBandSize w:val="1"/>
      <w:tblInd w:w="0" w:type="nil"/>
      <w:tblCellMar>
        <w:top w:w="100" w:type="dxa"/>
        <w:left w:w="100" w:type="dxa"/>
        <w:bottom w:w="100" w:type="dxa"/>
        <w:right w:w="100" w:type="dxa"/>
      </w:tblCellMar>
    </w:tblPr>
  </w:style>
  <w:style w:type="table" w:styleId="TableGrid">
    <w:name w:val="Table Grid"/>
    <w:basedOn w:val="TableNormal"/>
    <w:uiPriority w:val="39"/>
    <w:rsid w:val="0025349E"/>
    <w:pPr>
      <w:spacing w:line="240" w:lineRule="auto"/>
    </w:pPr>
    <w:rPr>
      <w:rFonts w:asciiTheme="minorHAnsi" w:eastAsiaTheme="minorEastAsia" w:hAnsiTheme="minorHAnsi" w:cstheme="minorBidi"/>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125141">
      <w:bodyDiv w:val="1"/>
      <w:marLeft w:val="0"/>
      <w:marRight w:val="0"/>
      <w:marTop w:val="0"/>
      <w:marBottom w:val="0"/>
      <w:divBdr>
        <w:top w:val="none" w:sz="0" w:space="0" w:color="auto"/>
        <w:left w:val="none" w:sz="0" w:space="0" w:color="auto"/>
        <w:bottom w:val="none" w:sz="0" w:space="0" w:color="auto"/>
        <w:right w:val="none" w:sz="0" w:space="0" w:color="auto"/>
      </w:divBdr>
    </w:div>
    <w:div w:id="786847457">
      <w:bodyDiv w:val="1"/>
      <w:marLeft w:val="0"/>
      <w:marRight w:val="0"/>
      <w:marTop w:val="0"/>
      <w:marBottom w:val="0"/>
      <w:divBdr>
        <w:top w:val="none" w:sz="0" w:space="0" w:color="auto"/>
        <w:left w:val="none" w:sz="0" w:space="0" w:color="auto"/>
        <w:bottom w:val="none" w:sz="0" w:space="0" w:color="auto"/>
        <w:right w:val="none" w:sz="0" w:space="0" w:color="auto"/>
      </w:divBdr>
    </w:div>
    <w:div w:id="851602074">
      <w:bodyDiv w:val="1"/>
      <w:marLeft w:val="0"/>
      <w:marRight w:val="0"/>
      <w:marTop w:val="0"/>
      <w:marBottom w:val="0"/>
      <w:divBdr>
        <w:top w:val="none" w:sz="0" w:space="0" w:color="auto"/>
        <w:left w:val="none" w:sz="0" w:space="0" w:color="auto"/>
        <w:bottom w:val="none" w:sz="0" w:space="0" w:color="auto"/>
        <w:right w:val="none" w:sz="0" w:space="0" w:color="auto"/>
      </w:divBdr>
    </w:div>
    <w:div w:id="1143735507">
      <w:bodyDiv w:val="1"/>
      <w:marLeft w:val="0"/>
      <w:marRight w:val="0"/>
      <w:marTop w:val="0"/>
      <w:marBottom w:val="0"/>
      <w:divBdr>
        <w:top w:val="none" w:sz="0" w:space="0" w:color="auto"/>
        <w:left w:val="none" w:sz="0" w:space="0" w:color="auto"/>
        <w:bottom w:val="none" w:sz="0" w:space="0" w:color="auto"/>
        <w:right w:val="none" w:sz="0" w:space="0" w:color="auto"/>
      </w:divBdr>
    </w:div>
    <w:div w:id="18086943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36</Pages>
  <Words>8368</Words>
  <Characters>47699</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Vermesan Daniel</cp:lastModifiedBy>
  <cp:revision>9</cp:revision>
  <dcterms:created xsi:type="dcterms:W3CDTF">2022-12-14T05:38:00Z</dcterms:created>
  <dcterms:modified xsi:type="dcterms:W3CDTF">2022-12-28T14:23:00Z</dcterms:modified>
</cp:coreProperties>
</file>