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F0BAC3" w14:textId="00633DC8" w:rsidR="00275AA2" w:rsidRDefault="00275AA2" w:rsidP="00275AA2">
      <w:pPr>
        <w:ind w:left="0" w:firstLine="0"/>
        <w:rPr>
          <w:rFonts w:ascii="Times New Roman" w:hAnsi="Times New Roman"/>
          <w:sz w:val="28"/>
          <w:szCs w:val="28"/>
        </w:rPr>
      </w:pPr>
      <w:r>
        <w:rPr>
          <w:rFonts w:ascii="Times New Roman" w:hAnsi="Times New Roman"/>
          <w:sz w:val="28"/>
          <w:szCs w:val="28"/>
        </w:rPr>
        <w:t>Janine Dixon_1600982</w:t>
      </w:r>
    </w:p>
    <w:p w14:paraId="7A45DAD3" w14:textId="63FA0FC0" w:rsidR="00275AA2" w:rsidRDefault="00275AA2" w:rsidP="00275AA2">
      <w:pPr>
        <w:ind w:left="0" w:firstLine="0"/>
        <w:jc w:val="center"/>
        <w:rPr>
          <w:rFonts w:ascii="Times New Roman" w:hAnsi="Times New Roman"/>
          <w:sz w:val="28"/>
          <w:szCs w:val="28"/>
        </w:rPr>
      </w:pPr>
      <w:r>
        <w:rPr>
          <w:rFonts w:ascii="Times New Roman" w:hAnsi="Times New Roman"/>
          <w:sz w:val="28"/>
          <w:szCs w:val="28"/>
        </w:rPr>
        <w:t>Commentary on the Bayeux Tapestry scene depicting Harold</w:t>
      </w:r>
      <w:r w:rsidR="00E421FF">
        <w:rPr>
          <w:rFonts w:ascii="Times New Roman" w:hAnsi="Times New Roman"/>
          <w:sz w:val="28"/>
          <w:szCs w:val="28"/>
        </w:rPr>
        <w:t xml:space="preserve"> </w:t>
      </w:r>
      <w:r w:rsidR="001D4125">
        <w:rPr>
          <w:rFonts w:ascii="Times New Roman" w:hAnsi="Times New Roman"/>
          <w:sz w:val="28"/>
          <w:szCs w:val="28"/>
        </w:rPr>
        <w:t>Godwinson</w:t>
      </w:r>
      <w:r w:rsidR="00E421FF">
        <w:rPr>
          <w:rFonts w:ascii="Times New Roman" w:hAnsi="Times New Roman"/>
          <w:sz w:val="28"/>
          <w:szCs w:val="28"/>
        </w:rPr>
        <w:t>, Earl of Wessex</w:t>
      </w:r>
      <w:r>
        <w:rPr>
          <w:rFonts w:ascii="Times New Roman" w:hAnsi="Times New Roman"/>
          <w:sz w:val="28"/>
          <w:szCs w:val="28"/>
        </w:rPr>
        <w:t xml:space="preserve"> swearing an oath to William</w:t>
      </w:r>
      <w:r w:rsidR="008C05DC">
        <w:rPr>
          <w:rFonts w:ascii="Times New Roman" w:hAnsi="Times New Roman"/>
          <w:sz w:val="28"/>
          <w:szCs w:val="28"/>
        </w:rPr>
        <w:t xml:space="preserve">, </w:t>
      </w:r>
      <w:r w:rsidR="00355F59">
        <w:rPr>
          <w:rFonts w:ascii="Times New Roman" w:hAnsi="Times New Roman"/>
          <w:sz w:val="28"/>
          <w:szCs w:val="28"/>
        </w:rPr>
        <w:t xml:space="preserve">Duke of Normandy. </w:t>
      </w:r>
    </w:p>
    <w:p w14:paraId="0B42926C" w14:textId="13F7DE2D" w:rsidR="00275AA2" w:rsidRDefault="00275AA2" w:rsidP="00275AA2">
      <w:pPr>
        <w:ind w:left="0" w:firstLine="0"/>
        <w:jc w:val="center"/>
        <w:rPr>
          <w:rFonts w:ascii="Times New Roman" w:hAnsi="Times New Roman"/>
          <w:sz w:val="28"/>
          <w:szCs w:val="28"/>
        </w:rPr>
      </w:pPr>
    </w:p>
    <w:p w14:paraId="1414326C" w14:textId="35C7B4E3" w:rsidR="00056DB4" w:rsidRDefault="00275AA2" w:rsidP="00056DB4">
      <w:pPr>
        <w:ind w:left="0" w:firstLine="0"/>
        <w:jc w:val="left"/>
        <w:rPr>
          <w:rFonts w:ascii="Times New Roman" w:hAnsi="Times New Roman"/>
          <w:sz w:val="28"/>
          <w:szCs w:val="28"/>
        </w:rPr>
      </w:pPr>
      <w:r>
        <w:rPr>
          <w:rFonts w:ascii="Times New Roman" w:hAnsi="Times New Roman"/>
          <w:sz w:val="28"/>
          <w:szCs w:val="28"/>
        </w:rPr>
        <w:t xml:space="preserve">The Bayeux Tapestry is a </w:t>
      </w:r>
      <w:r w:rsidR="00DF15AB">
        <w:rPr>
          <w:rFonts w:ascii="Times New Roman" w:hAnsi="Times New Roman"/>
          <w:sz w:val="28"/>
          <w:szCs w:val="28"/>
        </w:rPr>
        <w:t>late 11</w:t>
      </w:r>
      <w:r w:rsidR="00DF15AB" w:rsidRPr="00DF15AB">
        <w:rPr>
          <w:rFonts w:ascii="Times New Roman" w:hAnsi="Times New Roman"/>
          <w:sz w:val="28"/>
          <w:szCs w:val="28"/>
          <w:vertAlign w:val="superscript"/>
        </w:rPr>
        <w:t>th</w:t>
      </w:r>
      <w:r w:rsidR="00DF15AB">
        <w:rPr>
          <w:rFonts w:ascii="Times New Roman" w:hAnsi="Times New Roman"/>
          <w:sz w:val="28"/>
          <w:szCs w:val="28"/>
        </w:rPr>
        <w:t xml:space="preserve"> century</w:t>
      </w:r>
      <w:r>
        <w:rPr>
          <w:rFonts w:ascii="Times New Roman" w:hAnsi="Times New Roman"/>
          <w:sz w:val="28"/>
          <w:szCs w:val="28"/>
        </w:rPr>
        <w:t xml:space="preserve"> embroidery which depicts the Norman Conquest of England in 1066</w:t>
      </w:r>
      <w:r w:rsidR="00147451">
        <w:rPr>
          <w:rFonts w:ascii="Times New Roman" w:hAnsi="Times New Roman"/>
          <w:sz w:val="28"/>
          <w:szCs w:val="28"/>
        </w:rPr>
        <w:t xml:space="preserve"> by William, duke of Normandy</w:t>
      </w:r>
      <w:r>
        <w:rPr>
          <w:rFonts w:ascii="Times New Roman" w:hAnsi="Times New Roman"/>
          <w:sz w:val="28"/>
          <w:szCs w:val="28"/>
        </w:rPr>
        <w:t>.</w:t>
      </w:r>
      <w:r w:rsidR="00056DB4" w:rsidRPr="00056DB4">
        <w:rPr>
          <w:rFonts w:ascii="Times New Roman" w:hAnsi="Times New Roman"/>
          <w:sz w:val="28"/>
          <w:szCs w:val="28"/>
        </w:rPr>
        <w:t xml:space="preserve"> </w:t>
      </w:r>
      <w:r w:rsidR="00056DB4">
        <w:rPr>
          <w:rFonts w:ascii="Times New Roman" w:hAnsi="Times New Roman"/>
          <w:sz w:val="28"/>
          <w:szCs w:val="28"/>
        </w:rPr>
        <w:t xml:space="preserve">The first written source which is thought to mention the Bayeux Tapestry was in the inventory of the Chapter of Bayeux cathedral written in 1476, </w:t>
      </w:r>
    </w:p>
    <w:p w14:paraId="1E18CEA6" w14:textId="77777777" w:rsidR="00056DB4" w:rsidRDefault="00056DB4" w:rsidP="00056DB4">
      <w:pPr>
        <w:spacing w:line="240" w:lineRule="auto"/>
        <w:ind w:left="720" w:firstLine="0"/>
        <w:jc w:val="left"/>
        <w:rPr>
          <w:rFonts w:ascii="Times New Roman" w:hAnsi="Times New Roman"/>
          <w:sz w:val="28"/>
          <w:szCs w:val="28"/>
        </w:rPr>
      </w:pPr>
      <w:r>
        <w:rPr>
          <w:rFonts w:ascii="Times New Roman" w:hAnsi="Times New Roman"/>
          <w:sz w:val="28"/>
          <w:szCs w:val="28"/>
        </w:rPr>
        <w:t>Item une tente tres longue et estroicte de telle a broderie d’ymages          et escripteaulx, faisans representation du Conquest d’Angleterre,   laquelle est tendu environ la nef de l’eglise le jour et par l’octave          des reliques.</w:t>
      </w:r>
      <w:r>
        <w:rPr>
          <w:rStyle w:val="FootnoteReference"/>
          <w:rFonts w:ascii="Times New Roman" w:hAnsi="Times New Roman"/>
          <w:sz w:val="28"/>
          <w:szCs w:val="28"/>
        </w:rPr>
        <w:footnoteReference w:id="1"/>
      </w:r>
      <w:r>
        <w:rPr>
          <w:rFonts w:ascii="Times New Roman" w:hAnsi="Times New Roman"/>
          <w:sz w:val="28"/>
          <w:szCs w:val="28"/>
        </w:rPr>
        <w:t xml:space="preserve"> </w:t>
      </w:r>
    </w:p>
    <w:p w14:paraId="27132CE1" w14:textId="32DB7000" w:rsidR="00275AA2" w:rsidRDefault="00275AA2" w:rsidP="00056DB4">
      <w:pPr>
        <w:ind w:left="0" w:firstLine="0"/>
        <w:jc w:val="left"/>
        <w:rPr>
          <w:rFonts w:ascii="Times New Roman" w:hAnsi="Times New Roman"/>
          <w:sz w:val="28"/>
          <w:szCs w:val="28"/>
        </w:rPr>
      </w:pPr>
      <w:r>
        <w:rPr>
          <w:rFonts w:ascii="Times New Roman" w:hAnsi="Times New Roman"/>
          <w:sz w:val="28"/>
          <w:szCs w:val="28"/>
        </w:rPr>
        <w:t xml:space="preserve"> </w:t>
      </w:r>
      <w:r w:rsidR="00DF15AB">
        <w:rPr>
          <w:rFonts w:ascii="Times New Roman" w:hAnsi="Times New Roman"/>
          <w:sz w:val="28"/>
          <w:szCs w:val="28"/>
        </w:rPr>
        <w:t xml:space="preserve">Seventy metres in length, and featuring more than seventy scenes, </w:t>
      </w:r>
      <w:r w:rsidR="00056DB4">
        <w:rPr>
          <w:rFonts w:ascii="Times New Roman" w:hAnsi="Times New Roman"/>
          <w:sz w:val="28"/>
          <w:szCs w:val="28"/>
        </w:rPr>
        <w:t>it</w:t>
      </w:r>
      <w:r w:rsidR="009125D2">
        <w:rPr>
          <w:rFonts w:ascii="Times New Roman" w:hAnsi="Times New Roman"/>
          <w:sz w:val="28"/>
          <w:szCs w:val="28"/>
        </w:rPr>
        <w:t xml:space="preserve"> represents a pro-Norman justification of the conquest</w:t>
      </w:r>
      <w:r w:rsidR="006C33A7">
        <w:rPr>
          <w:rFonts w:ascii="Times New Roman" w:hAnsi="Times New Roman"/>
          <w:sz w:val="28"/>
          <w:szCs w:val="28"/>
        </w:rPr>
        <w:t xml:space="preserve">. </w:t>
      </w:r>
      <w:r w:rsidR="009125D2">
        <w:rPr>
          <w:rFonts w:ascii="Times New Roman" w:hAnsi="Times New Roman"/>
          <w:sz w:val="28"/>
          <w:szCs w:val="28"/>
        </w:rPr>
        <w:t xml:space="preserve">It is not certain who commissioned the tapestry, although, there is evidence to suggest it was commissioned by William’s half-brother, Bishop Odo of Bayeux. </w:t>
      </w:r>
      <w:r w:rsidR="009F3B1B">
        <w:rPr>
          <w:rFonts w:ascii="Times New Roman" w:hAnsi="Times New Roman"/>
          <w:sz w:val="28"/>
          <w:szCs w:val="28"/>
        </w:rPr>
        <w:t xml:space="preserve">One piece of evidence to support this claim is that Odo appears in the tapestry four times, which is more than any other individual except </w:t>
      </w:r>
      <w:r w:rsidR="00E421FF">
        <w:rPr>
          <w:rFonts w:ascii="Times New Roman" w:hAnsi="Times New Roman"/>
          <w:sz w:val="28"/>
          <w:szCs w:val="28"/>
        </w:rPr>
        <w:t xml:space="preserve">for </w:t>
      </w:r>
      <w:r w:rsidR="009F3B1B">
        <w:rPr>
          <w:rFonts w:ascii="Times New Roman" w:hAnsi="Times New Roman"/>
          <w:sz w:val="28"/>
          <w:szCs w:val="28"/>
        </w:rPr>
        <w:t>William</w:t>
      </w:r>
      <w:r w:rsidR="00E421FF">
        <w:rPr>
          <w:rFonts w:ascii="Times New Roman" w:hAnsi="Times New Roman"/>
          <w:sz w:val="28"/>
          <w:szCs w:val="28"/>
        </w:rPr>
        <w:t xml:space="preserve">, </w:t>
      </w:r>
      <w:r w:rsidR="00F015BE">
        <w:rPr>
          <w:rFonts w:ascii="Times New Roman" w:hAnsi="Times New Roman"/>
          <w:sz w:val="28"/>
          <w:szCs w:val="28"/>
        </w:rPr>
        <w:t>D</w:t>
      </w:r>
      <w:r w:rsidR="00E421FF">
        <w:rPr>
          <w:rFonts w:ascii="Times New Roman" w:hAnsi="Times New Roman"/>
          <w:sz w:val="28"/>
          <w:szCs w:val="28"/>
        </w:rPr>
        <w:t>uke of Normandy</w:t>
      </w:r>
      <w:r w:rsidR="009F3B1B">
        <w:rPr>
          <w:rFonts w:ascii="Times New Roman" w:hAnsi="Times New Roman"/>
          <w:sz w:val="28"/>
          <w:szCs w:val="28"/>
        </w:rPr>
        <w:t xml:space="preserve"> and Harold</w:t>
      </w:r>
      <w:r w:rsidR="00E421FF">
        <w:rPr>
          <w:rFonts w:ascii="Times New Roman" w:hAnsi="Times New Roman"/>
          <w:sz w:val="28"/>
          <w:szCs w:val="28"/>
        </w:rPr>
        <w:t xml:space="preserve">, </w:t>
      </w:r>
      <w:r w:rsidR="00F015BE">
        <w:rPr>
          <w:rFonts w:ascii="Times New Roman" w:hAnsi="Times New Roman"/>
          <w:sz w:val="28"/>
          <w:szCs w:val="28"/>
        </w:rPr>
        <w:t>E</w:t>
      </w:r>
      <w:r w:rsidR="00E421FF">
        <w:rPr>
          <w:rFonts w:ascii="Times New Roman" w:hAnsi="Times New Roman"/>
          <w:sz w:val="28"/>
          <w:szCs w:val="28"/>
        </w:rPr>
        <w:t>arl of Wessex.</w:t>
      </w:r>
      <w:r w:rsidR="00355F59">
        <w:rPr>
          <w:rFonts w:ascii="Times New Roman" w:hAnsi="Times New Roman"/>
          <w:sz w:val="28"/>
          <w:szCs w:val="28"/>
        </w:rPr>
        <w:t xml:space="preserve"> Noxon describes the Bayeux </w:t>
      </w:r>
      <w:r w:rsidR="00036660">
        <w:rPr>
          <w:rFonts w:ascii="Times New Roman" w:hAnsi="Times New Roman"/>
          <w:sz w:val="28"/>
          <w:szCs w:val="28"/>
        </w:rPr>
        <w:t>Tapestry</w:t>
      </w:r>
      <w:r w:rsidR="00355F59">
        <w:rPr>
          <w:rFonts w:ascii="Times New Roman" w:hAnsi="Times New Roman"/>
          <w:sz w:val="28"/>
          <w:szCs w:val="28"/>
        </w:rPr>
        <w:t xml:space="preserve"> as a ‘sponsored, propaganda work, designed for an illiterate mass audience.’</w:t>
      </w:r>
      <w:r w:rsidR="00355F59">
        <w:rPr>
          <w:rStyle w:val="FootnoteReference"/>
          <w:rFonts w:ascii="Times New Roman" w:hAnsi="Times New Roman"/>
          <w:sz w:val="28"/>
          <w:szCs w:val="28"/>
        </w:rPr>
        <w:footnoteReference w:id="2"/>
      </w:r>
      <w:r>
        <w:rPr>
          <w:rFonts w:ascii="Times New Roman" w:hAnsi="Times New Roman"/>
          <w:sz w:val="28"/>
          <w:szCs w:val="28"/>
        </w:rPr>
        <w:t xml:space="preserve"> </w:t>
      </w:r>
      <w:r w:rsidR="003D5734">
        <w:rPr>
          <w:rFonts w:ascii="Times New Roman" w:hAnsi="Times New Roman"/>
          <w:sz w:val="28"/>
          <w:szCs w:val="28"/>
        </w:rPr>
        <w:t xml:space="preserve">Although, it was probably commissioned </w:t>
      </w:r>
      <w:r w:rsidR="00C6270E">
        <w:rPr>
          <w:rFonts w:ascii="Times New Roman" w:hAnsi="Times New Roman"/>
          <w:sz w:val="28"/>
          <w:szCs w:val="28"/>
        </w:rPr>
        <w:t xml:space="preserve">with propogandist motives, the narrative depicts Harold as tragic hero rather than a villain, succumbing to his ambitions. The reasoning behind this was probably to not cause offence to Harold’s supporters while, at the same time, legitimising William’s claim to the throne by suggesting that the English Conquest was justified because Harold was an oath-breaker. </w:t>
      </w:r>
      <w:bookmarkStart w:id="2" w:name="_Hlk529539071"/>
    </w:p>
    <w:bookmarkEnd w:id="2"/>
    <w:p w14:paraId="514D91C2" w14:textId="798088D7" w:rsidR="00AC50AD" w:rsidRDefault="00AC50AD" w:rsidP="00AC50AD">
      <w:pPr>
        <w:spacing w:line="240" w:lineRule="auto"/>
        <w:ind w:left="0" w:firstLine="0"/>
        <w:jc w:val="left"/>
        <w:rPr>
          <w:rFonts w:ascii="Times New Roman" w:hAnsi="Times New Roman"/>
          <w:sz w:val="28"/>
          <w:szCs w:val="28"/>
        </w:rPr>
      </w:pPr>
    </w:p>
    <w:p w14:paraId="50BC8E20" w14:textId="77777777" w:rsidR="000D374E" w:rsidRDefault="000D374E" w:rsidP="000D374E">
      <w:pPr>
        <w:ind w:left="0" w:firstLine="0"/>
        <w:jc w:val="left"/>
        <w:rPr>
          <w:rFonts w:ascii="Times New Roman" w:hAnsi="Times New Roman"/>
          <w:sz w:val="28"/>
          <w:szCs w:val="28"/>
        </w:rPr>
      </w:pPr>
    </w:p>
    <w:p w14:paraId="7556B613" w14:textId="77777777" w:rsidR="00F86674" w:rsidRDefault="00F86674" w:rsidP="00F86674">
      <w:pPr>
        <w:spacing w:line="240" w:lineRule="auto"/>
        <w:ind w:left="0" w:firstLine="0"/>
        <w:jc w:val="left"/>
        <w:rPr>
          <w:rFonts w:ascii="Times New Roman" w:hAnsi="Times New Roman"/>
          <w:sz w:val="28"/>
          <w:szCs w:val="28"/>
        </w:rPr>
      </w:pPr>
    </w:p>
    <w:p w14:paraId="067761CC" w14:textId="3850C9E6" w:rsidR="00EF11AB" w:rsidRDefault="00EF11AB" w:rsidP="00275AA2">
      <w:pPr>
        <w:ind w:left="0" w:firstLine="0"/>
        <w:jc w:val="left"/>
        <w:rPr>
          <w:rFonts w:ascii="Times New Roman" w:hAnsi="Times New Roman"/>
          <w:sz w:val="28"/>
          <w:szCs w:val="28"/>
        </w:rPr>
      </w:pPr>
    </w:p>
    <w:p w14:paraId="0E5E3C8C" w14:textId="6F358A1E" w:rsidR="00EF11AB" w:rsidRDefault="0007166C" w:rsidP="00275AA2">
      <w:pPr>
        <w:ind w:left="0" w:firstLine="0"/>
        <w:jc w:val="left"/>
        <w:rPr>
          <w:rFonts w:ascii="Times New Roman" w:hAnsi="Times New Roman"/>
          <w:sz w:val="20"/>
          <w:szCs w:val="20"/>
        </w:rPr>
      </w:pPr>
      <w:r>
        <w:rPr>
          <w:rFonts w:ascii="Times New Roman" w:hAnsi="Times New Roman"/>
          <w:noProof/>
          <w:sz w:val="28"/>
          <w:szCs w:val="28"/>
        </w:rPr>
        <w:drawing>
          <wp:inline distT="0" distB="0" distL="0" distR="0" wp14:anchorId="02726EAE" wp14:editId="18B56F6D">
            <wp:extent cx="5334000" cy="22377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yeux oath.jpg"/>
                    <pic:cNvPicPr/>
                  </pic:nvPicPr>
                  <pic:blipFill>
                    <a:blip r:embed="rId7">
                      <a:extLst>
                        <a:ext uri="{28A0092B-C50C-407E-A947-70E740481C1C}">
                          <a14:useLocalDpi xmlns:a14="http://schemas.microsoft.com/office/drawing/2010/main" val="0"/>
                        </a:ext>
                      </a:extLst>
                    </a:blip>
                    <a:stretch>
                      <a:fillRect/>
                    </a:stretch>
                  </pic:blipFill>
                  <pic:spPr>
                    <a:xfrm>
                      <a:off x="0" y="0"/>
                      <a:ext cx="5451047" cy="2286885"/>
                    </a:xfrm>
                    <a:prstGeom prst="rect">
                      <a:avLst/>
                    </a:prstGeom>
                  </pic:spPr>
                </pic:pic>
              </a:graphicData>
            </a:graphic>
          </wp:inline>
        </w:drawing>
      </w:r>
      <w:r>
        <w:rPr>
          <w:rFonts w:ascii="Times New Roman" w:hAnsi="Times New Roman"/>
          <w:sz w:val="28"/>
          <w:szCs w:val="28"/>
        </w:rPr>
        <w:t xml:space="preserve"> </w:t>
      </w:r>
    </w:p>
    <w:p w14:paraId="52FAAB53" w14:textId="0E47CA57" w:rsidR="0052637B" w:rsidRDefault="0052637B" w:rsidP="00275AA2">
      <w:pPr>
        <w:ind w:left="0" w:firstLine="0"/>
        <w:jc w:val="left"/>
        <w:rPr>
          <w:rFonts w:ascii="Times New Roman" w:hAnsi="Times New Roman"/>
          <w:sz w:val="20"/>
          <w:szCs w:val="20"/>
        </w:rPr>
      </w:pPr>
      <w:r w:rsidRPr="00AF62EE">
        <w:rPr>
          <w:rFonts w:ascii="Times New Roman" w:hAnsi="Times New Roman"/>
          <w:sz w:val="20"/>
          <w:szCs w:val="20"/>
        </w:rPr>
        <w:t>Figure 1</w:t>
      </w:r>
      <w:r w:rsidR="00DD4A4C">
        <w:rPr>
          <w:rFonts w:ascii="Times New Roman" w:hAnsi="Times New Roman"/>
          <w:sz w:val="20"/>
          <w:szCs w:val="20"/>
        </w:rPr>
        <w:t>.</w:t>
      </w:r>
      <w:r w:rsidRPr="00AF62EE">
        <w:rPr>
          <w:rFonts w:ascii="Times New Roman" w:hAnsi="Times New Roman"/>
          <w:sz w:val="20"/>
          <w:szCs w:val="20"/>
        </w:rPr>
        <w:t xml:space="preserve"> </w:t>
      </w:r>
      <w:r w:rsidR="00DD4A4C">
        <w:rPr>
          <w:rFonts w:ascii="Times New Roman" w:hAnsi="Times New Roman"/>
          <w:sz w:val="20"/>
          <w:szCs w:val="20"/>
        </w:rPr>
        <w:t>D</w:t>
      </w:r>
      <w:r w:rsidRPr="00AF62EE">
        <w:rPr>
          <w:rFonts w:ascii="Times New Roman" w:hAnsi="Times New Roman"/>
          <w:sz w:val="20"/>
          <w:szCs w:val="20"/>
        </w:rPr>
        <w:t>epict</w:t>
      </w:r>
      <w:r w:rsidR="00DD4A4C">
        <w:rPr>
          <w:rFonts w:ascii="Times New Roman" w:hAnsi="Times New Roman"/>
          <w:sz w:val="20"/>
          <w:szCs w:val="20"/>
        </w:rPr>
        <w:t>ion of</w:t>
      </w:r>
      <w:r w:rsidRPr="00AF62EE">
        <w:rPr>
          <w:rFonts w:ascii="Times New Roman" w:hAnsi="Times New Roman"/>
          <w:sz w:val="20"/>
          <w:szCs w:val="20"/>
        </w:rPr>
        <w:t xml:space="preserve"> Harold swearing an oath, on holy relics, to support William’s claim to the English throne. </w:t>
      </w:r>
    </w:p>
    <w:p w14:paraId="7DC3D37D" w14:textId="77777777" w:rsidR="00B65198" w:rsidRDefault="00B65198" w:rsidP="00275AA2">
      <w:pPr>
        <w:ind w:left="0" w:firstLine="0"/>
        <w:jc w:val="left"/>
        <w:rPr>
          <w:rFonts w:ascii="Times New Roman" w:hAnsi="Times New Roman"/>
          <w:sz w:val="20"/>
          <w:szCs w:val="20"/>
        </w:rPr>
      </w:pPr>
    </w:p>
    <w:p w14:paraId="5EBEDCFC" w14:textId="665AD11E" w:rsidR="0054492A" w:rsidRDefault="007B2D58" w:rsidP="00275AA2">
      <w:pPr>
        <w:ind w:left="0" w:firstLine="0"/>
        <w:jc w:val="left"/>
        <w:rPr>
          <w:rFonts w:ascii="Times New Roman" w:hAnsi="Times New Roman"/>
          <w:sz w:val="28"/>
          <w:szCs w:val="28"/>
        </w:rPr>
      </w:pPr>
      <w:r>
        <w:rPr>
          <w:rFonts w:ascii="Times New Roman" w:hAnsi="Times New Roman"/>
          <w:sz w:val="28"/>
          <w:szCs w:val="28"/>
        </w:rPr>
        <w:t xml:space="preserve">Both </w:t>
      </w:r>
      <w:r w:rsidR="009B3A06">
        <w:rPr>
          <w:rFonts w:ascii="Times New Roman" w:hAnsi="Times New Roman"/>
          <w:sz w:val="28"/>
          <w:szCs w:val="28"/>
        </w:rPr>
        <w:t xml:space="preserve">Harold and William shared a claim to the English throne. William was King Edward the confessor’s cousin and Harold was his brother in law which made him the most likely successor. </w:t>
      </w:r>
      <w:r w:rsidR="00B65198">
        <w:rPr>
          <w:rFonts w:ascii="Times New Roman" w:hAnsi="Times New Roman"/>
          <w:sz w:val="28"/>
          <w:szCs w:val="28"/>
        </w:rPr>
        <w:t>Whilst sailing to France,</w:t>
      </w:r>
      <w:r w:rsidR="004D0326" w:rsidRPr="004D0326">
        <w:rPr>
          <w:rFonts w:ascii="Times New Roman" w:hAnsi="Times New Roman"/>
          <w:sz w:val="28"/>
          <w:szCs w:val="28"/>
        </w:rPr>
        <w:t xml:space="preserve"> Harold</w:t>
      </w:r>
      <w:r w:rsidR="00B65198">
        <w:rPr>
          <w:rFonts w:ascii="Times New Roman" w:hAnsi="Times New Roman"/>
          <w:sz w:val="28"/>
          <w:szCs w:val="28"/>
        </w:rPr>
        <w:t xml:space="preserve"> was shipwrecked off</w:t>
      </w:r>
      <w:r w:rsidR="004D0326" w:rsidRPr="004D0326">
        <w:rPr>
          <w:rFonts w:ascii="Times New Roman" w:hAnsi="Times New Roman"/>
          <w:sz w:val="28"/>
          <w:szCs w:val="28"/>
        </w:rPr>
        <w:t xml:space="preserve"> the Norman province of Ponthieu, where he was </w:t>
      </w:r>
      <w:r w:rsidR="00B65198">
        <w:rPr>
          <w:rFonts w:ascii="Times New Roman" w:hAnsi="Times New Roman"/>
          <w:sz w:val="28"/>
          <w:szCs w:val="28"/>
        </w:rPr>
        <w:t>taken hostage</w:t>
      </w:r>
      <w:r w:rsidR="004D0326" w:rsidRPr="004D0326">
        <w:rPr>
          <w:rFonts w:ascii="Times New Roman" w:hAnsi="Times New Roman"/>
          <w:sz w:val="28"/>
          <w:szCs w:val="28"/>
        </w:rPr>
        <w:t xml:space="preserve"> by Count Guy of Ponthieu. When William heard </w:t>
      </w:r>
      <w:r w:rsidR="00B65198">
        <w:rPr>
          <w:rFonts w:ascii="Times New Roman" w:hAnsi="Times New Roman"/>
          <w:sz w:val="28"/>
          <w:szCs w:val="28"/>
        </w:rPr>
        <w:t>this</w:t>
      </w:r>
      <w:r w:rsidR="004D0326" w:rsidRPr="004D0326">
        <w:rPr>
          <w:rFonts w:ascii="Times New Roman" w:hAnsi="Times New Roman"/>
          <w:sz w:val="28"/>
          <w:szCs w:val="28"/>
        </w:rPr>
        <w:t>, he sent messengers ordering Count Guy to hand over his prisoner</w:t>
      </w:r>
      <w:r w:rsidR="00B65198">
        <w:rPr>
          <w:rFonts w:ascii="Times New Roman" w:hAnsi="Times New Roman"/>
          <w:sz w:val="28"/>
          <w:szCs w:val="28"/>
        </w:rPr>
        <w:t xml:space="preserve">. Count Guy </w:t>
      </w:r>
      <w:r w:rsidR="001D4125">
        <w:rPr>
          <w:rFonts w:ascii="Times New Roman" w:hAnsi="Times New Roman"/>
          <w:sz w:val="28"/>
          <w:szCs w:val="28"/>
        </w:rPr>
        <w:t>agreed,</w:t>
      </w:r>
      <w:r w:rsidR="00B65198">
        <w:rPr>
          <w:rFonts w:ascii="Times New Roman" w:hAnsi="Times New Roman"/>
          <w:sz w:val="28"/>
          <w:szCs w:val="28"/>
        </w:rPr>
        <w:t xml:space="preserve"> and Harold was taken to William’s court. Whilst here, it is suggested within Anglo-Norman sources,</w:t>
      </w:r>
      <w:r w:rsidR="002A6E3A">
        <w:rPr>
          <w:rStyle w:val="FootnoteReference"/>
          <w:rFonts w:ascii="Times New Roman" w:hAnsi="Times New Roman"/>
          <w:sz w:val="28"/>
          <w:szCs w:val="28"/>
        </w:rPr>
        <w:footnoteReference w:id="3"/>
      </w:r>
      <w:r w:rsidR="00B65198">
        <w:rPr>
          <w:rFonts w:ascii="Times New Roman" w:hAnsi="Times New Roman"/>
          <w:sz w:val="28"/>
          <w:szCs w:val="28"/>
        </w:rPr>
        <w:t xml:space="preserve"> that Harold swore an oath to William to support his claim to the English throne.</w:t>
      </w:r>
      <w:r w:rsidR="001D4125">
        <w:rPr>
          <w:rFonts w:ascii="Times New Roman" w:hAnsi="Times New Roman"/>
          <w:sz w:val="28"/>
          <w:szCs w:val="28"/>
        </w:rPr>
        <w:t xml:space="preserve"> </w:t>
      </w:r>
      <w:r w:rsidR="00B65198">
        <w:rPr>
          <w:rFonts w:ascii="Times New Roman" w:hAnsi="Times New Roman"/>
          <w:sz w:val="28"/>
          <w:szCs w:val="28"/>
        </w:rPr>
        <w:t xml:space="preserve">Orderic Vitalis states, </w:t>
      </w:r>
    </w:p>
    <w:p w14:paraId="6E3136DF" w14:textId="047C766C" w:rsidR="001D4125" w:rsidRDefault="00B65198" w:rsidP="001D4125">
      <w:pPr>
        <w:spacing w:line="240" w:lineRule="auto"/>
        <w:ind w:left="720" w:firstLine="0"/>
        <w:jc w:val="left"/>
        <w:rPr>
          <w:rFonts w:ascii="Times New Roman" w:hAnsi="Times New Roman"/>
          <w:sz w:val="28"/>
          <w:szCs w:val="28"/>
        </w:rPr>
      </w:pPr>
      <w:r w:rsidRPr="00B65198">
        <w:rPr>
          <w:rFonts w:ascii="Times New Roman" w:hAnsi="Times New Roman"/>
          <w:sz w:val="28"/>
          <w:szCs w:val="28"/>
        </w:rPr>
        <w:t>Harold himself had taken an oath of fealty to Duke William at Rouen</w:t>
      </w:r>
      <w:r w:rsidR="001D4125">
        <w:rPr>
          <w:rFonts w:ascii="Times New Roman" w:hAnsi="Times New Roman"/>
          <w:sz w:val="28"/>
          <w:szCs w:val="28"/>
        </w:rPr>
        <w:t xml:space="preserve">    </w:t>
      </w:r>
      <w:r w:rsidRPr="00B65198">
        <w:rPr>
          <w:rFonts w:ascii="Times New Roman" w:hAnsi="Times New Roman"/>
          <w:sz w:val="28"/>
          <w:szCs w:val="28"/>
        </w:rPr>
        <w:t xml:space="preserve"> in the presence of the Norman nobles, and after becoming his man</w:t>
      </w:r>
      <w:r w:rsidR="001D4125">
        <w:rPr>
          <w:rFonts w:ascii="Times New Roman" w:hAnsi="Times New Roman"/>
          <w:sz w:val="28"/>
          <w:szCs w:val="28"/>
        </w:rPr>
        <w:t xml:space="preserve">      </w:t>
      </w:r>
      <w:r w:rsidRPr="00B65198">
        <w:rPr>
          <w:rFonts w:ascii="Times New Roman" w:hAnsi="Times New Roman"/>
          <w:sz w:val="28"/>
          <w:szCs w:val="28"/>
        </w:rPr>
        <w:t xml:space="preserve"> had sworn on the most sacred relics to carry out all that was required</w:t>
      </w:r>
      <w:r w:rsidR="001D4125">
        <w:rPr>
          <w:rFonts w:ascii="Times New Roman" w:hAnsi="Times New Roman"/>
          <w:sz w:val="28"/>
          <w:szCs w:val="28"/>
        </w:rPr>
        <w:t xml:space="preserve">    </w:t>
      </w:r>
      <w:r w:rsidRPr="00B65198">
        <w:rPr>
          <w:rFonts w:ascii="Times New Roman" w:hAnsi="Times New Roman"/>
          <w:sz w:val="28"/>
          <w:szCs w:val="28"/>
        </w:rPr>
        <w:t xml:space="preserve"> of him. After that, the Duke had taken Harold on an expedition against Conan, Count of Brittany, and had given him splendid arms and horses and heaped other tokens upon him and his companions.</w:t>
      </w:r>
      <w:r w:rsidR="002A6E3A">
        <w:rPr>
          <w:rStyle w:val="FootnoteReference"/>
          <w:rFonts w:ascii="Times New Roman" w:hAnsi="Times New Roman"/>
          <w:sz w:val="28"/>
          <w:szCs w:val="28"/>
        </w:rPr>
        <w:footnoteReference w:id="4"/>
      </w:r>
    </w:p>
    <w:p w14:paraId="0FA6FF53" w14:textId="77777777" w:rsidR="001D4125" w:rsidRDefault="001D4125" w:rsidP="001D4125">
      <w:pPr>
        <w:spacing w:line="240" w:lineRule="auto"/>
        <w:ind w:left="0" w:firstLine="0"/>
        <w:jc w:val="left"/>
        <w:rPr>
          <w:rFonts w:ascii="Times New Roman" w:hAnsi="Times New Roman"/>
          <w:sz w:val="28"/>
          <w:szCs w:val="28"/>
        </w:rPr>
      </w:pPr>
    </w:p>
    <w:p w14:paraId="07A9EC21" w14:textId="77777777" w:rsidR="009B3A06" w:rsidRDefault="001D4125" w:rsidP="00796A2B">
      <w:pPr>
        <w:ind w:left="0" w:firstLine="0"/>
        <w:jc w:val="left"/>
      </w:pPr>
      <w:r>
        <w:rPr>
          <w:rFonts w:ascii="Times New Roman" w:hAnsi="Times New Roman"/>
          <w:sz w:val="28"/>
          <w:szCs w:val="28"/>
        </w:rPr>
        <w:t xml:space="preserve">Vitalis’ account </w:t>
      </w:r>
      <w:r w:rsidR="00796A2B">
        <w:rPr>
          <w:rFonts w:ascii="Times New Roman" w:hAnsi="Times New Roman"/>
          <w:sz w:val="28"/>
          <w:szCs w:val="28"/>
        </w:rPr>
        <w:t>is unclear whether this was an oath of fealty as a vassal or as a sworn oath to support Williams succession claim.</w:t>
      </w:r>
      <w:r w:rsidR="009B3A06">
        <w:rPr>
          <w:rFonts w:ascii="Times New Roman" w:hAnsi="Times New Roman"/>
          <w:sz w:val="28"/>
          <w:szCs w:val="28"/>
        </w:rPr>
        <w:t xml:space="preserve"> </w:t>
      </w:r>
      <w:r w:rsidR="00CC3347">
        <w:rPr>
          <w:rFonts w:ascii="Times New Roman" w:hAnsi="Times New Roman"/>
          <w:sz w:val="28"/>
          <w:szCs w:val="28"/>
        </w:rPr>
        <w:t>T</w:t>
      </w:r>
      <w:r w:rsidR="00796A2B" w:rsidRPr="00796A2B">
        <w:rPr>
          <w:rFonts w:ascii="Times New Roman" w:hAnsi="Times New Roman"/>
          <w:sz w:val="28"/>
          <w:szCs w:val="28"/>
        </w:rPr>
        <w:t xml:space="preserve">he Bayeux Tapestry </w:t>
      </w:r>
      <w:r w:rsidR="00796A2B" w:rsidRPr="00796A2B">
        <w:rPr>
          <w:rFonts w:ascii="Times New Roman" w:hAnsi="Times New Roman"/>
          <w:sz w:val="28"/>
          <w:szCs w:val="28"/>
        </w:rPr>
        <w:lastRenderedPageBreak/>
        <w:t>suggest</w:t>
      </w:r>
      <w:r w:rsidR="00CC3347">
        <w:rPr>
          <w:rFonts w:ascii="Times New Roman" w:hAnsi="Times New Roman"/>
          <w:sz w:val="28"/>
          <w:szCs w:val="28"/>
        </w:rPr>
        <w:t>s</w:t>
      </w:r>
      <w:r w:rsidR="00796A2B" w:rsidRPr="00796A2B">
        <w:rPr>
          <w:rFonts w:ascii="Times New Roman" w:hAnsi="Times New Roman"/>
          <w:sz w:val="28"/>
          <w:szCs w:val="28"/>
        </w:rPr>
        <w:t xml:space="preserve"> that Harold was being honoured after heroics on the Brittany campaign and in return sw</w:t>
      </w:r>
      <w:r w:rsidR="00382064">
        <w:rPr>
          <w:rFonts w:ascii="Times New Roman" w:hAnsi="Times New Roman"/>
          <w:sz w:val="28"/>
          <w:szCs w:val="28"/>
        </w:rPr>
        <w:t>ore</w:t>
      </w:r>
      <w:r w:rsidR="00796A2B" w:rsidRPr="00796A2B">
        <w:rPr>
          <w:rFonts w:ascii="Times New Roman" w:hAnsi="Times New Roman"/>
          <w:sz w:val="28"/>
          <w:szCs w:val="28"/>
        </w:rPr>
        <w:t xml:space="preserve"> a</w:t>
      </w:r>
      <w:r w:rsidR="003301C4">
        <w:rPr>
          <w:rFonts w:ascii="Times New Roman" w:hAnsi="Times New Roman"/>
          <w:sz w:val="28"/>
          <w:szCs w:val="28"/>
        </w:rPr>
        <w:t xml:space="preserve"> solemn</w:t>
      </w:r>
      <w:r w:rsidR="00796A2B" w:rsidRPr="00796A2B">
        <w:rPr>
          <w:rFonts w:ascii="Times New Roman" w:hAnsi="Times New Roman"/>
          <w:sz w:val="28"/>
          <w:szCs w:val="28"/>
        </w:rPr>
        <w:t xml:space="preserve"> oath of fealty.</w:t>
      </w:r>
      <w:r w:rsidR="00E72891">
        <w:rPr>
          <w:rFonts w:ascii="Times New Roman" w:hAnsi="Times New Roman"/>
          <w:sz w:val="28"/>
          <w:szCs w:val="28"/>
        </w:rPr>
        <w:t xml:space="preserve"> </w:t>
      </w:r>
      <w:r w:rsidR="004A33FB">
        <w:rPr>
          <w:rFonts w:ascii="Times New Roman" w:hAnsi="Times New Roman"/>
          <w:sz w:val="28"/>
          <w:szCs w:val="28"/>
        </w:rPr>
        <w:t>However,</w:t>
      </w:r>
      <w:r w:rsidR="00382064">
        <w:rPr>
          <w:rFonts w:ascii="Times New Roman" w:hAnsi="Times New Roman"/>
          <w:sz w:val="28"/>
          <w:szCs w:val="28"/>
        </w:rPr>
        <w:t xml:space="preserve"> the scene also hints that Harold is taking the oath under duress: William looks dominating and threatening seated in his throne bearing a sword</w:t>
      </w:r>
      <w:r w:rsidR="00A435AC">
        <w:rPr>
          <w:rFonts w:ascii="Times New Roman" w:hAnsi="Times New Roman"/>
          <w:sz w:val="28"/>
          <w:szCs w:val="28"/>
        </w:rPr>
        <w:t>. The formal ceremony takes place in the presence of courtiers who witness Harold taking the oath with one hand on the altar and the other on the reliquary.</w:t>
      </w:r>
      <w:r w:rsidR="00665A5B" w:rsidRPr="00665A5B">
        <w:t xml:space="preserve"> </w:t>
      </w:r>
    </w:p>
    <w:p w14:paraId="1DB9C0BA" w14:textId="77777777" w:rsidR="009B3A06" w:rsidRDefault="009B3A06" w:rsidP="00796A2B">
      <w:pPr>
        <w:ind w:left="0" w:firstLine="0"/>
        <w:jc w:val="left"/>
      </w:pPr>
    </w:p>
    <w:p w14:paraId="14A5E592" w14:textId="756D43CA" w:rsidR="00C35AD1" w:rsidRDefault="000D03D1" w:rsidP="00796A2B">
      <w:pPr>
        <w:ind w:left="0" w:firstLine="0"/>
        <w:jc w:val="left"/>
        <w:rPr>
          <w:rFonts w:ascii="Times New Roman" w:hAnsi="Times New Roman"/>
          <w:sz w:val="28"/>
          <w:szCs w:val="28"/>
        </w:rPr>
      </w:pPr>
      <w:r>
        <w:t xml:space="preserve"> </w:t>
      </w:r>
      <w:r w:rsidR="00FD45DA">
        <w:rPr>
          <w:rFonts w:ascii="Times New Roman" w:hAnsi="Times New Roman"/>
          <w:sz w:val="28"/>
          <w:szCs w:val="28"/>
        </w:rPr>
        <w:t xml:space="preserve">The significance of the use of relics for the oath is of great significance because relics were an extremely important part of medieval </w:t>
      </w:r>
      <w:r>
        <w:rPr>
          <w:rFonts w:ascii="Times New Roman" w:hAnsi="Times New Roman"/>
          <w:sz w:val="28"/>
          <w:szCs w:val="28"/>
        </w:rPr>
        <w:t>Christianity. It was widely believed that swearing falsely on relics would result in God deserting you and favouring your enemies.</w:t>
      </w:r>
      <w:r w:rsidR="00780521">
        <w:rPr>
          <w:rFonts w:ascii="Times New Roman" w:hAnsi="Times New Roman"/>
          <w:sz w:val="28"/>
          <w:szCs w:val="28"/>
        </w:rPr>
        <w:t xml:space="preserve"> </w:t>
      </w:r>
      <w:r w:rsidR="009B3A06">
        <w:rPr>
          <w:rFonts w:ascii="Times New Roman" w:hAnsi="Times New Roman"/>
          <w:sz w:val="28"/>
          <w:szCs w:val="28"/>
        </w:rPr>
        <w:t>Christians during this period believed that breaking a solemn oath was an evil act and the ramifications of this is foretold by the appearance of the star in the heavens, Halley’s comet</w:t>
      </w:r>
      <w:r w:rsidR="005F4280">
        <w:rPr>
          <w:rFonts w:ascii="Times New Roman" w:hAnsi="Times New Roman"/>
          <w:sz w:val="28"/>
          <w:szCs w:val="28"/>
        </w:rPr>
        <w:t>,</w:t>
      </w:r>
      <w:r w:rsidR="009B3A06">
        <w:rPr>
          <w:rFonts w:ascii="Times New Roman" w:hAnsi="Times New Roman"/>
          <w:sz w:val="28"/>
          <w:szCs w:val="28"/>
        </w:rPr>
        <w:t xml:space="preserve"> which is depicted after Harold’s coronation scene in the Bayeux tapestry</w:t>
      </w:r>
      <w:r w:rsidR="005F4280">
        <w:rPr>
          <w:rFonts w:ascii="Times New Roman" w:hAnsi="Times New Roman"/>
          <w:sz w:val="28"/>
          <w:szCs w:val="28"/>
        </w:rPr>
        <w:t>.</w:t>
      </w:r>
      <w:r w:rsidR="003F563C">
        <w:rPr>
          <w:rFonts w:ascii="Times New Roman" w:hAnsi="Times New Roman"/>
          <w:sz w:val="28"/>
          <w:szCs w:val="28"/>
        </w:rPr>
        <w:t xml:space="preserve"> Noxon states, </w:t>
      </w:r>
      <w:r w:rsidR="00FA432A">
        <w:rPr>
          <w:rFonts w:ascii="Times New Roman" w:hAnsi="Times New Roman"/>
          <w:sz w:val="28"/>
          <w:szCs w:val="28"/>
        </w:rPr>
        <w:t>‘the appearance of the comet at this juncture is no dramatic invention… throughout the middle ages, comets were viewed with the greatest superstitious fear and dread.’</w:t>
      </w:r>
      <w:r w:rsidR="00FA432A">
        <w:rPr>
          <w:rStyle w:val="FootnoteReference"/>
          <w:rFonts w:ascii="Times New Roman" w:hAnsi="Times New Roman"/>
          <w:sz w:val="28"/>
          <w:szCs w:val="28"/>
        </w:rPr>
        <w:footnoteReference w:id="5"/>
      </w:r>
      <w:r w:rsidR="005F4280">
        <w:rPr>
          <w:rFonts w:ascii="Times New Roman" w:hAnsi="Times New Roman"/>
          <w:sz w:val="28"/>
          <w:szCs w:val="28"/>
        </w:rPr>
        <w:t xml:space="preserve"> Th</w:t>
      </w:r>
      <w:r w:rsidR="00C35AD1">
        <w:rPr>
          <w:rFonts w:ascii="Times New Roman" w:hAnsi="Times New Roman"/>
          <w:sz w:val="28"/>
          <w:szCs w:val="28"/>
        </w:rPr>
        <w:t>e appearance of and inclusion of the comet within the tapestry</w:t>
      </w:r>
      <w:r w:rsidR="005F4280">
        <w:rPr>
          <w:rFonts w:ascii="Times New Roman" w:hAnsi="Times New Roman"/>
          <w:sz w:val="28"/>
          <w:szCs w:val="28"/>
        </w:rPr>
        <w:t xml:space="preserve"> acts to further justify the Norman conquest as it suggests that God is in favour of William. The importance of Christianity to the Normans can also be seen in the inclusion of cross motifs within the borders to the tapestry. Within Harold’s oath scene there are three crosses depicted.</w:t>
      </w:r>
    </w:p>
    <w:p w14:paraId="7BCE8295" w14:textId="3C74850A" w:rsidR="00024432" w:rsidRDefault="00024432" w:rsidP="00796A2B">
      <w:pPr>
        <w:ind w:left="0" w:firstLine="0"/>
        <w:jc w:val="left"/>
        <w:rPr>
          <w:rFonts w:ascii="Times New Roman" w:hAnsi="Times New Roman"/>
          <w:sz w:val="28"/>
          <w:szCs w:val="28"/>
        </w:rPr>
      </w:pPr>
    </w:p>
    <w:p w14:paraId="5D20B4A9" w14:textId="7E1B6CB6" w:rsidR="00024432" w:rsidRDefault="00024432" w:rsidP="00796A2B">
      <w:pPr>
        <w:ind w:left="0" w:firstLine="0"/>
        <w:jc w:val="left"/>
        <w:rPr>
          <w:rFonts w:ascii="Times New Roman" w:hAnsi="Times New Roman"/>
          <w:sz w:val="28"/>
          <w:szCs w:val="28"/>
        </w:rPr>
      </w:pPr>
      <w:r>
        <w:rPr>
          <w:rFonts w:ascii="Times New Roman" w:hAnsi="Times New Roman"/>
          <w:sz w:val="28"/>
          <w:szCs w:val="28"/>
        </w:rPr>
        <w:t xml:space="preserve">The oath scene within the Bayeux tapestry is central to the entire narrative because it provides justification for the Norman Conquest and implies that William is the rightful successor. It is successful in providing a pro- Norman narrative without provoking </w:t>
      </w:r>
      <w:r w:rsidR="00FA649D">
        <w:rPr>
          <w:rFonts w:ascii="Times New Roman" w:hAnsi="Times New Roman"/>
          <w:sz w:val="28"/>
          <w:szCs w:val="28"/>
        </w:rPr>
        <w:t xml:space="preserve">Harold’s supporters: by depicting him as a tragic hero rather then a villain. The importance of the Christian faith to the Norman’s </w:t>
      </w:r>
      <w:r w:rsidR="00FA649D">
        <w:rPr>
          <w:rFonts w:ascii="Times New Roman" w:hAnsi="Times New Roman"/>
          <w:sz w:val="28"/>
          <w:szCs w:val="28"/>
        </w:rPr>
        <w:lastRenderedPageBreak/>
        <w:t>is evident within the tapestry and within this scene. However, it can be deemed as a tool to defend their actions because if it is widely believed that they have the backing of God, it would be difficult for anyone to oppose them.</w:t>
      </w:r>
    </w:p>
    <w:p w14:paraId="7D26791A" w14:textId="4800C55E" w:rsidR="00212C52" w:rsidRDefault="00212C52" w:rsidP="00796A2B">
      <w:pPr>
        <w:ind w:left="0" w:firstLine="0"/>
        <w:jc w:val="left"/>
        <w:rPr>
          <w:rFonts w:ascii="Times New Roman" w:hAnsi="Times New Roman"/>
          <w:sz w:val="28"/>
          <w:szCs w:val="28"/>
        </w:rPr>
      </w:pPr>
    </w:p>
    <w:p w14:paraId="60A088C7" w14:textId="0273DF2A" w:rsidR="00212C52" w:rsidRDefault="00212C52" w:rsidP="00212C52">
      <w:pPr>
        <w:ind w:left="0" w:firstLine="0"/>
        <w:jc w:val="center"/>
        <w:rPr>
          <w:rFonts w:ascii="Times New Roman" w:hAnsi="Times New Roman"/>
          <w:sz w:val="28"/>
          <w:szCs w:val="28"/>
        </w:rPr>
      </w:pPr>
      <w:r>
        <w:rPr>
          <w:rFonts w:ascii="Times New Roman" w:hAnsi="Times New Roman"/>
          <w:sz w:val="28"/>
          <w:szCs w:val="28"/>
        </w:rPr>
        <w:t>Bibliography</w:t>
      </w:r>
    </w:p>
    <w:p w14:paraId="3244EF01" w14:textId="59E560CC" w:rsidR="00212C52" w:rsidRDefault="00212C52" w:rsidP="00212C52">
      <w:pPr>
        <w:ind w:left="0" w:firstLine="0"/>
        <w:jc w:val="left"/>
        <w:rPr>
          <w:rFonts w:ascii="Times New Roman" w:hAnsi="Times New Roman"/>
          <w:sz w:val="28"/>
          <w:szCs w:val="28"/>
        </w:rPr>
      </w:pPr>
      <w:r>
        <w:rPr>
          <w:rFonts w:ascii="Times New Roman" w:hAnsi="Times New Roman"/>
          <w:sz w:val="28"/>
          <w:szCs w:val="28"/>
        </w:rPr>
        <w:t>Primary Sources</w:t>
      </w:r>
    </w:p>
    <w:p w14:paraId="4FBF5EC1" w14:textId="3800084F" w:rsidR="00212C52" w:rsidRDefault="00212C52" w:rsidP="00212C52">
      <w:pPr>
        <w:ind w:left="0" w:firstLine="0"/>
        <w:jc w:val="left"/>
        <w:rPr>
          <w:rFonts w:ascii="Times New Roman" w:hAnsi="Times New Roman"/>
          <w:sz w:val="28"/>
          <w:szCs w:val="28"/>
        </w:rPr>
      </w:pPr>
      <w:r w:rsidRPr="00212C52">
        <w:rPr>
          <w:rFonts w:ascii="Times New Roman" w:hAnsi="Times New Roman"/>
          <w:sz w:val="28"/>
          <w:szCs w:val="28"/>
        </w:rPr>
        <w:t>Archives departementales du Calvados. Caen. Eveche de Bayeux. Inventaire du tresor de la cathedrale de Bayeux, ms. 199</w:t>
      </w:r>
      <w:r>
        <w:rPr>
          <w:rFonts w:ascii="Times New Roman" w:hAnsi="Times New Roman"/>
          <w:sz w:val="28"/>
          <w:szCs w:val="28"/>
        </w:rPr>
        <w:t>.</w:t>
      </w:r>
    </w:p>
    <w:p w14:paraId="41B9D38E" w14:textId="6E7A2213" w:rsidR="00212C52" w:rsidRPr="00212C52" w:rsidRDefault="00212C52" w:rsidP="00212C52">
      <w:pPr>
        <w:ind w:left="0" w:firstLine="0"/>
        <w:jc w:val="left"/>
        <w:rPr>
          <w:rFonts w:ascii="Times New Roman" w:hAnsi="Times New Roman"/>
          <w:sz w:val="28"/>
          <w:szCs w:val="28"/>
        </w:rPr>
      </w:pPr>
      <w:r w:rsidRPr="00212C52">
        <w:rPr>
          <w:rFonts w:ascii="Times New Roman" w:hAnsi="Times New Roman"/>
          <w:sz w:val="28"/>
          <w:szCs w:val="28"/>
        </w:rPr>
        <w:t>Carmen de Hasting</w:t>
      </w:r>
      <w:r>
        <w:rPr>
          <w:rFonts w:ascii="Times New Roman" w:hAnsi="Times New Roman"/>
          <w:sz w:val="28"/>
          <w:szCs w:val="28"/>
        </w:rPr>
        <w:t>ae</w:t>
      </w:r>
      <w:r w:rsidRPr="00212C52">
        <w:rPr>
          <w:rFonts w:ascii="Times New Roman" w:hAnsi="Times New Roman"/>
          <w:sz w:val="28"/>
          <w:szCs w:val="28"/>
        </w:rPr>
        <w:t>, HPHI600</w:t>
      </w:r>
      <w:r w:rsidR="00C10067">
        <w:rPr>
          <w:rFonts w:ascii="Times New Roman" w:hAnsi="Times New Roman"/>
          <w:sz w:val="28"/>
          <w:szCs w:val="28"/>
        </w:rPr>
        <w:t>9</w:t>
      </w:r>
      <w:r w:rsidRPr="00212C52">
        <w:rPr>
          <w:rFonts w:ascii="Times New Roman" w:hAnsi="Times New Roman"/>
          <w:sz w:val="28"/>
          <w:szCs w:val="28"/>
        </w:rPr>
        <w:t xml:space="preserve"> Module reader.</w:t>
      </w:r>
    </w:p>
    <w:p w14:paraId="744B9D08" w14:textId="0D7DED39" w:rsidR="00212C52" w:rsidRDefault="00212C52" w:rsidP="00212C52">
      <w:pPr>
        <w:ind w:left="0" w:firstLine="0"/>
        <w:jc w:val="left"/>
        <w:rPr>
          <w:rFonts w:ascii="Times New Roman" w:hAnsi="Times New Roman"/>
          <w:sz w:val="28"/>
          <w:szCs w:val="28"/>
        </w:rPr>
      </w:pPr>
      <w:r w:rsidRPr="00212C52">
        <w:rPr>
          <w:rFonts w:ascii="Times New Roman" w:hAnsi="Times New Roman"/>
          <w:sz w:val="28"/>
          <w:szCs w:val="28"/>
        </w:rPr>
        <w:t>Orderic Vitalis, HPHI600</w:t>
      </w:r>
      <w:r w:rsidR="00C10067">
        <w:rPr>
          <w:rFonts w:ascii="Times New Roman" w:hAnsi="Times New Roman"/>
          <w:sz w:val="28"/>
          <w:szCs w:val="28"/>
        </w:rPr>
        <w:t>9</w:t>
      </w:r>
      <w:bookmarkStart w:id="3" w:name="_GoBack"/>
      <w:bookmarkEnd w:id="3"/>
      <w:r w:rsidRPr="00212C52">
        <w:rPr>
          <w:rFonts w:ascii="Times New Roman" w:hAnsi="Times New Roman"/>
          <w:sz w:val="28"/>
          <w:szCs w:val="28"/>
        </w:rPr>
        <w:t xml:space="preserve"> Module reader</w:t>
      </w:r>
      <w:r>
        <w:rPr>
          <w:rFonts w:ascii="Times New Roman" w:hAnsi="Times New Roman"/>
          <w:sz w:val="28"/>
          <w:szCs w:val="28"/>
        </w:rPr>
        <w:t>.</w:t>
      </w:r>
    </w:p>
    <w:p w14:paraId="60FFA4C7" w14:textId="4A6149DF" w:rsidR="00A916FF" w:rsidRDefault="00A916FF" w:rsidP="00212C52">
      <w:pPr>
        <w:ind w:left="0" w:firstLine="0"/>
        <w:jc w:val="left"/>
        <w:rPr>
          <w:rFonts w:ascii="Times New Roman" w:hAnsi="Times New Roman"/>
          <w:sz w:val="28"/>
          <w:szCs w:val="28"/>
        </w:rPr>
      </w:pPr>
    </w:p>
    <w:p w14:paraId="115BD937" w14:textId="5FF24A76" w:rsidR="00A916FF" w:rsidRDefault="00A916FF" w:rsidP="00212C52">
      <w:pPr>
        <w:ind w:left="0" w:firstLine="0"/>
        <w:jc w:val="left"/>
        <w:rPr>
          <w:rFonts w:ascii="Times New Roman" w:hAnsi="Times New Roman"/>
          <w:sz w:val="28"/>
          <w:szCs w:val="28"/>
        </w:rPr>
      </w:pPr>
      <w:r>
        <w:rPr>
          <w:rFonts w:ascii="Times New Roman" w:hAnsi="Times New Roman"/>
          <w:sz w:val="28"/>
          <w:szCs w:val="28"/>
        </w:rPr>
        <w:t>Secondary Sources</w:t>
      </w:r>
    </w:p>
    <w:p w14:paraId="6D1F768B" w14:textId="752EBECA" w:rsidR="00F45D44" w:rsidRDefault="00F45D44" w:rsidP="00212C52">
      <w:pPr>
        <w:ind w:left="0" w:firstLine="0"/>
        <w:jc w:val="left"/>
        <w:rPr>
          <w:rFonts w:ascii="Times New Roman" w:hAnsi="Times New Roman"/>
          <w:sz w:val="28"/>
          <w:szCs w:val="28"/>
        </w:rPr>
      </w:pPr>
      <w:r>
        <w:rPr>
          <w:rFonts w:ascii="Times New Roman" w:hAnsi="Times New Roman"/>
          <w:sz w:val="28"/>
          <w:szCs w:val="28"/>
        </w:rPr>
        <w:t xml:space="preserve">Cable. C, Objects: </w:t>
      </w:r>
      <w:r w:rsidRPr="00F45D44">
        <w:rPr>
          <w:rFonts w:ascii="Times New Roman" w:hAnsi="Times New Roman"/>
          <w:i/>
          <w:sz w:val="28"/>
          <w:szCs w:val="28"/>
        </w:rPr>
        <w:t xml:space="preserve">Reluctant Witnesses to the </w:t>
      </w:r>
      <w:r>
        <w:rPr>
          <w:rFonts w:ascii="Times New Roman" w:hAnsi="Times New Roman"/>
          <w:i/>
          <w:sz w:val="28"/>
          <w:szCs w:val="28"/>
        </w:rPr>
        <w:t>P</w:t>
      </w:r>
      <w:r w:rsidRPr="00F45D44">
        <w:rPr>
          <w:rFonts w:ascii="Times New Roman" w:hAnsi="Times New Roman"/>
          <w:i/>
          <w:sz w:val="28"/>
          <w:szCs w:val="28"/>
        </w:rPr>
        <w:t>ast</w:t>
      </w:r>
      <w:r>
        <w:rPr>
          <w:rFonts w:ascii="Times New Roman" w:hAnsi="Times New Roman"/>
          <w:sz w:val="28"/>
          <w:szCs w:val="28"/>
        </w:rPr>
        <w:t xml:space="preserve"> (Abingdon: Routledge, 2006).</w:t>
      </w:r>
    </w:p>
    <w:p w14:paraId="26BE6A02" w14:textId="374B546A" w:rsidR="00B2229F" w:rsidRDefault="00B2229F" w:rsidP="00212C52">
      <w:pPr>
        <w:ind w:left="0" w:firstLine="0"/>
        <w:jc w:val="left"/>
        <w:rPr>
          <w:rFonts w:ascii="Times New Roman" w:hAnsi="Times New Roman"/>
          <w:sz w:val="28"/>
          <w:szCs w:val="28"/>
        </w:rPr>
      </w:pPr>
      <w:r>
        <w:rPr>
          <w:rFonts w:ascii="Times New Roman" w:hAnsi="Times New Roman"/>
          <w:sz w:val="28"/>
          <w:szCs w:val="28"/>
        </w:rPr>
        <w:t>Hicks. C</w:t>
      </w:r>
      <w:r w:rsidR="00F45D44">
        <w:rPr>
          <w:rFonts w:ascii="Times New Roman" w:hAnsi="Times New Roman"/>
          <w:sz w:val="28"/>
          <w:szCs w:val="28"/>
        </w:rPr>
        <w:t xml:space="preserve">, </w:t>
      </w:r>
      <w:r w:rsidR="00F45D44" w:rsidRPr="00F45D44">
        <w:rPr>
          <w:rFonts w:ascii="Times New Roman" w:hAnsi="Times New Roman"/>
          <w:i/>
          <w:sz w:val="28"/>
          <w:szCs w:val="28"/>
        </w:rPr>
        <w:t>The Bayeux Tapestry: The Life Story of a Masterpiece</w:t>
      </w:r>
      <w:r w:rsidR="00F45D44">
        <w:rPr>
          <w:rFonts w:ascii="Times New Roman" w:hAnsi="Times New Roman"/>
          <w:sz w:val="28"/>
          <w:szCs w:val="28"/>
        </w:rPr>
        <w:t xml:space="preserve"> (London: Vintage, 2007).</w:t>
      </w:r>
    </w:p>
    <w:p w14:paraId="6B5C8460" w14:textId="69DAABEE" w:rsidR="00A916FF" w:rsidRDefault="00A916FF" w:rsidP="00212C52">
      <w:pPr>
        <w:ind w:left="0" w:firstLine="0"/>
        <w:jc w:val="left"/>
        <w:rPr>
          <w:rFonts w:ascii="Times New Roman" w:hAnsi="Times New Roman"/>
          <w:sz w:val="28"/>
          <w:szCs w:val="28"/>
        </w:rPr>
      </w:pPr>
      <w:r w:rsidRPr="00A916FF">
        <w:rPr>
          <w:rFonts w:ascii="Times New Roman" w:hAnsi="Times New Roman"/>
          <w:sz w:val="28"/>
          <w:szCs w:val="28"/>
        </w:rPr>
        <w:t>Noxon</w:t>
      </w:r>
      <w:r>
        <w:rPr>
          <w:rFonts w:ascii="Times New Roman" w:hAnsi="Times New Roman"/>
          <w:sz w:val="28"/>
          <w:szCs w:val="28"/>
        </w:rPr>
        <w:t>. G,</w:t>
      </w:r>
      <w:r w:rsidRPr="00A916FF">
        <w:rPr>
          <w:rFonts w:ascii="Times New Roman" w:hAnsi="Times New Roman"/>
          <w:sz w:val="28"/>
          <w:szCs w:val="28"/>
        </w:rPr>
        <w:t xml:space="preserve"> ‘The Bayeux Tapestry’, </w:t>
      </w:r>
      <w:r w:rsidRPr="00A916FF">
        <w:rPr>
          <w:rFonts w:ascii="Times New Roman" w:hAnsi="Times New Roman"/>
          <w:i/>
          <w:sz w:val="28"/>
          <w:szCs w:val="28"/>
        </w:rPr>
        <w:t>Cinema Journal,</w:t>
      </w:r>
      <w:r w:rsidRPr="00A916FF">
        <w:rPr>
          <w:rFonts w:ascii="Times New Roman" w:hAnsi="Times New Roman"/>
          <w:sz w:val="28"/>
          <w:szCs w:val="28"/>
        </w:rPr>
        <w:t xml:space="preserve"> Vol.7 (Winter, 1967-1968), pp.29-35.</w:t>
      </w:r>
    </w:p>
    <w:p w14:paraId="2263E7C0" w14:textId="77777777" w:rsidR="00212C52" w:rsidRDefault="00212C52" w:rsidP="00212C52">
      <w:pPr>
        <w:ind w:left="0" w:firstLine="0"/>
        <w:jc w:val="left"/>
        <w:rPr>
          <w:rFonts w:ascii="Times New Roman" w:hAnsi="Times New Roman"/>
          <w:sz w:val="28"/>
          <w:szCs w:val="28"/>
        </w:rPr>
      </w:pPr>
    </w:p>
    <w:p w14:paraId="53FC7547" w14:textId="77777777" w:rsidR="00212C52" w:rsidRDefault="00212C52" w:rsidP="00212C52">
      <w:pPr>
        <w:ind w:left="0" w:firstLine="0"/>
        <w:jc w:val="left"/>
        <w:rPr>
          <w:rFonts w:ascii="Times New Roman" w:hAnsi="Times New Roman"/>
          <w:sz w:val="28"/>
          <w:szCs w:val="28"/>
        </w:rPr>
      </w:pPr>
    </w:p>
    <w:p w14:paraId="137E88BF" w14:textId="7850B41E" w:rsidR="005F4280" w:rsidRDefault="005F4280" w:rsidP="00796A2B">
      <w:pPr>
        <w:ind w:left="0" w:firstLine="0"/>
        <w:jc w:val="left"/>
        <w:rPr>
          <w:rFonts w:ascii="Times New Roman" w:hAnsi="Times New Roman"/>
          <w:sz w:val="28"/>
          <w:szCs w:val="28"/>
        </w:rPr>
      </w:pPr>
    </w:p>
    <w:p w14:paraId="4B1ACD99" w14:textId="77777777" w:rsidR="005F4280" w:rsidRDefault="005F4280" w:rsidP="00796A2B">
      <w:pPr>
        <w:ind w:left="0" w:firstLine="0"/>
        <w:jc w:val="left"/>
        <w:rPr>
          <w:rFonts w:ascii="Times New Roman" w:hAnsi="Times New Roman"/>
          <w:sz w:val="28"/>
          <w:szCs w:val="28"/>
        </w:rPr>
      </w:pPr>
    </w:p>
    <w:p w14:paraId="763A89F3" w14:textId="3ECB1B40" w:rsidR="00780521" w:rsidRDefault="00780521" w:rsidP="00796A2B">
      <w:pPr>
        <w:ind w:left="0" w:firstLine="0"/>
        <w:jc w:val="left"/>
      </w:pPr>
    </w:p>
    <w:p w14:paraId="10E1365A" w14:textId="77777777" w:rsidR="00780521" w:rsidRPr="00780521" w:rsidRDefault="00780521" w:rsidP="00796A2B">
      <w:pPr>
        <w:ind w:left="0" w:firstLine="0"/>
        <w:jc w:val="left"/>
      </w:pPr>
    </w:p>
    <w:p w14:paraId="1F89DAE1" w14:textId="77777777" w:rsidR="008215D0" w:rsidRPr="0054492A" w:rsidRDefault="008215D0" w:rsidP="00796A2B">
      <w:pPr>
        <w:ind w:left="0" w:firstLine="0"/>
        <w:jc w:val="left"/>
        <w:rPr>
          <w:rFonts w:ascii="Times New Roman" w:hAnsi="Times New Roman"/>
          <w:sz w:val="28"/>
          <w:szCs w:val="28"/>
        </w:rPr>
      </w:pPr>
    </w:p>
    <w:p w14:paraId="3AA75CE6" w14:textId="41A3C99B" w:rsidR="00AF62EE" w:rsidRDefault="00AF62EE" w:rsidP="00275AA2">
      <w:pPr>
        <w:ind w:left="0" w:firstLine="0"/>
        <w:jc w:val="left"/>
        <w:rPr>
          <w:rFonts w:ascii="Times New Roman" w:hAnsi="Times New Roman"/>
          <w:sz w:val="20"/>
          <w:szCs w:val="20"/>
        </w:rPr>
      </w:pPr>
    </w:p>
    <w:p w14:paraId="437A2849" w14:textId="77777777" w:rsidR="00AF62EE" w:rsidRPr="00AF62EE" w:rsidRDefault="00AF62EE" w:rsidP="00275AA2">
      <w:pPr>
        <w:ind w:left="0" w:firstLine="0"/>
        <w:jc w:val="left"/>
        <w:rPr>
          <w:rFonts w:ascii="Times New Roman" w:hAnsi="Times New Roman"/>
          <w:sz w:val="28"/>
          <w:szCs w:val="28"/>
        </w:rPr>
      </w:pPr>
    </w:p>
    <w:sectPr w:rsidR="00AF62EE" w:rsidRPr="00AF62E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19312F" w14:textId="77777777" w:rsidR="00F47F1E" w:rsidRDefault="00F47F1E" w:rsidP="00355F59">
      <w:pPr>
        <w:spacing w:line="240" w:lineRule="auto"/>
      </w:pPr>
      <w:r>
        <w:separator/>
      </w:r>
    </w:p>
  </w:endnote>
  <w:endnote w:type="continuationSeparator" w:id="0">
    <w:p w14:paraId="63500E84" w14:textId="77777777" w:rsidR="00F47F1E" w:rsidRDefault="00F47F1E" w:rsidP="00355F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04E690" w14:textId="77777777" w:rsidR="00F47F1E" w:rsidRDefault="00F47F1E" w:rsidP="00355F59">
      <w:pPr>
        <w:spacing w:line="240" w:lineRule="auto"/>
      </w:pPr>
      <w:r>
        <w:separator/>
      </w:r>
    </w:p>
  </w:footnote>
  <w:footnote w:type="continuationSeparator" w:id="0">
    <w:p w14:paraId="1CB71D16" w14:textId="77777777" w:rsidR="00F47F1E" w:rsidRDefault="00F47F1E" w:rsidP="00355F59">
      <w:pPr>
        <w:spacing w:line="240" w:lineRule="auto"/>
      </w:pPr>
      <w:r>
        <w:continuationSeparator/>
      </w:r>
    </w:p>
  </w:footnote>
  <w:footnote w:id="1">
    <w:p w14:paraId="39816D95" w14:textId="77777777" w:rsidR="00056DB4" w:rsidRDefault="00056DB4" w:rsidP="00056DB4">
      <w:pPr>
        <w:pStyle w:val="FootnoteText"/>
        <w:rPr>
          <w:rFonts w:ascii="Times New Roman" w:hAnsi="Times New Roman"/>
        </w:rPr>
      </w:pPr>
      <w:r>
        <w:rPr>
          <w:rStyle w:val="FootnoteReference"/>
        </w:rPr>
        <w:footnoteRef/>
      </w:r>
      <w:r>
        <w:t xml:space="preserve"> </w:t>
      </w:r>
      <w:r>
        <w:rPr>
          <w:rFonts w:ascii="Times New Roman" w:hAnsi="Times New Roman"/>
        </w:rPr>
        <w:t>Translation: a very narrow strip of linen embroidered with figures and inscriptions representing the conquest of England taken out and displayed during the Festival of the Relics.</w:t>
      </w:r>
    </w:p>
    <w:p w14:paraId="3555C086" w14:textId="77777777" w:rsidR="00056DB4" w:rsidRPr="004263AF" w:rsidRDefault="00056DB4" w:rsidP="00056DB4">
      <w:pPr>
        <w:pStyle w:val="FootnoteText"/>
        <w:rPr>
          <w:rFonts w:ascii="Times New Roman" w:hAnsi="Times New Roman"/>
        </w:rPr>
      </w:pPr>
      <w:bookmarkStart w:id="0" w:name="_Hlk529555063"/>
      <w:r>
        <w:rPr>
          <w:rFonts w:ascii="Times New Roman" w:hAnsi="Times New Roman"/>
        </w:rPr>
        <w:t>Archives departementales du Calvados. Caen. Eveche de Bayeux. Inventaire du tresor de la cathedrale de Bayeux, ms. 199</w:t>
      </w:r>
      <w:bookmarkEnd w:id="0"/>
      <w:r>
        <w:rPr>
          <w:rFonts w:ascii="Times New Roman" w:hAnsi="Times New Roman"/>
        </w:rPr>
        <w:t>, p.95.</w:t>
      </w:r>
    </w:p>
  </w:footnote>
  <w:footnote w:id="2">
    <w:p w14:paraId="16A8523E" w14:textId="4D2C09C8" w:rsidR="00355F59" w:rsidRPr="00355F59" w:rsidRDefault="00355F59">
      <w:pPr>
        <w:pStyle w:val="FootnoteText"/>
        <w:rPr>
          <w:rFonts w:ascii="Times New Roman" w:hAnsi="Times New Roman"/>
        </w:rPr>
      </w:pPr>
      <w:r>
        <w:rPr>
          <w:rStyle w:val="FootnoteReference"/>
        </w:rPr>
        <w:footnoteRef/>
      </w:r>
      <w:r>
        <w:t xml:space="preserve"> </w:t>
      </w:r>
      <w:bookmarkStart w:id="1" w:name="_Hlk529555222"/>
      <w:r>
        <w:rPr>
          <w:rFonts w:ascii="Times New Roman" w:hAnsi="Times New Roman"/>
        </w:rPr>
        <w:t xml:space="preserve">G. Noxon, ‘The Bayeux Tapestry’, </w:t>
      </w:r>
      <w:r w:rsidRPr="00355F59">
        <w:rPr>
          <w:rFonts w:ascii="Times New Roman" w:hAnsi="Times New Roman"/>
          <w:i/>
        </w:rPr>
        <w:t>Cinema Journal</w:t>
      </w:r>
      <w:r>
        <w:rPr>
          <w:rFonts w:ascii="Times New Roman" w:hAnsi="Times New Roman"/>
          <w:i/>
        </w:rPr>
        <w:t>,</w:t>
      </w:r>
      <w:r>
        <w:rPr>
          <w:rFonts w:ascii="Times New Roman" w:hAnsi="Times New Roman"/>
        </w:rPr>
        <w:t xml:space="preserve"> Vol.7 (Winter, 1967-1968), pp.29-35</w:t>
      </w:r>
      <w:r w:rsidR="00F86674">
        <w:rPr>
          <w:rFonts w:ascii="Times New Roman" w:hAnsi="Times New Roman"/>
        </w:rPr>
        <w:t>.</w:t>
      </w:r>
      <w:r>
        <w:rPr>
          <w:rFonts w:ascii="Times New Roman" w:hAnsi="Times New Roman"/>
          <w:i/>
        </w:rPr>
        <w:t xml:space="preserve"> </w:t>
      </w:r>
      <w:bookmarkEnd w:id="1"/>
    </w:p>
  </w:footnote>
  <w:footnote w:id="3">
    <w:p w14:paraId="1AC8983D" w14:textId="7584AFAB" w:rsidR="002A6E3A" w:rsidRPr="002A6E3A" w:rsidRDefault="002A6E3A">
      <w:pPr>
        <w:pStyle w:val="FootnoteText"/>
        <w:rPr>
          <w:rFonts w:ascii="Times New Roman" w:hAnsi="Times New Roman"/>
        </w:rPr>
      </w:pPr>
      <w:r>
        <w:rPr>
          <w:rStyle w:val="FootnoteReference"/>
        </w:rPr>
        <w:footnoteRef/>
      </w:r>
      <w:r>
        <w:rPr>
          <w:rFonts w:ascii="Times New Roman" w:hAnsi="Times New Roman"/>
        </w:rPr>
        <w:t xml:space="preserve">Carmen de </w:t>
      </w:r>
      <w:r w:rsidR="00FA649D">
        <w:rPr>
          <w:rFonts w:ascii="Times New Roman" w:hAnsi="Times New Roman"/>
        </w:rPr>
        <w:t>Hasting</w:t>
      </w:r>
      <w:r w:rsidR="00212C52">
        <w:rPr>
          <w:rFonts w:ascii="Times New Roman" w:hAnsi="Times New Roman"/>
        </w:rPr>
        <w:t>ae</w:t>
      </w:r>
      <w:r>
        <w:rPr>
          <w:rFonts w:ascii="Times New Roman" w:hAnsi="Times New Roman"/>
        </w:rPr>
        <w:t xml:space="preserve">, William’s justification for invading and taking on Harold (speech given before the battle), </w:t>
      </w:r>
      <w:r w:rsidR="0056167F">
        <w:rPr>
          <w:rFonts w:ascii="Times New Roman" w:hAnsi="Times New Roman"/>
        </w:rPr>
        <w:t>HPHI600</w:t>
      </w:r>
      <w:r w:rsidR="00C10067">
        <w:rPr>
          <w:rFonts w:ascii="Times New Roman" w:hAnsi="Times New Roman"/>
        </w:rPr>
        <w:t>9</w:t>
      </w:r>
      <w:r w:rsidR="0056167F">
        <w:rPr>
          <w:rFonts w:ascii="Times New Roman" w:hAnsi="Times New Roman"/>
        </w:rPr>
        <w:t xml:space="preserve"> </w:t>
      </w:r>
      <w:r>
        <w:rPr>
          <w:rFonts w:ascii="Times New Roman" w:hAnsi="Times New Roman"/>
        </w:rPr>
        <w:t>Module reader.</w:t>
      </w:r>
    </w:p>
  </w:footnote>
  <w:footnote w:id="4">
    <w:p w14:paraId="35D7C14F" w14:textId="7DB51ABE" w:rsidR="002A6E3A" w:rsidRPr="0056167F" w:rsidRDefault="002A6E3A">
      <w:pPr>
        <w:pStyle w:val="FootnoteText"/>
        <w:rPr>
          <w:rFonts w:ascii="Times New Roman" w:hAnsi="Times New Roman"/>
        </w:rPr>
      </w:pPr>
      <w:r>
        <w:rPr>
          <w:rStyle w:val="FootnoteReference"/>
        </w:rPr>
        <w:footnoteRef/>
      </w:r>
      <w:r>
        <w:t xml:space="preserve"> </w:t>
      </w:r>
      <w:r w:rsidR="0056167F">
        <w:rPr>
          <w:rFonts w:ascii="Times New Roman" w:hAnsi="Times New Roman"/>
        </w:rPr>
        <w:t>Orderic Vitalis, HPHI600</w:t>
      </w:r>
      <w:r w:rsidR="00C10067">
        <w:rPr>
          <w:rFonts w:ascii="Times New Roman" w:hAnsi="Times New Roman"/>
        </w:rPr>
        <w:t>9</w:t>
      </w:r>
      <w:r w:rsidR="0056167F">
        <w:rPr>
          <w:rFonts w:ascii="Times New Roman" w:hAnsi="Times New Roman"/>
        </w:rPr>
        <w:t xml:space="preserve"> Module reader.</w:t>
      </w:r>
    </w:p>
  </w:footnote>
  <w:footnote w:id="5">
    <w:p w14:paraId="1106AE2B" w14:textId="2A285476" w:rsidR="00FA432A" w:rsidRPr="00FA432A" w:rsidRDefault="00FA432A">
      <w:pPr>
        <w:pStyle w:val="FootnoteText"/>
        <w:rPr>
          <w:rFonts w:ascii="Times New Roman" w:hAnsi="Times New Roman"/>
        </w:rPr>
      </w:pPr>
      <w:r>
        <w:rPr>
          <w:rStyle w:val="FootnoteReference"/>
        </w:rPr>
        <w:footnoteRef/>
      </w:r>
      <w:r>
        <w:t xml:space="preserve"> </w:t>
      </w:r>
      <w:r>
        <w:rPr>
          <w:rFonts w:ascii="Times New Roman" w:hAnsi="Times New Roman"/>
        </w:rPr>
        <w:t>Noxon, Bayeux Tapestry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5958863"/>
      <w:docPartObj>
        <w:docPartGallery w:val="Page Numbers (Top of Page)"/>
        <w:docPartUnique/>
      </w:docPartObj>
    </w:sdtPr>
    <w:sdtEndPr>
      <w:rPr>
        <w:noProof/>
      </w:rPr>
    </w:sdtEndPr>
    <w:sdtContent>
      <w:p w14:paraId="22E45A34" w14:textId="23137D3D" w:rsidR="00C10067" w:rsidRDefault="00C1006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DF6D01" w14:textId="77777777" w:rsidR="00C10067" w:rsidRDefault="00C100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AA2"/>
    <w:rsid w:val="00024432"/>
    <w:rsid w:val="00036660"/>
    <w:rsid w:val="000457FB"/>
    <w:rsid w:val="00056DB4"/>
    <w:rsid w:val="0007166C"/>
    <w:rsid w:val="000D03D1"/>
    <w:rsid w:val="000D374E"/>
    <w:rsid w:val="0010477A"/>
    <w:rsid w:val="00147451"/>
    <w:rsid w:val="001D4125"/>
    <w:rsid w:val="00212C52"/>
    <w:rsid w:val="002644B9"/>
    <w:rsid w:val="00275AA2"/>
    <w:rsid w:val="002A6E3A"/>
    <w:rsid w:val="002F0D28"/>
    <w:rsid w:val="003301C4"/>
    <w:rsid w:val="00355F59"/>
    <w:rsid w:val="00382064"/>
    <w:rsid w:val="003D5734"/>
    <w:rsid w:val="003F563C"/>
    <w:rsid w:val="004263AF"/>
    <w:rsid w:val="004A33FB"/>
    <w:rsid w:val="004D0326"/>
    <w:rsid w:val="005157ED"/>
    <w:rsid w:val="0052637B"/>
    <w:rsid w:val="0054492A"/>
    <w:rsid w:val="0056167F"/>
    <w:rsid w:val="005D66CB"/>
    <w:rsid w:val="005F4280"/>
    <w:rsid w:val="00665A5B"/>
    <w:rsid w:val="006C33A7"/>
    <w:rsid w:val="00780521"/>
    <w:rsid w:val="00796A2B"/>
    <w:rsid w:val="007B2D58"/>
    <w:rsid w:val="007D78E3"/>
    <w:rsid w:val="008215D0"/>
    <w:rsid w:val="008421DE"/>
    <w:rsid w:val="008B618F"/>
    <w:rsid w:val="008C05DC"/>
    <w:rsid w:val="009125D2"/>
    <w:rsid w:val="00993226"/>
    <w:rsid w:val="009A03AC"/>
    <w:rsid w:val="009B3A06"/>
    <w:rsid w:val="009E56F9"/>
    <w:rsid w:val="009F3B1B"/>
    <w:rsid w:val="00A435AC"/>
    <w:rsid w:val="00A916FF"/>
    <w:rsid w:val="00AC50AD"/>
    <w:rsid w:val="00AF62EE"/>
    <w:rsid w:val="00B2229F"/>
    <w:rsid w:val="00B65198"/>
    <w:rsid w:val="00BB5328"/>
    <w:rsid w:val="00C10067"/>
    <w:rsid w:val="00C35AD1"/>
    <w:rsid w:val="00C45374"/>
    <w:rsid w:val="00C6270E"/>
    <w:rsid w:val="00CC3347"/>
    <w:rsid w:val="00CD7005"/>
    <w:rsid w:val="00D07524"/>
    <w:rsid w:val="00DD4A4C"/>
    <w:rsid w:val="00DF15AB"/>
    <w:rsid w:val="00E421FF"/>
    <w:rsid w:val="00E72891"/>
    <w:rsid w:val="00EF11AB"/>
    <w:rsid w:val="00F015BE"/>
    <w:rsid w:val="00F45D44"/>
    <w:rsid w:val="00F47F1E"/>
    <w:rsid w:val="00F8145D"/>
    <w:rsid w:val="00F86674"/>
    <w:rsid w:val="00FA432A"/>
    <w:rsid w:val="00FA649D"/>
    <w:rsid w:val="00FD4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CB6E4"/>
  <w15:chartTrackingRefBased/>
  <w15:docId w15:val="{BC8C7127-D138-49A9-8F5A-9561D83B2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55F59"/>
    <w:pPr>
      <w:spacing w:line="240" w:lineRule="auto"/>
    </w:pPr>
    <w:rPr>
      <w:sz w:val="20"/>
      <w:szCs w:val="20"/>
    </w:rPr>
  </w:style>
  <w:style w:type="character" w:customStyle="1" w:styleId="FootnoteTextChar">
    <w:name w:val="Footnote Text Char"/>
    <w:basedOn w:val="DefaultParagraphFont"/>
    <w:link w:val="FootnoteText"/>
    <w:uiPriority w:val="99"/>
    <w:semiHidden/>
    <w:rsid w:val="00355F59"/>
    <w:rPr>
      <w:sz w:val="20"/>
      <w:szCs w:val="20"/>
    </w:rPr>
  </w:style>
  <w:style w:type="character" w:styleId="FootnoteReference">
    <w:name w:val="footnote reference"/>
    <w:basedOn w:val="DefaultParagraphFont"/>
    <w:uiPriority w:val="99"/>
    <w:semiHidden/>
    <w:unhideWhenUsed/>
    <w:rsid w:val="00355F59"/>
    <w:rPr>
      <w:vertAlign w:val="superscript"/>
    </w:rPr>
  </w:style>
  <w:style w:type="paragraph" w:styleId="Header">
    <w:name w:val="header"/>
    <w:basedOn w:val="Normal"/>
    <w:link w:val="HeaderChar"/>
    <w:uiPriority w:val="99"/>
    <w:unhideWhenUsed/>
    <w:rsid w:val="004263AF"/>
    <w:pPr>
      <w:tabs>
        <w:tab w:val="center" w:pos="4513"/>
        <w:tab w:val="right" w:pos="9026"/>
      </w:tabs>
      <w:spacing w:line="240" w:lineRule="auto"/>
    </w:pPr>
  </w:style>
  <w:style w:type="character" w:customStyle="1" w:styleId="HeaderChar">
    <w:name w:val="Header Char"/>
    <w:basedOn w:val="DefaultParagraphFont"/>
    <w:link w:val="Header"/>
    <w:uiPriority w:val="99"/>
    <w:rsid w:val="004263AF"/>
  </w:style>
  <w:style w:type="paragraph" w:styleId="Footer">
    <w:name w:val="footer"/>
    <w:basedOn w:val="Normal"/>
    <w:link w:val="FooterChar"/>
    <w:uiPriority w:val="99"/>
    <w:unhideWhenUsed/>
    <w:rsid w:val="004263AF"/>
    <w:pPr>
      <w:tabs>
        <w:tab w:val="center" w:pos="4513"/>
        <w:tab w:val="right" w:pos="9026"/>
      </w:tabs>
      <w:spacing w:line="240" w:lineRule="auto"/>
    </w:pPr>
  </w:style>
  <w:style w:type="character" w:customStyle="1" w:styleId="FooterChar">
    <w:name w:val="Footer Char"/>
    <w:basedOn w:val="DefaultParagraphFont"/>
    <w:link w:val="Footer"/>
    <w:uiPriority w:val="99"/>
    <w:rsid w:val="004263AF"/>
  </w:style>
  <w:style w:type="paragraph" w:styleId="NormalWeb">
    <w:name w:val="Normal (Web)"/>
    <w:basedOn w:val="Normal"/>
    <w:uiPriority w:val="99"/>
    <w:semiHidden/>
    <w:unhideWhenUsed/>
    <w:rsid w:val="00665A5B"/>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437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DE82FD-1E2F-400B-9FFE-A40A58113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4</Pages>
  <Words>841</Words>
  <Characters>4799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39</cp:revision>
  <dcterms:created xsi:type="dcterms:W3CDTF">2018-11-09T11:55:00Z</dcterms:created>
  <dcterms:modified xsi:type="dcterms:W3CDTF">2018-11-09T19:38:00Z</dcterms:modified>
</cp:coreProperties>
</file>