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ECC" w:rsidRDefault="00B07ECC">
      <w:r w:rsidRPr="00B07ECC">
        <w:rPr>
          <w:u w:val="single"/>
        </w:rPr>
        <w:t xml:space="preserve">Question </w:t>
      </w:r>
      <w:r w:rsidR="00214A57" w:rsidRPr="00B07ECC">
        <w:rPr>
          <w:u w:val="single"/>
        </w:rPr>
        <w:t>1.</w:t>
      </w:r>
      <w:r w:rsidR="00214A57">
        <w:t xml:space="preserve"> </w:t>
      </w:r>
    </w:p>
    <w:p w:rsidR="00214A57" w:rsidRDefault="00214A57">
      <w:r>
        <w:t>14 rules included in ‘Construction Industry Model Arbitration Rules’.-</w:t>
      </w:r>
    </w:p>
    <w:p w:rsidR="00214A57" w:rsidRDefault="00214A57" w:rsidP="00214A57">
      <w:pPr>
        <w:pStyle w:val="ListParagraph"/>
        <w:numPr>
          <w:ilvl w:val="0"/>
          <w:numId w:val="4"/>
        </w:numPr>
      </w:pPr>
      <w:r>
        <w:t xml:space="preserve">Rule 1 : Objective and Application </w:t>
      </w:r>
      <w:r w:rsidR="00E0684C">
        <w:t>-</w:t>
      </w:r>
    </w:p>
    <w:p w:rsidR="00214A57" w:rsidRDefault="00214A57" w:rsidP="00214A57">
      <w:pPr>
        <w:pStyle w:val="ListParagraph"/>
        <w:numPr>
          <w:ilvl w:val="1"/>
          <w:numId w:val="4"/>
        </w:numPr>
      </w:pPr>
      <w:r>
        <w:t xml:space="preserve">The objective is to allow for fair, impartial, speedy, cost effective and binding resolution of disputes. </w:t>
      </w:r>
    </w:p>
    <w:p w:rsidR="00214A57" w:rsidRDefault="00387E2B" w:rsidP="00214A57">
      <w:pPr>
        <w:pStyle w:val="ListParagraph"/>
        <w:numPr>
          <w:ilvl w:val="1"/>
          <w:numId w:val="4"/>
        </w:numPr>
      </w:pPr>
      <w:r>
        <w:t>Each</w:t>
      </w:r>
      <w:r w:rsidR="00214A57">
        <w:t xml:space="preserve"> party to have reasonable </w:t>
      </w:r>
      <w:r>
        <w:t>opportunity to put a case forward</w:t>
      </w:r>
    </w:p>
    <w:p w:rsidR="00387E2B" w:rsidRDefault="00387E2B" w:rsidP="00214A57">
      <w:pPr>
        <w:pStyle w:val="ListParagraph"/>
        <w:numPr>
          <w:ilvl w:val="1"/>
          <w:numId w:val="4"/>
        </w:numPr>
      </w:pPr>
      <w:r>
        <w:t xml:space="preserve">Rules apply where </w:t>
      </w:r>
      <w:r w:rsidR="00E0684C">
        <w:t>-</w:t>
      </w:r>
    </w:p>
    <w:p w:rsidR="00387E2B" w:rsidRDefault="00387E2B" w:rsidP="00387E2B">
      <w:pPr>
        <w:pStyle w:val="ListParagraph"/>
        <w:numPr>
          <w:ilvl w:val="2"/>
          <w:numId w:val="4"/>
        </w:numPr>
      </w:pPr>
      <w:r>
        <w:t>Single arbitrator to be appointed</w:t>
      </w:r>
    </w:p>
    <w:p w:rsidR="00387E2B" w:rsidRDefault="00387E2B" w:rsidP="00387E2B">
      <w:pPr>
        <w:pStyle w:val="ListParagraph"/>
        <w:numPr>
          <w:ilvl w:val="2"/>
          <w:numId w:val="4"/>
        </w:numPr>
      </w:pPr>
      <w:r>
        <w:t>Arbitration within England, Wales and N. Ireland</w:t>
      </w:r>
    </w:p>
    <w:p w:rsidR="00214A57" w:rsidRDefault="00214A57" w:rsidP="00214A57">
      <w:pPr>
        <w:pStyle w:val="ListParagraph"/>
        <w:numPr>
          <w:ilvl w:val="0"/>
          <w:numId w:val="4"/>
        </w:numPr>
      </w:pPr>
      <w:r>
        <w:t>Rule 2 :</w:t>
      </w:r>
      <w:r w:rsidR="00387E2B">
        <w:t xml:space="preserve"> Beginning and Appointment </w:t>
      </w:r>
      <w:r w:rsidR="00E0684C">
        <w:t xml:space="preserve">- </w:t>
      </w:r>
      <w:proofErr w:type="spellStart"/>
      <w:r w:rsidR="00E0684C">
        <w:t>inisialising</w:t>
      </w:r>
      <w:proofErr w:type="spellEnd"/>
      <w:r w:rsidR="00E0684C">
        <w:t xml:space="preserve"> proceedings -</w:t>
      </w:r>
    </w:p>
    <w:p w:rsidR="00387E2B" w:rsidRDefault="00387E2B" w:rsidP="00387E2B">
      <w:pPr>
        <w:pStyle w:val="ListParagraph"/>
        <w:numPr>
          <w:ilvl w:val="1"/>
          <w:numId w:val="4"/>
        </w:numPr>
      </w:pPr>
      <w:r>
        <w:t xml:space="preserve">Proceedings are initiated in respect of a dispute when party A serves on party </w:t>
      </w:r>
      <w:proofErr w:type="gramStart"/>
      <w:r>
        <w:t>B  a</w:t>
      </w:r>
      <w:proofErr w:type="gramEnd"/>
      <w:r>
        <w:t xml:space="preserve"> written notice of arbitration requiring agreement of the appointment of the arbitrator.</w:t>
      </w:r>
    </w:p>
    <w:p w:rsidR="00CA2062" w:rsidRDefault="00CA2062" w:rsidP="00CA2062">
      <w:pPr>
        <w:pStyle w:val="ListParagraph"/>
        <w:numPr>
          <w:ilvl w:val="0"/>
          <w:numId w:val="4"/>
        </w:numPr>
      </w:pPr>
      <w:r>
        <w:t xml:space="preserve">Rule 3 : Joinder </w:t>
      </w:r>
      <w:r w:rsidR="00E0684C">
        <w:t>-</w:t>
      </w:r>
      <w:r w:rsidR="001C2025">
        <w:t xml:space="preserve"> </w:t>
      </w:r>
      <w:r w:rsidR="00E0684C">
        <w:t>allows for combining of arbitration -</w:t>
      </w:r>
    </w:p>
    <w:p w:rsidR="00CA2062" w:rsidRDefault="00CA2062" w:rsidP="00CA2062">
      <w:pPr>
        <w:pStyle w:val="ListParagraph"/>
        <w:numPr>
          <w:ilvl w:val="1"/>
          <w:numId w:val="4"/>
        </w:numPr>
      </w:pPr>
      <w:r>
        <w:t>If two or more disputes fall within the same arbitration agreement these may be consolidated.</w:t>
      </w:r>
    </w:p>
    <w:p w:rsidR="00CA2062" w:rsidRDefault="00CA2062" w:rsidP="00CA2062">
      <w:pPr>
        <w:pStyle w:val="ListParagraph"/>
        <w:numPr>
          <w:ilvl w:val="1"/>
          <w:numId w:val="4"/>
        </w:numPr>
      </w:pPr>
      <w:r>
        <w:t>Alternately the arbitration can run separately and concurrently.</w:t>
      </w:r>
    </w:p>
    <w:p w:rsidR="00CA2062" w:rsidRDefault="00CA2062" w:rsidP="00CA2062">
      <w:pPr>
        <w:pStyle w:val="ListParagraph"/>
        <w:numPr>
          <w:ilvl w:val="0"/>
          <w:numId w:val="4"/>
        </w:numPr>
      </w:pPr>
      <w:r>
        <w:t xml:space="preserve">Rule 4 : Particular Powers </w:t>
      </w:r>
      <w:r w:rsidR="00E0684C">
        <w:t>-</w:t>
      </w:r>
      <w:r w:rsidR="001C2025">
        <w:t xml:space="preserve"> defines the arbitrators powers -</w:t>
      </w:r>
    </w:p>
    <w:p w:rsidR="001C2025" w:rsidRDefault="00CA2062" w:rsidP="00CA2062">
      <w:pPr>
        <w:pStyle w:val="ListParagraph"/>
        <w:numPr>
          <w:ilvl w:val="1"/>
          <w:numId w:val="4"/>
        </w:numPr>
      </w:pPr>
      <w:r>
        <w:t xml:space="preserve">The arbitrator has the power to </w:t>
      </w:r>
    </w:p>
    <w:p w:rsidR="001C2025" w:rsidRDefault="00CA2062" w:rsidP="001C2025">
      <w:pPr>
        <w:pStyle w:val="ListParagraph"/>
        <w:numPr>
          <w:ilvl w:val="2"/>
          <w:numId w:val="4"/>
        </w:numPr>
      </w:pPr>
      <w:r>
        <w:t>rule on wh</w:t>
      </w:r>
      <w:r w:rsidR="001C2025">
        <w:t>at matters have been submitted</w:t>
      </w:r>
    </w:p>
    <w:p w:rsidR="001C2025" w:rsidRDefault="00CA2062" w:rsidP="001C2025">
      <w:pPr>
        <w:pStyle w:val="ListParagraph"/>
        <w:numPr>
          <w:ilvl w:val="2"/>
          <w:numId w:val="4"/>
        </w:numPr>
      </w:pPr>
      <w:r>
        <w:t>appoint legal experts</w:t>
      </w:r>
    </w:p>
    <w:p w:rsidR="00CA2062" w:rsidRDefault="001C2025" w:rsidP="001C2025">
      <w:pPr>
        <w:pStyle w:val="ListParagraph"/>
        <w:numPr>
          <w:ilvl w:val="2"/>
          <w:numId w:val="4"/>
        </w:numPr>
      </w:pPr>
      <w:r>
        <w:t>take control of a party’s property</w:t>
      </w:r>
    </w:p>
    <w:p w:rsidR="001C2025" w:rsidRDefault="001C2025" w:rsidP="001C2025">
      <w:pPr>
        <w:pStyle w:val="ListParagraph"/>
        <w:numPr>
          <w:ilvl w:val="2"/>
          <w:numId w:val="4"/>
        </w:numPr>
      </w:pPr>
      <w:r>
        <w:t xml:space="preserve">order the claimant to give security for costs incurred </w:t>
      </w:r>
      <w:r w:rsidR="00E0684C">
        <w:t>-</w:t>
      </w:r>
      <w:r>
        <w:t xml:space="preserve"> if not complied with claim may be dismissed</w:t>
      </w:r>
    </w:p>
    <w:p w:rsidR="001C2025" w:rsidRDefault="001C2025" w:rsidP="001C2025">
      <w:pPr>
        <w:pStyle w:val="ListParagraph"/>
        <w:numPr>
          <w:ilvl w:val="0"/>
          <w:numId w:val="4"/>
        </w:numPr>
      </w:pPr>
      <w:r>
        <w:t xml:space="preserve">Rule 5 : Procedure and Evidence </w:t>
      </w:r>
      <w:r w:rsidR="00E0684C">
        <w:t>-</w:t>
      </w:r>
    </w:p>
    <w:p w:rsidR="001C2025" w:rsidRDefault="00E0684C" w:rsidP="001C2025">
      <w:pPr>
        <w:pStyle w:val="ListParagraph"/>
        <w:numPr>
          <w:ilvl w:val="1"/>
          <w:numId w:val="4"/>
        </w:numPr>
      </w:pPr>
      <w:r>
        <w:t>Arbitrator sets out procedural matters i.e. -</w:t>
      </w:r>
    </w:p>
    <w:p w:rsidR="00E0684C" w:rsidRDefault="00E0684C" w:rsidP="00E0684C">
      <w:pPr>
        <w:pStyle w:val="ListParagraph"/>
        <w:numPr>
          <w:ilvl w:val="2"/>
          <w:numId w:val="4"/>
        </w:numPr>
      </w:pPr>
      <w:r>
        <w:t>When and where</w:t>
      </w:r>
    </w:p>
    <w:p w:rsidR="00E0684C" w:rsidRDefault="00E0684C" w:rsidP="00E0684C">
      <w:pPr>
        <w:pStyle w:val="ListParagraph"/>
        <w:numPr>
          <w:ilvl w:val="2"/>
          <w:numId w:val="4"/>
        </w:numPr>
      </w:pPr>
      <w:r>
        <w:t>Language and form of communication</w:t>
      </w:r>
    </w:p>
    <w:p w:rsidR="00E0684C" w:rsidRDefault="00E0684C" w:rsidP="00E0684C">
      <w:pPr>
        <w:pStyle w:val="ListParagraph"/>
        <w:numPr>
          <w:ilvl w:val="2"/>
          <w:numId w:val="4"/>
        </w:numPr>
      </w:pPr>
      <w:r>
        <w:t>Time scale</w:t>
      </w:r>
    </w:p>
    <w:p w:rsidR="00E0684C" w:rsidRDefault="00E0684C" w:rsidP="00E0684C">
      <w:pPr>
        <w:pStyle w:val="ListParagraph"/>
        <w:numPr>
          <w:ilvl w:val="2"/>
          <w:numId w:val="4"/>
        </w:numPr>
      </w:pPr>
      <w:r>
        <w:t>How proceedings are recorded</w:t>
      </w:r>
    </w:p>
    <w:p w:rsidR="00E0684C" w:rsidRDefault="00E0684C" w:rsidP="00E0684C">
      <w:pPr>
        <w:pStyle w:val="ListParagraph"/>
        <w:numPr>
          <w:ilvl w:val="0"/>
          <w:numId w:val="4"/>
        </w:numPr>
      </w:pPr>
      <w:r>
        <w:t>Rule 6 : Form of Procedure and Directions -</w:t>
      </w:r>
    </w:p>
    <w:p w:rsidR="00E0684C" w:rsidRDefault="00E0684C" w:rsidP="00E0684C">
      <w:pPr>
        <w:pStyle w:val="ListParagraph"/>
        <w:numPr>
          <w:ilvl w:val="1"/>
          <w:numId w:val="4"/>
        </w:numPr>
      </w:pPr>
      <w:r>
        <w:t>The arbitrator will arrange a procedural meeting and decide which procedure to follow</w:t>
      </w:r>
    </w:p>
    <w:p w:rsidR="00E0684C" w:rsidRDefault="00E0684C" w:rsidP="00E0684C">
      <w:pPr>
        <w:pStyle w:val="ListParagraph"/>
        <w:numPr>
          <w:ilvl w:val="0"/>
          <w:numId w:val="4"/>
        </w:numPr>
      </w:pPr>
      <w:r>
        <w:t xml:space="preserve">Rule 7 : Short Hearing </w:t>
      </w:r>
      <w:r w:rsidR="0035737C">
        <w:t>-</w:t>
      </w:r>
    </w:p>
    <w:p w:rsidR="00E0684C" w:rsidRDefault="00E0684C" w:rsidP="00E0684C">
      <w:pPr>
        <w:pStyle w:val="ListParagraph"/>
        <w:numPr>
          <w:ilvl w:val="1"/>
          <w:numId w:val="4"/>
        </w:numPr>
      </w:pPr>
      <w:r>
        <w:t xml:space="preserve">A short hearing is appropriate if the arbitration is </w:t>
      </w:r>
      <w:r w:rsidR="0035737C">
        <w:t>straight forward. The parties will submit written statements while the arbitrator may inspect work, materials etc.</w:t>
      </w:r>
    </w:p>
    <w:p w:rsidR="0035737C" w:rsidRDefault="0035737C" w:rsidP="00E0684C">
      <w:pPr>
        <w:pStyle w:val="ListParagraph"/>
        <w:numPr>
          <w:ilvl w:val="1"/>
          <w:numId w:val="4"/>
        </w:numPr>
      </w:pPr>
      <w:r>
        <w:t>This may only take 1 day with longer extension possible.</w:t>
      </w:r>
    </w:p>
    <w:p w:rsidR="0035737C" w:rsidRDefault="0035737C" w:rsidP="00E0684C">
      <w:pPr>
        <w:pStyle w:val="ListParagraph"/>
        <w:numPr>
          <w:ilvl w:val="1"/>
          <w:numId w:val="4"/>
        </w:numPr>
      </w:pPr>
      <w:r>
        <w:t>The arbitrator will deliver his award within 1 month after.</w:t>
      </w:r>
    </w:p>
    <w:p w:rsidR="0035737C" w:rsidRDefault="0035737C" w:rsidP="0035737C">
      <w:pPr>
        <w:pStyle w:val="ListParagraph"/>
        <w:numPr>
          <w:ilvl w:val="0"/>
          <w:numId w:val="4"/>
        </w:numPr>
      </w:pPr>
      <w:r>
        <w:t>Rule 8 : Documents only -</w:t>
      </w:r>
    </w:p>
    <w:p w:rsidR="0035737C" w:rsidRDefault="0035737C" w:rsidP="0035737C">
      <w:pPr>
        <w:pStyle w:val="ListParagraph"/>
        <w:numPr>
          <w:ilvl w:val="1"/>
          <w:numId w:val="4"/>
        </w:numPr>
      </w:pPr>
      <w:r>
        <w:t>This is used when no hearing of oral evidence is required or the sums do not warrant.</w:t>
      </w:r>
    </w:p>
    <w:p w:rsidR="0035737C" w:rsidRDefault="0035737C" w:rsidP="0035737C">
      <w:pPr>
        <w:pStyle w:val="ListParagraph"/>
        <w:numPr>
          <w:ilvl w:val="1"/>
          <w:numId w:val="4"/>
        </w:numPr>
      </w:pPr>
      <w:r>
        <w:t>The parties will submit written statements and remedy sought.</w:t>
      </w:r>
    </w:p>
    <w:p w:rsidR="0035737C" w:rsidRDefault="0035737C" w:rsidP="0035737C">
      <w:pPr>
        <w:pStyle w:val="ListParagraph"/>
        <w:numPr>
          <w:ilvl w:val="1"/>
          <w:numId w:val="4"/>
        </w:numPr>
      </w:pPr>
      <w:r>
        <w:t>The arbitrator may request a short hearing (rule 7).</w:t>
      </w:r>
    </w:p>
    <w:p w:rsidR="0035737C" w:rsidRDefault="0035737C" w:rsidP="0035737C">
      <w:pPr>
        <w:pStyle w:val="ListParagraph"/>
        <w:numPr>
          <w:ilvl w:val="1"/>
          <w:numId w:val="4"/>
        </w:numPr>
      </w:pPr>
      <w:r>
        <w:t>As with rule 7 will make his award within 1 month after.</w:t>
      </w:r>
    </w:p>
    <w:p w:rsidR="0035737C" w:rsidRDefault="0035737C" w:rsidP="0035737C">
      <w:pPr>
        <w:pStyle w:val="ListParagraph"/>
        <w:numPr>
          <w:ilvl w:val="0"/>
          <w:numId w:val="4"/>
        </w:numPr>
      </w:pPr>
      <w:r>
        <w:t>Rule 9 : Full Procedure –</w:t>
      </w:r>
    </w:p>
    <w:p w:rsidR="0035737C" w:rsidRDefault="00557AF6" w:rsidP="0035737C">
      <w:pPr>
        <w:pStyle w:val="ListParagraph"/>
        <w:numPr>
          <w:ilvl w:val="1"/>
          <w:numId w:val="4"/>
        </w:numPr>
      </w:pPr>
      <w:r>
        <w:t>The parties will provide full statements, evidence and remedies sought</w:t>
      </w:r>
    </w:p>
    <w:p w:rsidR="00557AF6" w:rsidRDefault="005E526B" w:rsidP="0035737C">
      <w:pPr>
        <w:pStyle w:val="ListParagraph"/>
        <w:numPr>
          <w:ilvl w:val="1"/>
          <w:numId w:val="4"/>
        </w:numPr>
      </w:pPr>
      <w:r>
        <w:lastRenderedPageBreak/>
        <w:t xml:space="preserve">The arbitrator will have to give times and dates for all steps in </w:t>
      </w:r>
      <w:proofErr w:type="spellStart"/>
      <w:r>
        <w:t>procedings</w:t>
      </w:r>
      <w:proofErr w:type="spellEnd"/>
    </w:p>
    <w:p w:rsidR="005E526B" w:rsidRDefault="005E526B" w:rsidP="005E526B">
      <w:pPr>
        <w:pStyle w:val="ListParagraph"/>
        <w:numPr>
          <w:ilvl w:val="0"/>
          <w:numId w:val="4"/>
        </w:numPr>
      </w:pPr>
      <w:r>
        <w:t xml:space="preserve">Rule 10 : Provisional Relief – </w:t>
      </w:r>
    </w:p>
    <w:p w:rsidR="005E526B" w:rsidRDefault="005E526B" w:rsidP="005E526B">
      <w:pPr>
        <w:pStyle w:val="ListParagraph"/>
        <w:numPr>
          <w:ilvl w:val="1"/>
          <w:numId w:val="4"/>
        </w:numPr>
      </w:pPr>
      <w:r>
        <w:t>Prior to a final award the arbitrator has power to order the payment of a proportion of the estimated award.</w:t>
      </w:r>
    </w:p>
    <w:p w:rsidR="005E526B" w:rsidRDefault="005E526B" w:rsidP="005E526B">
      <w:pPr>
        <w:pStyle w:val="ListParagraph"/>
        <w:numPr>
          <w:ilvl w:val="0"/>
          <w:numId w:val="4"/>
        </w:numPr>
      </w:pPr>
      <w:r>
        <w:t>Rule 11 : Default Powers and Sanctions –</w:t>
      </w:r>
    </w:p>
    <w:p w:rsidR="005E526B" w:rsidRDefault="005E526B" w:rsidP="005E526B">
      <w:pPr>
        <w:pStyle w:val="ListParagraph"/>
        <w:numPr>
          <w:ilvl w:val="1"/>
          <w:numId w:val="4"/>
        </w:numPr>
      </w:pPr>
      <w:r>
        <w:t>The arbitrator may dismiss the claim</w:t>
      </w:r>
    </w:p>
    <w:p w:rsidR="005E526B" w:rsidRDefault="005E526B" w:rsidP="005E526B">
      <w:pPr>
        <w:pStyle w:val="ListParagraph"/>
        <w:numPr>
          <w:ilvl w:val="1"/>
          <w:numId w:val="4"/>
        </w:numPr>
      </w:pPr>
      <w:r>
        <w:t>The arbitrator may continue in the absence of a party</w:t>
      </w:r>
    </w:p>
    <w:p w:rsidR="005E526B" w:rsidRDefault="00AE4F6E" w:rsidP="005E526B">
      <w:pPr>
        <w:pStyle w:val="ListParagraph"/>
        <w:numPr>
          <w:ilvl w:val="1"/>
          <w:numId w:val="4"/>
        </w:numPr>
      </w:pPr>
      <w:r>
        <w:t>An application to the court can be made requiring a party to comply with a peremptory order – failure to comply can lead to dismissal</w:t>
      </w:r>
    </w:p>
    <w:p w:rsidR="00AE4F6E" w:rsidRDefault="00AE4F6E" w:rsidP="00AE4F6E">
      <w:pPr>
        <w:pStyle w:val="ListParagraph"/>
        <w:numPr>
          <w:ilvl w:val="0"/>
          <w:numId w:val="4"/>
        </w:numPr>
      </w:pPr>
      <w:r>
        <w:t>Rule 12 : Awards and Remedies –</w:t>
      </w:r>
    </w:p>
    <w:p w:rsidR="00AE4F6E" w:rsidRDefault="00AE4F6E" w:rsidP="00AE4F6E">
      <w:pPr>
        <w:pStyle w:val="ListParagraph"/>
        <w:numPr>
          <w:ilvl w:val="1"/>
          <w:numId w:val="4"/>
        </w:numPr>
      </w:pPr>
      <w:r>
        <w:t>The arbitrator will decide whether to give an award or make an order for provisional relief.</w:t>
      </w:r>
    </w:p>
    <w:p w:rsidR="00AE4F6E" w:rsidRDefault="00AE4F6E" w:rsidP="00AE4F6E">
      <w:pPr>
        <w:pStyle w:val="ListParagraph"/>
        <w:numPr>
          <w:ilvl w:val="1"/>
          <w:numId w:val="4"/>
        </w:numPr>
      </w:pPr>
      <w:r>
        <w:t>The award will be given on a set date, in writing and signed by the arbitrator.</w:t>
      </w:r>
    </w:p>
    <w:p w:rsidR="00AE4F6E" w:rsidRDefault="00AE4F6E" w:rsidP="00AE4F6E">
      <w:pPr>
        <w:pStyle w:val="ListParagraph"/>
        <w:numPr>
          <w:ilvl w:val="0"/>
          <w:numId w:val="4"/>
        </w:numPr>
      </w:pPr>
      <w:r>
        <w:t>Rule 13 : Costs</w:t>
      </w:r>
    </w:p>
    <w:p w:rsidR="00AE4F6E" w:rsidRDefault="00794C54" w:rsidP="00AE4F6E">
      <w:pPr>
        <w:pStyle w:val="ListParagraph"/>
        <w:numPr>
          <w:ilvl w:val="1"/>
          <w:numId w:val="4"/>
        </w:numPr>
      </w:pPr>
      <w:r>
        <w:t>Costs should be paid by the losing party, but can be proportioned between both parties (claim and counterclaim).</w:t>
      </w:r>
    </w:p>
    <w:p w:rsidR="00794C54" w:rsidRDefault="00794C54" w:rsidP="00AE4F6E">
      <w:pPr>
        <w:pStyle w:val="ListParagraph"/>
        <w:numPr>
          <w:ilvl w:val="1"/>
          <w:numId w:val="4"/>
        </w:numPr>
      </w:pPr>
      <w:r>
        <w:t>The award will depend on –</w:t>
      </w:r>
    </w:p>
    <w:p w:rsidR="00794C54" w:rsidRDefault="00794C54" w:rsidP="00794C54">
      <w:pPr>
        <w:pStyle w:val="ListParagraph"/>
        <w:numPr>
          <w:ilvl w:val="2"/>
          <w:numId w:val="4"/>
        </w:numPr>
      </w:pPr>
      <w:r>
        <w:t>The conduct of the parties</w:t>
      </w:r>
    </w:p>
    <w:p w:rsidR="00794C54" w:rsidRDefault="00794C54" w:rsidP="00794C54">
      <w:pPr>
        <w:pStyle w:val="ListParagraph"/>
        <w:numPr>
          <w:ilvl w:val="2"/>
          <w:numId w:val="4"/>
        </w:numPr>
      </w:pPr>
      <w:r>
        <w:t>Degree of success</w:t>
      </w:r>
    </w:p>
    <w:p w:rsidR="00794C54" w:rsidRDefault="00794C54" w:rsidP="00794C54">
      <w:pPr>
        <w:pStyle w:val="ListParagraph"/>
        <w:numPr>
          <w:ilvl w:val="2"/>
          <w:numId w:val="4"/>
        </w:numPr>
      </w:pPr>
      <w:r>
        <w:t>Any unreasonable exaggeration</w:t>
      </w:r>
    </w:p>
    <w:p w:rsidR="00794C54" w:rsidRDefault="00794C54" w:rsidP="00794C54">
      <w:pPr>
        <w:pStyle w:val="ListParagraph"/>
        <w:numPr>
          <w:ilvl w:val="0"/>
          <w:numId w:val="4"/>
        </w:numPr>
      </w:pPr>
      <w:r>
        <w:t xml:space="preserve">Rule </w:t>
      </w:r>
      <w:proofErr w:type="gramStart"/>
      <w:r>
        <w:t>14 :</w:t>
      </w:r>
      <w:proofErr w:type="gramEnd"/>
      <w:r>
        <w:t xml:space="preserve"> Miscellaneous – this rule covers any other procedural matters not already covered.</w:t>
      </w:r>
    </w:p>
    <w:p w:rsidR="00387E2B" w:rsidRDefault="00387E2B" w:rsidP="00387E2B">
      <w:pPr>
        <w:pStyle w:val="ListParagraph"/>
        <w:ind w:left="1440"/>
      </w:pPr>
    </w:p>
    <w:p w:rsidR="00B07ECC" w:rsidRDefault="00B07ECC" w:rsidP="00726B07">
      <w:pPr>
        <w:spacing w:after="0"/>
        <w:rPr>
          <w:u w:val="single"/>
        </w:rPr>
      </w:pPr>
      <w:r w:rsidRPr="00B07ECC">
        <w:rPr>
          <w:u w:val="single"/>
        </w:rPr>
        <w:t xml:space="preserve">Question </w:t>
      </w:r>
      <w:r>
        <w:rPr>
          <w:u w:val="single"/>
        </w:rPr>
        <w:t>2</w:t>
      </w:r>
    </w:p>
    <w:p w:rsidR="00B07ECC" w:rsidRDefault="00B07ECC" w:rsidP="00726B07">
      <w:pPr>
        <w:spacing w:after="0"/>
        <w:rPr>
          <w:u w:val="single"/>
        </w:rPr>
      </w:pPr>
    </w:p>
    <w:p w:rsidR="001E3302" w:rsidRDefault="00794C54" w:rsidP="00726B07">
      <w:pPr>
        <w:spacing w:after="0"/>
      </w:pPr>
      <w:r>
        <w:t xml:space="preserve">a. </w:t>
      </w:r>
      <w:r w:rsidR="001E3302">
        <w:t>Different business structures –</w:t>
      </w:r>
    </w:p>
    <w:p w:rsidR="00794C54" w:rsidRDefault="00726B07" w:rsidP="001E3302">
      <w:pPr>
        <w:pStyle w:val="ListParagraph"/>
        <w:numPr>
          <w:ilvl w:val="0"/>
          <w:numId w:val="6"/>
        </w:numPr>
        <w:spacing w:after="0"/>
      </w:pPr>
      <w:r>
        <w:t xml:space="preserve">A Sole Trader </w:t>
      </w:r>
      <w:r w:rsidR="004C7C51">
        <w:t>–</w:t>
      </w:r>
    </w:p>
    <w:p w:rsidR="001E3302" w:rsidRDefault="001E3302" w:rsidP="001E3302">
      <w:pPr>
        <w:pStyle w:val="ListParagraph"/>
        <w:numPr>
          <w:ilvl w:val="1"/>
          <w:numId w:val="5"/>
        </w:numPr>
        <w:spacing w:after="0"/>
      </w:pPr>
      <w:r>
        <w:t>Single individual</w:t>
      </w:r>
    </w:p>
    <w:p w:rsidR="004C7C51" w:rsidRDefault="004C7C51" w:rsidP="001E3302">
      <w:pPr>
        <w:pStyle w:val="ListParagraph"/>
        <w:numPr>
          <w:ilvl w:val="1"/>
          <w:numId w:val="5"/>
        </w:numPr>
        <w:spacing w:after="0"/>
      </w:pPr>
      <w:r>
        <w:t>From a tax and legal perspective the sole trader and business are the same</w:t>
      </w:r>
    </w:p>
    <w:p w:rsidR="004C7C51" w:rsidRDefault="001E3302" w:rsidP="001E3302">
      <w:pPr>
        <w:pStyle w:val="ListParagraph"/>
        <w:numPr>
          <w:ilvl w:val="1"/>
          <w:numId w:val="5"/>
        </w:numPr>
        <w:spacing w:after="0"/>
      </w:pPr>
      <w:r>
        <w:t>Solely responsible for debts/profits</w:t>
      </w:r>
      <w:r w:rsidR="00EE48A6">
        <w:t>/unlimited liability</w:t>
      </w:r>
    </w:p>
    <w:p w:rsidR="001E3302" w:rsidRDefault="001E3302" w:rsidP="001E3302">
      <w:pPr>
        <w:pStyle w:val="ListParagraph"/>
        <w:numPr>
          <w:ilvl w:val="0"/>
          <w:numId w:val="5"/>
        </w:numPr>
        <w:spacing w:after="0"/>
      </w:pPr>
      <w:r>
        <w:t>Partnership –</w:t>
      </w:r>
    </w:p>
    <w:p w:rsidR="00C36B74" w:rsidRDefault="00C36B74" w:rsidP="00C36B74">
      <w:pPr>
        <w:pStyle w:val="ListParagraph"/>
        <w:numPr>
          <w:ilvl w:val="1"/>
          <w:numId w:val="5"/>
        </w:numPr>
        <w:spacing w:after="0"/>
      </w:pPr>
      <w:r>
        <w:t>Between 2 to 4</w:t>
      </w:r>
      <w:r w:rsidR="001E3302">
        <w:t xml:space="preserve"> individuals</w:t>
      </w:r>
    </w:p>
    <w:p w:rsidR="000B7AA9" w:rsidRDefault="000B7AA9" w:rsidP="000B7AA9">
      <w:pPr>
        <w:pStyle w:val="ListParagraph"/>
        <w:numPr>
          <w:ilvl w:val="1"/>
          <w:numId w:val="5"/>
        </w:numPr>
        <w:spacing w:after="0"/>
      </w:pPr>
      <w:r>
        <w:t xml:space="preserve">From a tax and legal perspective the </w:t>
      </w:r>
      <w:r>
        <w:t>partners</w:t>
      </w:r>
      <w:r>
        <w:t xml:space="preserve"> and business are the same</w:t>
      </w:r>
    </w:p>
    <w:p w:rsidR="00EE48A6" w:rsidRDefault="000B7AA9" w:rsidP="000B7AA9">
      <w:pPr>
        <w:pStyle w:val="ListParagraph"/>
        <w:numPr>
          <w:ilvl w:val="1"/>
          <w:numId w:val="5"/>
        </w:numPr>
        <w:spacing w:after="0"/>
      </w:pPr>
      <w:r>
        <w:t>R</w:t>
      </w:r>
      <w:r>
        <w:t>esponsible for debts/profits/unlimited liability</w:t>
      </w:r>
      <w:r>
        <w:t xml:space="preserve"> </w:t>
      </w:r>
      <w:r w:rsidR="001E3302">
        <w:t>shared between partners</w:t>
      </w:r>
    </w:p>
    <w:p w:rsidR="00C36B74" w:rsidRDefault="00C36B74" w:rsidP="00C36B74">
      <w:pPr>
        <w:spacing w:after="0"/>
        <w:ind w:left="720"/>
      </w:pPr>
    </w:p>
    <w:p w:rsidR="001E3302" w:rsidRDefault="001E3302" w:rsidP="00C36B74">
      <w:pPr>
        <w:pStyle w:val="ListParagraph"/>
        <w:numPr>
          <w:ilvl w:val="1"/>
          <w:numId w:val="5"/>
        </w:numPr>
        <w:spacing w:after="0"/>
      </w:pPr>
      <w:r>
        <w:t xml:space="preserve">The main differences between these structures is that of the number of owners of the business. As such an agreement </w:t>
      </w:r>
      <w:r w:rsidR="000B7AA9">
        <w:t>between partners must be drafted</w:t>
      </w:r>
      <w:r>
        <w:t xml:space="preserve"> on formation of the business. This would include –</w:t>
      </w:r>
    </w:p>
    <w:p w:rsidR="001E3302" w:rsidRDefault="001E3302" w:rsidP="00C36B74">
      <w:pPr>
        <w:pStyle w:val="ListParagraph"/>
        <w:numPr>
          <w:ilvl w:val="2"/>
          <w:numId w:val="5"/>
        </w:numPr>
        <w:spacing w:after="0"/>
      </w:pPr>
      <w:r>
        <w:t>Names and details of the partners</w:t>
      </w:r>
    </w:p>
    <w:p w:rsidR="001E3302" w:rsidRDefault="001E3302" w:rsidP="00C36B74">
      <w:pPr>
        <w:pStyle w:val="ListParagraph"/>
        <w:numPr>
          <w:ilvl w:val="2"/>
          <w:numId w:val="5"/>
        </w:numPr>
        <w:spacing w:after="0"/>
      </w:pPr>
      <w:r>
        <w:t>Business outline description</w:t>
      </w:r>
    </w:p>
    <w:p w:rsidR="001E3302" w:rsidRDefault="001E3302" w:rsidP="00C36B74">
      <w:pPr>
        <w:pStyle w:val="ListParagraph"/>
        <w:numPr>
          <w:ilvl w:val="2"/>
          <w:numId w:val="5"/>
        </w:numPr>
        <w:spacing w:after="0"/>
      </w:pPr>
      <w:r>
        <w:t>Investment, profit and liability share of each partner</w:t>
      </w:r>
    </w:p>
    <w:p w:rsidR="001E3302" w:rsidRDefault="001E3302" w:rsidP="00C36B74">
      <w:pPr>
        <w:pStyle w:val="ListParagraph"/>
        <w:numPr>
          <w:ilvl w:val="2"/>
          <w:numId w:val="5"/>
        </w:numPr>
        <w:spacing w:after="0"/>
      </w:pPr>
      <w:r>
        <w:t>Agreed steps on d</w:t>
      </w:r>
      <w:r w:rsidR="000B7AA9">
        <w:t>issolving the partnership if necess</w:t>
      </w:r>
      <w:r>
        <w:t>ary</w:t>
      </w:r>
      <w:r w:rsidR="001E2F63">
        <w:t>.</w:t>
      </w:r>
    </w:p>
    <w:p w:rsidR="000B7AA9" w:rsidRDefault="00C36B74" w:rsidP="00C36B74">
      <w:pPr>
        <w:pStyle w:val="ListParagraph"/>
        <w:numPr>
          <w:ilvl w:val="1"/>
          <w:numId w:val="5"/>
        </w:numPr>
        <w:spacing w:after="0"/>
      </w:pPr>
      <w:r>
        <w:t>One partner may be liable for the debt of another</w:t>
      </w:r>
    </w:p>
    <w:p w:rsidR="00C36B74" w:rsidRDefault="00C36B74" w:rsidP="00C36B74">
      <w:pPr>
        <w:pStyle w:val="ListParagraph"/>
        <w:numPr>
          <w:ilvl w:val="1"/>
          <w:numId w:val="5"/>
        </w:numPr>
        <w:spacing w:after="0"/>
      </w:pPr>
      <w:r>
        <w:t>Partners have the right to dissolve the partnership which may involve forcing the sale of assets</w:t>
      </w:r>
    </w:p>
    <w:p w:rsidR="001E2F63" w:rsidRDefault="00EE48A6" w:rsidP="00EE48A6">
      <w:pPr>
        <w:spacing w:after="0"/>
      </w:pPr>
      <w:r>
        <w:t xml:space="preserve">b. Setting up a company – </w:t>
      </w:r>
    </w:p>
    <w:p w:rsidR="00EE48A6" w:rsidRDefault="00EE48A6" w:rsidP="00EE48A6">
      <w:pPr>
        <w:pStyle w:val="ListParagraph"/>
        <w:numPr>
          <w:ilvl w:val="0"/>
          <w:numId w:val="7"/>
        </w:numPr>
        <w:spacing w:after="0"/>
      </w:pPr>
      <w:r>
        <w:t xml:space="preserve">Setting up/creating a company is called </w:t>
      </w:r>
      <w:r w:rsidRPr="000B7AA9">
        <w:rPr>
          <w:u w:val="single"/>
        </w:rPr>
        <w:t>Incorporation</w:t>
      </w:r>
      <w:r>
        <w:t>.</w:t>
      </w:r>
    </w:p>
    <w:p w:rsidR="00EE48A6" w:rsidRDefault="006B0025" w:rsidP="00EE48A6">
      <w:pPr>
        <w:pStyle w:val="ListParagraph"/>
        <w:numPr>
          <w:ilvl w:val="0"/>
          <w:numId w:val="7"/>
        </w:numPr>
        <w:spacing w:after="0"/>
      </w:pPr>
      <w:r>
        <w:t>The steps</w:t>
      </w:r>
      <w:r w:rsidR="00EE48A6">
        <w:t xml:space="preserve"> by which a company is set up is as follows –</w:t>
      </w:r>
    </w:p>
    <w:p w:rsidR="006B0025" w:rsidRDefault="006B0025" w:rsidP="00EE48A6">
      <w:pPr>
        <w:pStyle w:val="ListParagraph"/>
        <w:numPr>
          <w:ilvl w:val="1"/>
          <w:numId w:val="7"/>
        </w:numPr>
        <w:spacing w:after="0"/>
      </w:pPr>
      <w:r>
        <w:lastRenderedPageBreak/>
        <w:t xml:space="preserve">First a company name is chosen. The name – </w:t>
      </w:r>
    </w:p>
    <w:p w:rsidR="00EE48A6" w:rsidRDefault="006B0025" w:rsidP="006B0025">
      <w:pPr>
        <w:pStyle w:val="ListParagraph"/>
        <w:numPr>
          <w:ilvl w:val="2"/>
          <w:numId w:val="7"/>
        </w:numPr>
        <w:spacing w:after="0"/>
      </w:pPr>
      <w:r>
        <w:t xml:space="preserve">Cannot be the same as another registered company’s name or an existing trademark. </w:t>
      </w:r>
    </w:p>
    <w:p w:rsidR="006B0025" w:rsidRDefault="006B0025" w:rsidP="006B0025">
      <w:pPr>
        <w:pStyle w:val="ListParagraph"/>
        <w:numPr>
          <w:ilvl w:val="2"/>
          <w:numId w:val="7"/>
        </w:numPr>
        <w:spacing w:after="0"/>
      </w:pPr>
      <w:r>
        <w:t xml:space="preserve">Cannot be similar to an existing name by only a difference in punctuation e.g. Dan’s Stoves or </w:t>
      </w:r>
      <w:proofErr w:type="spellStart"/>
      <w:r>
        <w:t>Dans</w:t>
      </w:r>
      <w:proofErr w:type="spellEnd"/>
      <w:r>
        <w:t xml:space="preserve"> Stoves.</w:t>
      </w:r>
    </w:p>
    <w:p w:rsidR="006B0025" w:rsidRDefault="006B0025" w:rsidP="006B0025">
      <w:pPr>
        <w:pStyle w:val="ListParagraph"/>
        <w:numPr>
          <w:ilvl w:val="2"/>
          <w:numId w:val="7"/>
        </w:numPr>
        <w:spacing w:after="0"/>
      </w:pPr>
      <w:r>
        <w:t xml:space="preserve">Cannot be ‘too like’, </w:t>
      </w:r>
      <w:proofErr w:type="spellStart"/>
      <w:r>
        <w:t>e.g</w:t>
      </w:r>
      <w:proofErr w:type="spellEnd"/>
      <w:r>
        <w:t xml:space="preserve"> EZ Stoves or Easy Stoves.</w:t>
      </w:r>
    </w:p>
    <w:p w:rsidR="006B0025" w:rsidRDefault="006B0025" w:rsidP="006B0025">
      <w:pPr>
        <w:pStyle w:val="ListParagraph"/>
        <w:numPr>
          <w:ilvl w:val="2"/>
          <w:numId w:val="7"/>
        </w:numPr>
        <w:spacing w:after="0"/>
      </w:pPr>
      <w:r>
        <w:t>Cannot be offensive</w:t>
      </w:r>
    </w:p>
    <w:p w:rsidR="006B0025" w:rsidRDefault="006B0025" w:rsidP="006B0025">
      <w:pPr>
        <w:pStyle w:val="ListParagraph"/>
        <w:numPr>
          <w:ilvl w:val="2"/>
          <w:numId w:val="7"/>
        </w:numPr>
        <w:spacing w:after="0"/>
      </w:pPr>
      <w:r>
        <w:t>Cannot use ‘sensitive’ words such as ‘Sheffield’ or ‘King’.</w:t>
      </w:r>
    </w:p>
    <w:p w:rsidR="006B0025" w:rsidRDefault="00054124" w:rsidP="006B0025">
      <w:pPr>
        <w:pStyle w:val="ListParagraph"/>
        <w:numPr>
          <w:ilvl w:val="1"/>
          <w:numId w:val="7"/>
        </w:numPr>
        <w:spacing w:after="0"/>
      </w:pPr>
      <w:r>
        <w:t>A director (at least one) and company secretary (optional) are appointed. – Directors are legally responsible for running the company, company accounts and payment of corporation TAX. A director must  –</w:t>
      </w:r>
    </w:p>
    <w:p w:rsidR="00054124" w:rsidRDefault="00054124" w:rsidP="00054124">
      <w:pPr>
        <w:pStyle w:val="ListParagraph"/>
        <w:numPr>
          <w:ilvl w:val="2"/>
          <w:numId w:val="7"/>
        </w:numPr>
        <w:spacing w:after="0"/>
      </w:pPr>
      <w:r>
        <w:t>Be over 16 years old</w:t>
      </w:r>
    </w:p>
    <w:p w:rsidR="00054124" w:rsidRDefault="00054124" w:rsidP="00054124">
      <w:pPr>
        <w:pStyle w:val="ListParagraph"/>
        <w:numPr>
          <w:ilvl w:val="2"/>
          <w:numId w:val="7"/>
        </w:numPr>
        <w:spacing w:after="0"/>
      </w:pPr>
      <w:r>
        <w:t>Have a registered UK address</w:t>
      </w:r>
    </w:p>
    <w:p w:rsidR="00054124" w:rsidRDefault="00054124" w:rsidP="00054124">
      <w:pPr>
        <w:pStyle w:val="ListParagraph"/>
        <w:numPr>
          <w:ilvl w:val="2"/>
          <w:numId w:val="7"/>
        </w:numPr>
        <w:spacing w:after="0"/>
      </w:pPr>
      <w:r>
        <w:t>Make names and personal information available</w:t>
      </w:r>
    </w:p>
    <w:p w:rsidR="00054124" w:rsidRDefault="00054124" w:rsidP="006B0025">
      <w:pPr>
        <w:pStyle w:val="ListParagraph"/>
        <w:numPr>
          <w:ilvl w:val="1"/>
          <w:numId w:val="7"/>
        </w:numPr>
        <w:spacing w:after="0"/>
      </w:pPr>
      <w:r>
        <w:t xml:space="preserve">Appoint </w:t>
      </w:r>
      <w:r w:rsidR="000326FE">
        <w:t>shareholders or guarantors. –</w:t>
      </w:r>
    </w:p>
    <w:p w:rsidR="000326FE" w:rsidRDefault="000326FE" w:rsidP="000326FE">
      <w:pPr>
        <w:pStyle w:val="ListParagraph"/>
        <w:numPr>
          <w:ilvl w:val="2"/>
          <w:numId w:val="7"/>
        </w:numPr>
        <w:spacing w:after="0"/>
      </w:pPr>
      <w:r>
        <w:t>There must be at least one shareholder (100%)</w:t>
      </w:r>
    </w:p>
    <w:p w:rsidR="000326FE" w:rsidRDefault="000326FE" w:rsidP="000326FE">
      <w:pPr>
        <w:pStyle w:val="ListParagraph"/>
        <w:numPr>
          <w:ilvl w:val="2"/>
          <w:numId w:val="7"/>
        </w:numPr>
        <w:spacing w:after="0"/>
      </w:pPr>
      <w:r>
        <w:t>Shares are allocated between shareholders – directors get one vote per share and receive dividend payments. They are also liable to the same degree.</w:t>
      </w:r>
    </w:p>
    <w:p w:rsidR="000326FE" w:rsidRDefault="000326FE" w:rsidP="000326FE">
      <w:pPr>
        <w:pStyle w:val="ListParagraph"/>
        <w:numPr>
          <w:ilvl w:val="2"/>
          <w:numId w:val="7"/>
        </w:numPr>
        <w:spacing w:after="0"/>
      </w:pPr>
      <w:r>
        <w:t>Information must be provided stating the number of shares, their total value (share capital) and the names and addresses of the shareholders.</w:t>
      </w:r>
    </w:p>
    <w:p w:rsidR="000326FE" w:rsidRDefault="000326FE" w:rsidP="000326FE">
      <w:pPr>
        <w:pStyle w:val="ListParagraph"/>
        <w:numPr>
          <w:ilvl w:val="2"/>
          <w:numId w:val="7"/>
        </w:numPr>
        <w:spacing w:after="0"/>
      </w:pPr>
      <w:r>
        <w:t>Information included about the type of shares, i.e. class, or prescribed particulars.</w:t>
      </w:r>
    </w:p>
    <w:p w:rsidR="000326FE" w:rsidRDefault="000326FE" w:rsidP="000326FE">
      <w:pPr>
        <w:pStyle w:val="ListParagraph"/>
        <w:numPr>
          <w:ilvl w:val="1"/>
          <w:numId w:val="7"/>
        </w:numPr>
        <w:spacing w:after="0"/>
      </w:pPr>
      <w:r>
        <w:t xml:space="preserve">Prepare </w:t>
      </w:r>
      <w:r w:rsidR="00E22C4E">
        <w:t>documents agreeing how to run your company –</w:t>
      </w:r>
    </w:p>
    <w:p w:rsidR="00E22C4E" w:rsidRDefault="00E22C4E" w:rsidP="00E22C4E">
      <w:pPr>
        <w:pStyle w:val="ListParagraph"/>
        <w:numPr>
          <w:ilvl w:val="2"/>
          <w:numId w:val="7"/>
        </w:numPr>
        <w:spacing w:after="0"/>
      </w:pPr>
      <w:r w:rsidRPr="000B7AA9">
        <w:rPr>
          <w:u w:val="single"/>
        </w:rPr>
        <w:t>Memorandum of association</w:t>
      </w:r>
      <w:r>
        <w:t xml:space="preserve"> – a legal statement by all directors, shareholders agreeing to form the company</w:t>
      </w:r>
    </w:p>
    <w:p w:rsidR="00E22C4E" w:rsidRDefault="00E22C4E" w:rsidP="00E22C4E">
      <w:pPr>
        <w:pStyle w:val="ListParagraph"/>
        <w:numPr>
          <w:ilvl w:val="2"/>
          <w:numId w:val="7"/>
        </w:numPr>
        <w:spacing w:after="0"/>
      </w:pPr>
      <w:r w:rsidRPr="000B7AA9">
        <w:rPr>
          <w:u w:val="single"/>
        </w:rPr>
        <w:t>Articles of association</w:t>
      </w:r>
      <w:r>
        <w:t xml:space="preserve"> – written rules about how the company is run agreed upon by all directors and shareholders.</w:t>
      </w:r>
    </w:p>
    <w:p w:rsidR="00E22C4E" w:rsidRDefault="00E22C4E" w:rsidP="00E22C4E">
      <w:pPr>
        <w:pStyle w:val="ListParagraph"/>
        <w:numPr>
          <w:ilvl w:val="1"/>
          <w:numId w:val="7"/>
        </w:numPr>
        <w:spacing w:after="0"/>
      </w:pPr>
      <w:r>
        <w:t>Company and accounting records – the following records must be kept -</w:t>
      </w:r>
    </w:p>
    <w:p w:rsidR="00E22C4E" w:rsidRDefault="00E22C4E" w:rsidP="002437B6">
      <w:pPr>
        <w:pStyle w:val="ListParagraph"/>
        <w:numPr>
          <w:ilvl w:val="2"/>
          <w:numId w:val="7"/>
        </w:numPr>
        <w:spacing w:after="0"/>
      </w:pPr>
      <w:r>
        <w:t>Records about the company</w:t>
      </w:r>
    </w:p>
    <w:p w:rsidR="00E22C4E" w:rsidRDefault="00E22C4E" w:rsidP="002437B6">
      <w:pPr>
        <w:pStyle w:val="ListParagraph"/>
        <w:numPr>
          <w:ilvl w:val="2"/>
          <w:numId w:val="7"/>
        </w:numPr>
        <w:spacing w:after="0"/>
      </w:pPr>
      <w:r>
        <w:t>Financial and accounts</w:t>
      </w:r>
    </w:p>
    <w:p w:rsidR="00E22C4E" w:rsidRDefault="00E22C4E" w:rsidP="00E22C4E">
      <w:pPr>
        <w:pStyle w:val="ListParagraph"/>
        <w:numPr>
          <w:ilvl w:val="1"/>
          <w:numId w:val="7"/>
        </w:numPr>
        <w:spacing w:after="0"/>
      </w:pPr>
      <w:r>
        <w:t xml:space="preserve">The company must now be registered with </w:t>
      </w:r>
      <w:proofErr w:type="gramStart"/>
      <w:r>
        <w:t>companies</w:t>
      </w:r>
      <w:proofErr w:type="gramEnd"/>
      <w:r>
        <w:t xml:space="preserve"> house. Information about directors and shareholders are registered. A ‘certificate of corporation’ will be issued to confirm that the company legally exists.</w:t>
      </w:r>
    </w:p>
    <w:p w:rsidR="001E3302" w:rsidRDefault="001E3302" w:rsidP="001E3302">
      <w:pPr>
        <w:spacing w:after="0"/>
      </w:pPr>
    </w:p>
    <w:p w:rsidR="00726B07" w:rsidRDefault="00726B07"/>
    <w:p w:rsidR="00B07ECC" w:rsidRDefault="00B07ECC">
      <w:r w:rsidRPr="00B07ECC">
        <w:rPr>
          <w:u w:val="single"/>
        </w:rPr>
        <w:t xml:space="preserve">Question </w:t>
      </w:r>
      <w:r w:rsidR="00C958C8" w:rsidRPr="00B07ECC">
        <w:rPr>
          <w:u w:val="single"/>
        </w:rPr>
        <w:t>5.</w:t>
      </w:r>
      <w:r w:rsidR="00C958C8">
        <w:t xml:space="preserve"> </w:t>
      </w:r>
    </w:p>
    <w:p w:rsidR="00C958C8" w:rsidRDefault="00C958C8">
      <w:r>
        <w:t xml:space="preserve">Key requirements for strict liability to apply </w:t>
      </w:r>
      <w:r w:rsidR="00E0684C">
        <w:t>-</w:t>
      </w:r>
    </w:p>
    <w:p w:rsidR="00811DAA" w:rsidRDefault="00C958C8" w:rsidP="00B8115E">
      <w:pPr>
        <w:pStyle w:val="ListParagraph"/>
        <w:numPr>
          <w:ilvl w:val="0"/>
          <w:numId w:val="2"/>
        </w:numPr>
      </w:pPr>
      <w:r>
        <w:t xml:space="preserve">1. The defendant brought something on to his land – </w:t>
      </w:r>
      <w:r w:rsidR="00811DAA">
        <w:t xml:space="preserve">a distinction is to be made between something naturally occurring and accumulating artificially. In </w:t>
      </w:r>
      <w:proofErr w:type="spellStart"/>
      <w:r w:rsidR="00811DAA">
        <w:t>Rylands</w:t>
      </w:r>
      <w:proofErr w:type="spellEnd"/>
      <w:r w:rsidR="00811DAA">
        <w:t xml:space="preserve"> v Fletcher water was brought on to the land which led to the flooding of the </w:t>
      </w:r>
      <w:proofErr w:type="spellStart"/>
      <w:r w:rsidR="00811DAA">
        <w:t>mineworkings</w:t>
      </w:r>
      <w:proofErr w:type="spellEnd"/>
      <w:r w:rsidR="00811DAA">
        <w:t xml:space="preserve"> in adjacent land. </w:t>
      </w:r>
    </w:p>
    <w:p w:rsidR="00811DAA" w:rsidRDefault="00811DAA" w:rsidP="00C958C8">
      <w:pPr>
        <w:pStyle w:val="ListParagraph"/>
        <w:numPr>
          <w:ilvl w:val="0"/>
          <w:numId w:val="2"/>
        </w:numPr>
      </w:pPr>
      <w:r>
        <w:t xml:space="preserve">2. Non-natural use of the land </w:t>
      </w:r>
    </w:p>
    <w:p w:rsidR="00811DAA" w:rsidRDefault="00811DAA" w:rsidP="00C958C8">
      <w:pPr>
        <w:pStyle w:val="ListParagraph"/>
        <w:numPr>
          <w:ilvl w:val="0"/>
          <w:numId w:val="2"/>
        </w:numPr>
      </w:pPr>
      <w:r>
        <w:t xml:space="preserve">3. Something likely to do mischief </w:t>
      </w:r>
      <w:r w:rsidR="0081237A">
        <w:t>- if it escapes</w:t>
      </w:r>
    </w:p>
    <w:p w:rsidR="00811DAA" w:rsidRDefault="00811DAA" w:rsidP="00C958C8">
      <w:pPr>
        <w:pStyle w:val="ListParagraph"/>
        <w:numPr>
          <w:ilvl w:val="0"/>
          <w:numId w:val="2"/>
        </w:numPr>
      </w:pPr>
      <w:r>
        <w:t xml:space="preserve">4. Escape </w:t>
      </w:r>
      <w:r w:rsidR="0081237A">
        <w:t>- from defendants land to adjacent land</w:t>
      </w:r>
    </w:p>
    <w:p w:rsidR="00811DAA" w:rsidRDefault="0081237A" w:rsidP="00C958C8">
      <w:pPr>
        <w:pStyle w:val="ListParagraph"/>
        <w:numPr>
          <w:ilvl w:val="0"/>
          <w:numId w:val="2"/>
        </w:numPr>
      </w:pPr>
      <w:r>
        <w:t xml:space="preserve">5. </w:t>
      </w:r>
      <w:proofErr w:type="spellStart"/>
      <w:r>
        <w:t>Forseeability</w:t>
      </w:r>
      <w:proofErr w:type="spellEnd"/>
      <w:r>
        <w:t xml:space="preserve"> </w:t>
      </w:r>
    </w:p>
    <w:p w:rsidR="00C958C8" w:rsidRDefault="00B8115E" w:rsidP="00C958C8">
      <w:r>
        <w:lastRenderedPageBreak/>
        <w:t>Case examples –</w:t>
      </w:r>
    </w:p>
    <w:p w:rsidR="00B8115E" w:rsidRDefault="00B8115E" w:rsidP="00B8115E">
      <w:pPr>
        <w:pStyle w:val="ListParagraph"/>
        <w:numPr>
          <w:ilvl w:val="0"/>
          <w:numId w:val="3"/>
        </w:numPr>
      </w:pPr>
      <w:r w:rsidRPr="00997589">
        <w:rPr>
          <w:i/>
        </w:rPr>
        <w:t>Miles v Forest Rock Granite Co [1918]</w:t>
      </w:r>
      <w:r>
        <w:t xml:space="preserve"> – The defendant used explosives to blast rocks on his land. Some fragments hit and injured the claimant. The court held that there was strict liability because –</w:t>
      </w:r>
    </w:p>
    <w:p w:rsidR="00B8115E" w:rsidRDefault="00B8115E" w:rsidP="00B8115E">
      <w:pPr>
        <w:pStyle w:val="ListParagraph"/>
        <w:numPr>
          <w:ilvl w:val="1"/>
          <w:numId w:val="3"/>
        </w:numPr>
      </w:pPr>
      <w:r>
        <w:t>The explosives had been brought on to the land (non-naturally occurring)</w:t>
      </w:r>
    </w:p>
    <w:p w:rsidR="00B8115E" w:rsidRDefault="00B8115E" w:rsidP="00B8115E">
      <w:pPr>
        <w:pStyle w:val="ListParagraph"/>
        <w:numPr>
          <w:ilvl w:val="1"/>
          <w:numId w:val="3"/>
        </w:numPr>
      </w:pPr>
      <w:r>
        <w:t>A non-natural use of the land extended to rule to damage done by naturally occurring objects (rocks).</w:t>
      </w:r>
    </w:p>
    <w:p w:rsidR="00B8115E" w:rsidRDefault="00B8115E" w:rsidP="00B8115E">
      <w:pPr>
        <w:pStyle w:val="ListParagraph"/>
        <w:numPr>
          <w:ilvl w:val="1"/>
          <w:numId w:val="3"/>
        </w:numPr>
      </w:pPr>
      <w:r>
        <w:t>The rocks escaped beyond the defendants land</w:t>
      </w:r>
    </w:p>
    <w:p w:rsidR="00B8115E" w:rsidRDefault="00B8115E" w:rsidP="00B8115E">
      <w:pPr>
        <w:pStyle w:val="ListParagraph"/>
        <w:numPr>
          <w:ilvl w:val="1"/>
          <w:numId w:val="3"/>
        </w:numPr>
      </w:pPr>
      <w:r>
        <w:t>Was likely to do mischief and was foreseeable</w:t>
      </w:r>
    </w:p>
    <w:p w:rsidR="0081237A" w:rsidRDefault="0081237A" w:rsidP="0081237A">
      <w:pPr>
        <w:pStyle w:val="ListParagraph"/>
        <w:numPr>
          <w:ilvl w:val="0"/>
          <w:numId w:val="3"/>
        </w:numPr>
      </w:pPr>
      <w:r w:rsidRPr="00997589">
        <w:rPr>
          <w:i/>
        </w:rPr>
        <w:t xml:space="preserve">Ellison v Ministry of Defence [1997] </w:t>
      </w:r>
      <w:r>
        <w:t xml:space="preserve">– The defendant built fuel tanks at </w:t>
      </w:r>
      <w:proofErr w:type="spellStart"/>
      <w:r>
        <w:t>Greenham</w:t>
      </w:r>
      <w:proofErr w:type="spellEnd"/>
      <w:r>
        <w:t xml:space="preserve"> common airfield. This caused rainwater runoff to flood adjacent land. The court held that the use of the land was not of non-natural use as the construction work was necessary for the use of the airfield. </w:t>
      </w:r>
      <w:r w:rsidR="00997589">
        <w:t xml:space="preserve">As such the defendant was not liable under </w:t>
      </w:r>
      <w:proofErr w:type="spellStart"/>
      <w:r w:rsidR="00997589">
        <w:t>Rylands</w:t>
      </w:r>
      <w:proofErr w:type="spellEnd"/>
      <w:r w:rsidR="00997589">
        <w:t xml:space="preserve"> v Fletcher.</w:t>
      </w:r>
      <w:r w:rsidR="000C63CE">
        <w:t xml:space="preserve"> - Requirement of Non-natural use of land missing.</w:t>
      </w:r>
    </w:p>
    <w:p w:rsidR="00997589" w:rsidRDefault="00997589" w:rsidP="0081237A">
      <w:pPr>
        <w:pStyle w:val="ListParagraph"/>
        <w:numPr>
          <w:ilvl w:val="0"/>
          <w:numId w:val="3"/>
        </w:numPr>
      </w:pPr>
      <w:r w:rsidRPr="000C63CE">
        <w:rPr>
          <w:i/>
        </w:rPr>
        <w:t>Cambridge Water v Eastern Countries Leather [1994]</w:t>
      </w:r>
      <w:r>
        <w:t xml:space="preserve"> – The defendants spilt a solvent (PCE) during their work activities (leather tanning) which seeped through to the claimants borehole 1.3 miles away. As such the water became contaminated. A claim was brought on the grounds of </w:t>
      </w:r>
      <w:proofErr w:type="spellStart"/>
      <w:r>
        <w:t>nuicance</w:t>
      </w:r>
      <w:proofErr w:type="spellEnd"/>
      <w:r>
        <w:t>, negligence</w:t>
      </w:r>
      <w:r w:rsidR="000C63CE">
        <w:t xml:space="preserve"> and the </w:t>
      </w:r>
      <w:proofErr w:type="spellStart"/>
      <w:r w:rsidR="000C63CE">
        <w:t>Rylands</w:t>
      </w:r>
      <w:proofErr w:type="spellEnd"/>
      <w:r w:rsidR="000C63CE">
        <w:t xml:space="preserve"> v Fletcher rule. It was held that it was not possible for the defendants to foresee that a spillage would lead to contamination of the borehole 1.3 miles away so they were not liable. - Requirement of foreseeability missing.</w:t>
      </w:r>
    </w:p>
    <w:p w:rsidR="00C958C8" w:rsidRDefault="00C958C8"/>
    <w:p w:rsidR="00C958C8" w:rsidRDefault="00C958C8"/>
    <w:p w:rsidR="00B341FE" w:rsidRPr="00B07ECC" w:rsidRDefault="00B07ECC">
      <w:pPr>
        <w:rPr>
          <w:u w:val="single"/>
        </w:rPr>
      </w:pPr>
      <w:r w:rsidRPr="00B07ECC">
        <w:rPr>
          <w:u w:val="single"/>
        </w:rPr>
        <w:t xml:space="preserve">Question </w:t>
      </w:r>
      <w:r w:rsidR="00B341FE" w:rsidRPr="00B07ECC">
        <w:rPr>
          <w:u w:val="single"/>
        </w:rPr>
        <w:t>6.</w:t>
      </w:r>
    </w:p>
    <w:p w:rsidR="00B341FE" w:rsidRDefault="00B341FE">
      <w:r>
        <w:t xml:space="preserve">a. </w:t>
      </w:r>
      <w:r w:rsidR="00B07ECC">
        <w:t xml:space="preserve"> </w:t>
      </w:r>
      <w:bookmarkStart w:id="0" w:name="_GoBack"/>
      <w:bookmarkEnd w:id="0"/>
      <w:r>
        <w:t>State the difference between a ‘fixture’ and ‘chattel’ in property law.</w:t>
      </w:r>
    </w:p>
    <w:p w:rsidR="00B341FE" w:rsidRDefault="00B341FE">
      <w:r>
        <w:t xml:space="preserve">Chattels ‘attached’ to the land become fixtures. When transferring property a fixture is defined as something that cannot be removed from the property </w:t>
      </w:r>
      <w:proofErr w:type="spellStart"/>
      <w:r>
        <w:t>wheras</w:t>
      </w:r>
      <w:proofErr w:type="spellEnd"/>
      <w:r>
        <w:t xml:space="preserve"> chattels remain under original ownership and can be removed.</w:t>
      </w:r>
    </w:p>
    <w:p w:rsidR="00B341FE" w:rsidRDefault="00B341FE">
      <w:r>
        <w:t>To assess whether a fixture or chattel a two stage test is used to determine the degree and purpose of annexation.</w:t>
      </w:r>
    </w:p>
    <w:p w:rsidR="00B341FE" w:rsidRDefault="00B341FE">
      <w:r>
        <w:t xml:space="preserve">This can be shown in </w:t>
      </w:r>
      <w:r w:rsidRPr="00607B5D">
        <w:rPr>
          <w:i/>
        </w:rPr>
        <w:t>Leigh v Taylor [1902]</w:t>
      </w:r>
      <w:proofErr w:type="gramStart"/>
      <w:r>
        <w:t>..</w:t>
      </w:r>
      <w:proofErr w:type="gramEnd"/>
      <w:r>
        <w:t xml:space="preserve"> </w:t>
      </w:r>
      <w:proofErr w:type="gramStart"/>
      <w:r>
        <w:t>where</w:t>
      </w:r>
      <w:proofErr w:type="gramEnd"/>
      <w:r>
        <w:t xml:space="preserve"> tapestries hung by Madame de </w:t>
      </w:r>
      <w:proofErr w:type="spellStart"/>
      <w:r>
        <w:t>Falbe</w:t>
      </w:r>
      <w:proofErr w:type="spellEnd"/>
      <w:r>
        <w:t xml:space="preserve"> where deemed to be chattels and remained the property of Madame de </w:t>
      </w:r>
      <w:proofErr w:type="spellStart"/>
      <w:r>
        <w:t>Falbe’s</w:t>
      </w:r>
      <w:proofErr w:type="spellEnd"/>
      <w:r>
        <w:t xml:space="preserve"> estate. The degree of annexation was considered</w:t>
      </w:r>
      <w:r w:rsidR="00607B5D">
        <w:t xml:space="preserve"> and was decided that the tapestries had been put up for ornamentation and the enjoyment of the person occupying the house.</w:t>
      </w:r>
    </w:p>
    <w:p w:rsidR="00607B5D" w:rsidRDefault="00607B5D">
      <w:r>
        <w:t>b. Five interests in land are –</w:t>
      </w:r>
    </w:p>
    <w:p w:rsidR="00607B5D" w:rsidRDefault="00607B5D" w:rsidP="00607B5D">
      <w:pPr>
        <w:pStyle w:val="ListParagraph"/>
        <w:numPr>
          <w:ilvl w:val="0"/>
          <w:numId w:val="1"/>
        </w:numPr>
      </w:pPr>
      <w:r>
        <w:t>Easements</w:t>
      </w:r>
      <w:r w:rsidR="005A42C6">
        <w:t xml:space="preserve"> – these are rights that a person has over </w:t>
      </w:r>
      <w:proofErr w:type="spellStart"/>
      <w:r w:rsidR="005A42C6">
        <w:t>anothers</w:t>
      </w:r>
      <w:proofErr w:type="spellEnd"/>
      <w:r w:rsidR="005A42C6">
        <w:t xml:space="preserve"> land. There must be a dominant and servient tenement where the easement accommodates the dominant tenement. An easement is acquired through a grant, express, implied or prescription (presumed). </w:t>
      </w:r>
      <w:r w:rsidR="004166AD">
        <w:t xml:space="preserve">The </w:t>
      </w:r>
      <w:proofErr w:type="spellStart"/>
      <w:r w:rsidR="004166AD" w:rsidRPr="004166AD">
        <w:rPr>
          <w:i/>
        </w:rPr>
        <w:t>Wheeldon</w:t>
      </w:r>
      <w:proofErr w:type="spellEnd"/>
      <w:r w:rsidR="004166AD" w:rsidRPr="004166AD">
        <w:rPr>
          <w:i/>
        </w:rPr>
        <w:t xml:space="preserve"> v Burrows [1879]</w:t>
      </w:r>
      <w:r w:rsidR="004166AD">
        <w:t xml:space="preserve"> rule was established and shows that easements are not implied by default.</w:t>
      </w:r>
    </w:p>
    <w:p w:rsidR="00607B5D" w:rsidRDefault="00607B5D" w:rsidP="00607B5D">
      <w:pPr>
        <w:pStyle w:val="ListParagraph"/>
        <w:numPr>
          <w:ilvl w:val="0"/>
          <w:numId w:val="1"/>
        </w:numPr>
      </w:pPr>
      <w:proofErr w:type="spellStart"/>
      <w:r>
        <w:t>Rentcharges</w:t>
      </w:r>
      <w:proofErr w:type="spellEnd"/>
      <w:r w:rsidR="004166AD">
        <w:t xml:space="preserve"> – this is an annual amount paid by a freehold homeowner to the </w:t>
      </w:r>
      <w:proofErr w:type="spellStart"/>
      <w:r w:rsidR="004166AD">
        <w:t>rentowner</w:t>
      </w:r>
      <w:proofErr w:type="spellEnd"/>
      <w:r w:rsidR="004166AD">
        <w:t>. It can also be called a ‘chief rent’.</w:t>
      </w:r>
    </w:p>
    <w:p w:rsidR="00607B5D" w:rsidRDefault="00607B5D" w:rsidP="00607B5D">
      <w:pPr>
        <w:pStyle w:val="ListParagraph"/>
        <w:numPr>
          <w:ilvl w:val="0"/>
          <w:numId w:val="1"/>
        </w:numPr>
      </w:pPr>
      <w:r>
        <w:lastRenderedPageBreak/>
        <w:t>Mortgage</w:t>
      </w:r>
      <w:r w:rsidR="00A149F1">
        <w:t xml:space="preserve"> – this is a loan contract between a borrower and lender specifically relating to transfer and acquisition of a property or interest in land.</w:t>
      </w:r>
    </w:p>
    <w:p w:rsidR="00607B5D" w:rsidRDefault="00607B5D" w:rsidP="00607B5D">
      <w:pPr>
        <w:pStyle w:val="ListParagraph"/>
        <w:numPr>
          <w:ilvl w:val="0"/>
          <w:numId w:val="1"/>
        </w:numPr>
      </w:pPr>
      <w:r>
        <w:t>Rights of entry</w:t>
      </w:r>
      <w:r w:rsidR="00A149F1">
        <w:t xml:space="preserve"> </w:t>
      </w:r>
      <w:r w:rsidR="00DB1254">
        <w:t>–</w:t>
      </w:r>
      <w:r w:rsidR="00A149F1">
        <w:t xml:space="preserve"> </w:t>
      </w:r>
      <w:r w:rsidR="00DB1254">
        <w:t xml:space="preserve">this refers to a landlord’s right to enter a </w:t>
      </w:r>
      <w:proofErr w:type="gramStart"/>
      <w:r w:rsidR="00DB1254">
        <w:t>tenants</w:t>
      </w:r>
      <w:proofErr w:type="gramEnd"/>
      <w:r w:rsidR="00DB1254">
        <w:t xml:space="preserve"> property.</w:t>
      </w:r>
    </w:p>
    <w:p w:rsidR="00607B5D" w:rsidRDefault="00607B5D" w:rsidP="00607B5D">
      <w:pPr>
        <w:pStyle w:val="ListParagraph"/>
        <w:numPr>
          <w:ilvl w:val="0"/>
          <w:numId w:val="1"/>
        </w:numPr>
      </w:pPr>
      <w:r>
        <w:t>And other similar charge on land which is not created by an instrument</w:t>
      </w:r>
      <w:r w:rsidR="00DB1254">
        <w:t>.</w:t>
      </w:r>
    </w:p>
    <w:p w:rsidR="00DB1254" w:rsidRDefault="00DB1254" w:rsidP="00DB1254">
      <w:r>
        <w:t xml:space="preserve">c. The concept of the ‘right to light’. </w:t>
      </w:r>
    </w:p>
    <w:p w:rsidR="00DB1254" w:rsidRDefault="00DB1254" w:rsidP="00DB1254">
      <w:r>
        <w:t>The ‘right to light’ is an easement granted by deed or prescription</w:t>
      </w:r>
      <w:r w:rsidR="003E0040">
        <w:t xml:space="preserve"> (act has been repeated for 20 years) and covered by the Rights of Light Act 1959. It refers to the right to have </w:t>
      </w:r>
      <w:r w:rsidR="004F0090">
        <w:t>a reasonable level of</w:t>
      </w:r>
      <w:r w:rsidR="003E0040">
        <w:t xml:space="preserve"> light through a window opening to allow comfortable use and enjoyment of a dwelling.</w:t>
      </w:r>
      <w:r w:rsidR="004F0090">
        <w:t xml:space="preserve"> It does not refer to the right to direct sunlight, views or privacy.</w:t>
      </w:r>
    </w:p>
    <w:p w:rsidR="004F0090" w:rsidRDefault="007C7B24" w:rsidP="00DB1254">
      <w:r>
        <w:t xml:space="preserve">In Ray v </w:t>
      </w:r>
      <w:proofErr w:type="spellStart"/>
      <w:r>
        <w:t>Hazeldine</w:t>
      </w:r>
      <w:proofErr w:type="spellEnd"/>
      <w:r>
        <w:t xml:space="preserve"> [1904] – The defendant had previously sold an adjacent property to the plaintiff. The plaintiff subsequently built a wall which obstructed light to the </w:t>
      </w:r>
      <w:proofErr w:type="gramStart"/>
      <w:r>
        <w:t>defendants</w:t>
      </w:r>
      <w:proofErr w:type="gramEnd"/>
      <w:r>
        <w:t xml:space="preserve"> property which the defendant knocked down. The decision was with the plaintiff and shows us that there is no </w:t>
      </w:r>
      <w:proofErr w:type="spellStart"/>
      <w:r>
        <w:t>impied</w:t>
      </w:r>
      <w:proofErr w:type="spellEnd"/>
      <w:r>
        <w:t xml:space="preserve"> right to light. To reserve the right of an easement for the benefit of the property </w:t>
      </w:r>
      <w:r w:rsidR="00C958C8">
        <w:t xml:space="preserve">this </w:t>
      </w:r>
      <w:r>
        <w:t>should have been done by express words in the deed of conveyance.</w:t>
      </w:r>
    </w:p>
    <w:p w:rsidR="00C958C8" w:rsidRDefault="00C958C8" w:rsidP="00DB1254"/>
    <w:p w:rsidR="00C958C8" w:rsidRDefault="00C958C8" w:rsidP="00DB1254"/>
    <w:sectPr w:rsidR="00C95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D4439"/>
    <w:multiLevelType w:val="hybridMultilevel"/>
    <w:tmpl w:val="E758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46821"/>
    <w:multiLevelType w:val="hybridMultilevel"/>
    <w:tmpl w:val="F4E22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B7DE8"/>
    <w:multiLevelType w:val="hybridMultilevel"/>
    <w:tmpl w:val="209A0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76230A"/>
    <w:multiLevelType w:val="hybridMultilevel"/>
    <w:tmpl w:val="E9725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622AF7"/>
    <w:multiLevelType w:val="hybridMultilevel"/>
    <w:tmpl w:val="11402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5A413A"/>
    <w:multiLevelType w:val="hybridMultilevel"/>
    <w:tmpl w:val="287A5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2B1F95"/>
    <w:multiLevelType w:val="hybridMultilevel"/>
    <w:tmpl w:val="88522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1FE"/>
    <w:rsid w:val="000326FE"/>
    <w:rsid w:val="00054124"/>
    <w:rsid w:val="000B7AA9"/>
    <w:rsid w:val="000C63CE"/>
    <w:rsid w:val="001C2025"/>
    <w:rsid w:val="001E2F63"/>
    <w:rsid w:val="001E3302"/>
    <w:rsid w:val="00214A57"/>
    <w:rsid w:val="0035737C"/>
    <w:rsid w:val="00387E2B"/>
    <w:rsid w:val="003E0040"/>
    <w:rsid w:val="004166AD"/>
    <w:rsid w:val="004C7C51"/>
    <w:rsid w:val="004F0090"/>
    <w:rsid w:val="00557AF6"/>
    <w:rsid w:val="005A42C6"/>
    <w:rsid w:val="005E526B"/>
    <w:rsid w:val="00607B5D"/>
    <w:rsid w:val="006B0025"/>
    <w:rsid w:val="00726B07"/>
    <w:rsid w:val="00794C54"/>
    <w:rsid w:val="007C7B24"/>
    <w:rsid w:val="00811DAA"/>
    <w:rsid w:val="0081237A"/>
    <w:rsid w:val="00997589"/>
    <w:rsid w:val="00A149F1"/>
    <w:rsid w:val="00AE4F6E"/>
    <w:rsid w:val="00B07ECC"/>
    <w:rsid w:val="00B341FE"/>
    <w:rsid w:val="00B8115E"/>
    <w:rsid w:val="00C36B74"/>
    <w:rsid w:val="00C958C8"/>
    <w:rsid w:val="00CA2062"/>
    <w:rsid w:val="00DB1254"/>
    <w:rsid w:val="00E0684C"/>
    <w:rsid w:val="00E22C4E"/>
    <w:rsid w:val="00EE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1B2A9"/>
  <w15:chartTrackingRefBased/>
  <w15:docId w15:val="{4186B9FE-0D1A-44FD-B5A0-075F5CF0A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Rowlands (1708248)</dc:creator>
  <cp:keywords/>
  <dc:description/>
  <cp:lastModifiedBy>Daniel Rowlands (1708248)</cp:lastModifiedBy>
  <cp:revision>2</cp:revision>
  <dcterms:created xsi:type="dcterms:W3CDTF">2019-05-20T14:29:00Z</dcterms:created>
  <dcterms:modified xsi:type="dcterms:W3CDTF">2019-05-20T14:29:00Z</dcterms:modified>
</cp:coreProperties>
</file>