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F377C" w14:textId="7CAD5092" w:rsidR="00831E18" w:rsidRDefault="00831E18" w:rsidP="00C619E4">
      <w:pPr>
        <w:rPr>
          <w:rFonts w:ascii="Times New Roman" w:eastAsia="Times New Roman" w:hAnsi="Times New Roman" w:cs="Times New Roman"/>
          <w:b/>
          <w:sz w:val="32"/>
          <w:szCs w:val="32"/>
        </w:rPr>
      </w:pPr>
    </w:p>
    <w:p w14:paraId="1FF8EAF3" w14:textId="2B5A3423" w:rsidR="00C619E4" w:rsidRDefault="00C619E4" w:rsidP="00C619E4">
      <w:pPr>
        <w:rPr>
          <w:rFonts w:ascii="Times New Roman" w:eastAsia="Times New Roman" w:hAnsi="Times New Roman" w:cs="Times New Roman"/>
          <w:b/>
          <w:sz w:val="32"/>
          <w:szCs w:val="32"/>
        </w:rPr>
      </w:pPr>
    </w:p>
    <w:p w14:paraId="3E8EDD9C" w14:textId="09D87AAC" w:rsidR="00C619E4" w:rsidRDefault="00C619E4" w:rsidP="00C619E4">
      <w:pPr>
        <w:rPr>
          <w:rFonts w:ascii="Times New Roman" w:eastAsia="Times New Roman" w:hAnsi="Times New Roman" w:cs="Times New Roman"/>
          <w:b/>
          <w:sz w:val="32"/>
          <w:szCs w:val="32"/>
        </w:rPr>
      </w:pPr>
    </w:p>
    <w:p w14:paraId="50E6D985" w14:textId="77777777" w:rsidR="00C619E4" w:rsidRDefault="00C619E4" w:rsidP="00C619E4">
      <w:pPr>
        <w:rPr>
          <w:rFonts w:ascii="Times New Roman" w:eastAsia="Times New Roman" w:hAnsi="Times New Roman" w:cs="Times New Roman"/>
          <w:b/>
          <w:sz w:val="32"/>
          <w:szCs w:val="32"/>
        </w:rPr>
      </w:pPr>
    </w:p>
    <w:p w14:paraId="078059C8" w14:textId="77777777" w:rsidR="00831E18" w:rsidRDefault="00831E18">
      <w:pPr>
        <w:jc w:val="center"/>
        <w:rPr>
          <w:rFonts w:ascii="Times New Roman" w:eastAsia="Times New Roman" w:hAnsi="Times New Roman" w:cs="Times New Roman"/>
          <w:b/>
          <w:sz w:val="32"/>
          <w:szCs w:val="32"/>
        </w:rPr>
      </w:pPr>
    </w:p>
    <w:p w14:paraId="6200F6F1" w14:textId="77777777" w:rsidR="00831E18" w:rsidRDefault="00831E18">
      <w:pPr>
        <w:jc w:val="center"/>
        <w:rPr>
          <w:rFonts w:ascii="Times New Roman" w:eastAsia="Times New Roman" w:hAnsi="Times New Roman" w:cs="Times New Roman"/>
          <w:b/>
          <w:sz w:val="32"/>
          <w:szCs w:val="32"/>
        </w:rPr>
      </w:pPr>
    </w:p>
    <w:p w14:paraId="5A0E589C" w14:textId="77777777" w:rsidR="00831E18" w:rsidRDefault="00831E18">
      <w:pPr>
        <w:jc w:val="center"/>
        <w:rPr>
          <w:rFonts w:ascii="Times New Roman" w:eastAsia="Times New Roman" w:hAnsi="Times New Roman" w:cs="Times New Roman"/>
          <w:b/>
          <w:sz w:val="32"/>
          <w:szCs w:val="32"/>
        </w:rPr>
      </w:pPr>
    </w:p>
    <w:p w14:paraId="736A4970" w14:textId="77777777" w:rsidR="00831E18" w:rsidRDefault="00831E18">
      <w:pPr>
        <w:jc w:val="center"/>
        <w:rPr>
          <w:rFonts w:ascii="Times New Roman" w:eastAsia="Times New Roman" w:hAnsi="Times New Roman" w:cs="Times New Roman"/>
          <w:b/>
          <w:sz w:val="32"/>
          <w:szCs w:val="32"/>
        </w:rPr>
      </w:pPr>
    </w:p>
    <w:p w14:paraId="4F9035B0" w14:textId="77777777" w:rsidR="00831E18" w:rsidRDefault="00831E18">
      <w:pPr>
        <w:jc w:val="center"/>
        <w:rPr>
          <w:rFonts w:ascii="Times New Roman" w:eastAsia="Times New Roman" w:hAnsi="Times New Roman" w:cs="Times New Roman"/>
          <w:b/>
          <w:sz w:val="32"/>
          <w:szCs w:val="32"/>
        </w:rPr>
      </w:pPr>
    </w:p>
    <w:p w14:paraId="6A687F45" w14:textId="77777777" w:rsidR="00831E1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Accounting Fundamentals</w:t>
      </w:r>
    </w:p>
    <w:p w14:paraId="45E76E35" w14:textId="77777777" w:rsidR="00831E1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LCBB4001</w:t>
      </w:r>
    </w:p>
    <w:p w14:paraId="326437EF" w14:textId="77777777" w:rsidR="00F1273B" w:rsidRPr="00F1273B" w:rsidRDefault="00F1273B" w:rsidP="00F1273B">
      <w:pPr>
        <w:spacing w:line="360" w:lineRule="auto"/>
        <w:jc w:val="center"/>
        <w:rPr>
          <w:rFonts w:ascii="Times New Roman" w:eastAsia="Times New Roman" w:hAnsi="Times New Roman" w:cs="Times New Roman"/>
          <w:b/>
          <w:bCs/>
          <w:sz w:val="32"/>
          <w:szCs w:val="32"/>
        </w:rPr>
      </w:pPr>
      <w:r w:rsidRPr="00F1273B">
        <w:rPr>
          <w:rFonts w:ascii="Times New Roman" w:eastAsia="Times New Roman" w:hAnsi="Times New Roman" w:cs="Times New Roman"/>
          <w:b/>
          <w:bCs/>
          <w:sz w:val="32"/>
          <w:szCs w:val="32"/>
        </w:rPr>
        <w:t>Name: Victoria Grigoras</w:t>
      </w:r>
    </w:p>
    <w:p w14:paraId="2D737DEA" w14:textId="77777777" w:rsidR="00F1273B" w:rsidRPr="00F1273B" w:rsidRDefault="00F1273B" w:rsidP="00F1273B">
      <w:pPr>
        <w:spacing w:line="360" w:lineRule="auto"/>
        <w:jc w:val="center"/>
        <w:rPr>
          <w:rFonts w:ascii="Times New Roman" w:eastAsia="Times New Roman" w:hAnsi="Times New Roman" w:cs="Times New Roman"/>
          <w:b/>
          <w:bCs/>
          <w:sz w:val="32"/>
          <w:szCs w:val="32"/>
        </w:rPr>
      </w:pPr>
      <w:r w:rsidRPr="00F1273B">
        <w:rPr>
          <w:rFonts w:ascii="Times New Roman" w:eastAsia="Times New Roman" w:hAnsi="Times New Roman" w:cs="Times New Roman"/>
          <w:b/>
          <w:bCs/>
          <w:sz w:val="32"/>
          <w:szCs w:val="32"/>
        </w:rPr>
        <w:t>Student ID:2234531</w:t>
      </w:r>
    </w:p>
    <w:p w14:paraId="335AD59F" w14:textId="12C512EB" w:rsidR="00F1273B" w:rsidRPr="00F1273B" w:rsidRDefault="00F1273B" w:rsidP="00F1273B">
      <w:pPr>
        <w:spacing w:line="360" w:lineRule="auto"/>
        <w:jc w:val="center"/>
        <w:rPr>
          <w:rFonts w:ascii="Times New Roman" w:eastAsia="Times New Roman" w:hAnsi="Times New Roman" w:cs="Times New Roman"/>
          <w:b/>
          <w:bCs/>
          <w:sz w:val="32"/>
          <w:szCs w:val="32"/>
        </w:rPr>
      </w:pPr>
      <w:r w:rsidRPr="00F1273B">
        <w:rPr>
          <w:rFonts w:ascii="Times New Roman" w:eastAsia="Times New Roman" w:hAnsi="Times New Roman" w:cs="Times New Roman"/>
          <w:b/>
          <w:bCs/>
          <w:sz w:val="32"/>
          <w:szCs w:val="32"/>
        </w:rPr>
        <w:t>Lecturer: Hossein Shokri</w:t>
      </w:r>
    </w:p>
    <w:p w14:paraId="5A7BAF8F" w14:textId="6E986700" w:rsidR="00831E18" w:rsidRDefault="00831E18">
      <w:pPr>
        <w:spacing w:line="360" w:lineRule="auto"/>
        <w:jc w:val="center"/>
        <w:rPr>
          <w:rFonts w:ascii="Times New Roman" w:eastAsia="Times New Roman" w:hAnsi="Times New Roman" w:cs="Times New Roman"/>
          <w:b/>
          <w:sz w:val="32"/>
          <w:szCs w:val="32"/>
        </w:rPr>
      </w:pPr>
    </w:p>
    <w:p w14:paraId="67B45FBC" w14:textId="0DC9AF81" w:rsidR="00F1273B" w:rsidRDefault="00F1273B">
      <w:pPr>
        <w:spacing w:line="360" w:lineRule="auto"/>
        <w:jc w:val="center"/>
        <w:rPr>
          <w:rFonts w:ascii="Times New Roman" w:eastAsia="Times New Roman" w:hAnsi="Times New Roman" w:cs="Times New Roman"/>
          <w:b/>
          <w:sz w:val="32"/>
          <w:szCs w:val="32"/>
        </w:rPr>
      </w:pPr>
    </w:p>
    <w:p w14:paraId="0D5E932D" w14:textId="0040D861" w:rsidR="00F1273B" w:rsidRDefault="00F1273B">
      <w:pPr>
        <w:spacing w:line="360" w:lineRule="auto"/>
        <w:jc w:val="center"/>
        <w:rPr>
          <w:rFonts w:ascii="Times New Roman" w:eastAsia="Times New Roman" w:hAnsi="Times New Roman" w:cs="Times New Roman"/>
          <w:b/>
          <w:sz w:val="32"/>
          <w:szCs w:val="32"/>
        </w:rPr>
      </w:pPr>
    </w:p>
    <w:p w14:paraId="52B9A919" w14:textId="4333B6A2" w:rsidR="00F1273B" w:rsidRDefault="00F1273B">
      <w:pPr>
        <w:spacing w:line="360" w:lineRule="auto"/>
        <w:jc w:val="center"/>
        <w:rPr>
          <w:rFonts w:ascii="Times New Roman" w:eastAsia="Times New Roman" w:hAnsi="Times New Roman" w:cs="Times New Roman"/>
          <w:b/>
          <w:sz w:val="32"/>
          <w:szCs w:val="32"/>
        </w:rPr>
      </w:pPr>
    </w:p>
    <w:p w14:paraId="31F22D3C" w14:textId="32BE1C1B" w:rsidR="00C619E4" w:rsidRDefault="00C619E4">
      <w:pPr>
        <w:spacing w:line="360" w:lineRule="auto"/>
        <w:jc w:val="center"/>
        <w:rPr>
          <w:rFonts w:ascii="Times New Roman" w:eastAsia="Times New Roman" w:hAnsi="Times New Roman" w:cs="Times New Roman"/>
          <w:b/>
          <w:sz w:val="32"/>
          <w:szCs w:val="32"/>
        </w:rPr>
      </w:pPr>
    </w:p>
    <w:p w14:paraId="42491252" w14:textId="0850BDD1" w:rsidR="00C619E4" w:rsidRDefault="00C619E4">
      <w:pPr>
        <w:spacing w:line="360" w:lineRule="auto"/>
        <w:jc w:val="center"/>
        <w:rPr>
          <w:rFonts w:ascii="Times New Roman" w:eastAsia="Times New Roman" w:hAnsi="Times New Roman" w:cs="Times New Roman"/>
          <w:b/>
          <w:sz w:val="32"/>
          <w:szCs w:val="32"/>
        </w:rPr>
      </w:pPr>
    </w:p>
    <w:p w14:paraId="1C8EAF3A" w14:textId="28E515AB" w:rsidR="00C619E4" w:rsidRDefault="00C619E4">
      <w:pPr>
        <w:spacing w:line="360" w:lineRule="auto"/>
        <w:jc w:val="center"/>
        <w:rPr>
          <w:rFonts w:ascii="Times New Roman" w:eastAsia="Times New Roman" w:hAnsi="Times New Roman" w:cs="Times New Roman"/>
          <w:b/>
          <w:sz w:val="32"/>
          <w:szCs w:val="32"/>
        </w:rPr>
      </w:pPr>
    </w:p>
    <w:p w14:paraId="777D138A" w14:textId="77777777" w:rsidR="00C619E4" w:rsidRDefault="00C619E4">
      <w:pPr>
        <w:spacing w:line="360" w:lineRule="auto"/>
        <w:jc w:val="center"/>
        <w:rPr>
          <w:rFonts w:ascii="Times New Roman" w:eastAsia="Times New Roman" w:hAnsi="Times New Roman" w:cs="Times New Roman"/>
          <w:b/>
          <w:sz w:val="32"/>
          <w:szCs w:val="32"/>
        </w:rPr>
      </w:pPr>
    </w:p>
    <w:p w14:paraId="06F57CE5" w14:textId="77777777" w:rsidR="00F1273B" w:rsidRDefault="00F1273B">
      <w:pPr>
        <w:spacing w:line="360" w:lineRule="auto"/>
        <w:jc w:val="center"/>
        <w:rPr>
          <w:rFonts w:ascii="Times New Roman" w:eastAsia="Times New Roman" w:hAnsi="Times New Roman" w:cs="Times New Roman"/>
          <w:b/>
          <w:sz w:val="32"/>
          <w:szCs w:val="32"/>
        </w:rPr>
      </w:pPr>
    </w:p>
    <w:p w14:paraId="560AE5A7" w14:textId="60B98999" w:rsidR="00831E18" w:rsidRDefault="00000000" w:rsidP="00C619E4">
      <w:pPr>
        <w:pStyle w:val="Heading1"/>
        <w:jc w:val="center"/>
      </w:pPr>
      <w:r>
        <w:lastRenderedPageBreak/>
        <w:t>Introduction</w:t>
      </w:r>
    </w:p>
    <w:p w14:paraId="7B19164D" w14:textId="12669FD8"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assessment, various fundamentals of accounting will be discussed and how these fundamentals are applied to the businesses. Three questions have been provided that are to be answered. In question 1, some statements have been attached that are to be evaluated. Suitable examples will be attached to the discussion as well. In question 2, the income statement for Wales plc for the year ended 31</w:t>
      </w:r>
      <w:r>
        <w:rPr>
          <w:rFonts w:ascii="Times New Roman" w:eastAsia="Times New Roman" w:hAnsi="Times New Roman" w:cs="Times New Roman"/>
          <w:sz w:val="24"/>
          <w:szCs w:val="24"/>
          <w:vertAlign w:val="superscript"/>
        </w:rPr>
        <w:t xml:space="preserve">st </w:t>
      </w:r>
      <w:r>
        <w:rPr>
          <w:rFonts w:ascii="Times New Roman" w:eastAsia="Times New Roman" w:hAnsi="Times New Roman" w:cs="Times New Roman"/>
          <w:sz w:val="24"/>
          <w:szCs w:val="24"/>
        </w:rPr>
        <w:t xml:space="preserve">December 2022 will be prepared using the information provided in the trial balance. In question 3, the financial statements of </w:t>
      </w:r>
      <w:r w:rsidR="00F1273B">
        <w:rPr>
          <w:rFonts w:ascii="Times New Roman" w:eastAsia="Times New Roman" w:hAnsi="Times New Roman" w:cs="Times New Roman"/>
          <w:sz w:val="24"/>
          <w:szCs w:val="24"/>
        </w:rPr>
        <w:t>Sweets</w:t>
      </w:r>
      <w:r>
        <w:rPr>
          <w:rFonts w:ascii="Times New Roman" w:eastAsia="Times New Roman" w:hAnsi="Times New Roman" w:cs="Times New Roman"/>
          <w:sz w:val="24"/>
          <w:szCs w:val="24"/>
        </w:rPr>
        <w:t xml:space="preserve"> plc will be used for the evaluation of accounting ratios so that the company’s financial health and performance are compared between the recorded periods.  </w:t>
      </w:r>
    </w:p>
    <w:p w14:paraId="2A08BF19" w14:textId="38959421" w:rsidR="00831E18" w:rsidRPr="00B1148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Accounting fundamentals are regarded as the set of technical approaches which are to be used to record, </w:t>
      </w:r>
      <w:r w:rsidR="00F1273B">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and report the financial transactions of a business for the reported financial period. There are some accounting principles that are used to prepare financial statements like income statements, balance sheets, statements of cash flow, etc. Use of the conventions and proper techniques increases the transparency and accuracy of financial reporting (</w:t>
      </w:r>
      <w:r>
        <w:rPr>
          <w:rFonts w:ascii="Times New Roman" w:eastAsia="Times New Roman" w:hAnsi="Times New Roman" w:cs="Times New Roman"/>
          <w:sz w:val="24"/>
          <w:szCs w:val="24"/>
          <w:highlight w:val="white"/>
        </w:rPr>
        <w:t>Toms and Fleischman, 2015)</w:t>
      </w:r>
      <w:r>
        <w:rPr>
          <w:rFonts w:ascii="Times New Roman" w:eastAsia="Times New Roman" w:hAnsi="Times New Roman" w:cs="Times New Roman"/>
          <w:sz w:val="24"/>
          <w:szCs w:val="24"/>
        </w:rPr>
        <w:t xml:space="preserve">. </w:t>
      </w:r>
    </w:p>
    <w:p w14:paraId="2C97EFDC" w14:textId="48E0A479" w:rsidR="00831E18" w:rsidRDefault="00000000" w:rsidP="00C619E4">
      <w:pPr>
        <w:pStyle w:val="Heading1"/>
        <w:jc w:val="center"/>
      </w:pPr>
      <w:r>
        <w:t>Main Body</w:t>
      </w:r>
    </w:p>
    <w:p w14:paraId="5BD9933A" w14:textId="77777777" w:rsidR="00831E18" w:rsidRDefault="00000000" w:rsidP="00B11486">
      <w:pPr>
        <w:pStyle w:val="Heading1"/>
      </w:pPr>
      <w:r>
        <w:t>Question 1</w:t>
      </w:r>
    </w:p>
    <w:p w14:paraId="44F1FCC6" w14:textId="502E0840"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This given statement is not justified as the cash inflows and cash outflows are mainly shown in the statement of cash flows of a company. It is also a financial statement alongside the income statement and the statement of financial position or balance sheet. From the difference of cash inflows and cash outflows, net cash flow for the period is evaluated which is then added to the opening cash balance to derive the closing cash balance for each period. Statement of financial of financial position shows the assets, liabilities, and equity of a business and the two sides of a balance sheet should always balance as it follows the accounting equation - </w:t>
      </w:r>
      <w:r>
        <w:rPr>
          <w:rFonts w:ascii="Times New Roman" w:eastAsia="Times New Roman" w:hAnsi="Times New Roman" w:cs="Times New Roman"/>
          <w:sz w:val="24"/>
          <w:szCs w:val="24"/>
          <w:highlight w:val="yellow"/>
        </w:rPr>
        <w:t>Assets = Liabilities + Equity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McLaney and </w:t>
      </w:r>
      <w:r w:rsidR="00F1273B">
        <w:rPr>
          <w:rFonts w:ascii="Times New Roman" w:eastAsia="Times New Roman" w:hAnsi="Times New Roman" w:cs="Times New Roman"/>
          <w:sz w:val="24"/>
          <w:szCs w:val="24"/>
          <w:highlight w:val="white"/>
        </w:rPr>
        <w:t>Attrill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w:t>
      </w:r>
    </w:p>
    <w:p w14:paraId="127B1691"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The statement provided above cannot be considered entirely correct. Assets are the resources of a business with economic benefits. A company is said to have current assets and non-current assets. </w:t>
      </w:r>
      <w:r>
        <w:rPr>
          <w:rFonts w:ascii="Times New Roman" w:eastAsia="Times New Roman" w:hAnsi="Times New Roman" w:cs="Times New Roman"/>
          <w:sz w:val="24"/>
          <w:szCs w:val="24"/>
        </w:rPr>
        <w:lastRenderedPageBreak/>
        <w:t xml:space="preserve">Non-current assets are also regarded as fixed assets as these assets exist more than 12 months and provide economic benefits to the company. Unlike current assets, the value of fixed assets depreciates over time. Plant &amp; Building, equipment &amp; machinery, etc. are the examples of fixed or non-current assets. However, intangible fixed assets like patents, goodwill, copyright, etc. don’t have physical substance (Barker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Still, tangible fixed assets can be moved physically unlike intangible assets. So, the statement doesn’t comply with the accounting definition of non-current assets.    </w:t>
      </w:r>
    </w:p>
    <w:p w14:paraId="171D7BF7" w14:textId="16A4EAAE"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Presentation of financial reports to the current shareholders is not conventional as the regulatory frameworks and jurisdictions propose that the financial information of the company should be provided to all the stakeholders of the company, current as well as potential shareholders and to the creditors, employees, suppliers, customers, etc. This is done to foster transparency and accountability of the financial information so that informed and appropriate business decisions can be made. For listing as the public limited companies on stock exchanges, full disclosure of financial information publicly is necessary (</w:t>
      </w:r>
      <w:r>
        <w:rPr>
          <w:rFonts w:ascii="Times New Roman" w:eastAsia="Times New Roman" w:hAnsi="Times New Roman" w:cs="Times New Roman"/>
          <w:sz w:val="24"/>
          <w:szCs w:val="24"/>
          <w:highlight w:val="white"/>
        </w:rPr>
        <w:t>Goldstein and Yang, 2017)</w:t>
      </w:r>
      <w:r>
        <w:rPr>
          <w:rFonts w:ascii="Times New Roman" w:eastAsia="Times New Roman" w:hAnsi="Times New Roman" w:cs="Times New Roman"/>
          <w:sz w:val="24"/>
          <w:szCs w:val="24"/>
        </w:rPr>
        <w:t>. The management also finds it easier to make decisions. The chances of misuse of funds or manipulation of information also decrease. Also, the business will become more reputate</w:t>
      </w:r>
      <w:r w:rsidR="00F1273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with the full </w:t>
      </w:r>
      <w:r w:rsidR="00B11486">
        <w:rPr>
          <w:rFonts w:ascii="Times New Roman" w:eastAsia="Times New Roman" w:hAnsi="Times New Roman" w:cs="Times New Roman"/>
          <w:sz w:val="24"/>
          <w:szCs w:val="24"/>
        </w:rPr>
        <w:t>disclosure</w:t>
      </w:r>
      <w:r>
        <w:rPr>
          <w:rFonts w:ascii="Times New Roman" w:eastAsia="Times New Roman" w:hAnsi="Times New Roman" w:cs="Times New Roman"/>
          <w:sz w:val="24"/>
          <w:szCs w:val="24"/>
        </w:rPr>
        <w:t xml:space="preserve"> of financial reports. </w:t>
      </w:r>
    </w:p>
    <w:p w14:paraId="61296A8D" w14:textId="08828BFD"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This statement is not justified as the inclusion of prepayments and accruals in the financial statements is important. Prepayment is the money paid in advance for the purchase of goods or services that the company will get</w:t>
      </w:r>
      <w:r w:rsidR="00F1273B">
        <w:rPr>
          <w:rFonts w:ascii="Times New Roman" w:eastAsia="Times New Roman" w:hAnsi="Times New Roman" w:cs="Times New Roman"/>
          <w:sz w:val="24"/>
          <w:szCs w:val="24"/>
        </w:rPr>
        <w:t xml:space="preserve"> in the near future.</w:t>
      </w:r>
      <w:r>
        <w:rPr>
          <w:rFonts w:ascii="Times New Roman" w:eastAsia="Times New Roman" w:hAnsi="Times New Roman" w:cs="Times New Roman"/>
          <w:sz w:val="24"/>
          <w:szCs w:val="24"/>
        </w:rPr>
        <w:t xml:space="preserve"> Accruals are the expenses that have taken place but have not been recorded in the financial statements. These two are recorded in the balance sheet of a company under current assets and current liabilities section respectively. These transactions are to be considered to make the statements precise and adjust the expense account so that the statements can comply with the standards of accounting. Also, to maintain the consistency and comparability of the financial statements, prepayments and accruals are recorded in the statement of financial position (</w:t>
      </w:r>
      <w:r>
        <w:rPr>
          <w:rFonts w:ascii="Times New Roman" w:eastAsia="Times New Roman" w:hAnsi="Times New Roman" w:cs="Times New Roman"/>
          <w:sz w:val="24"/>
          <w:szCs w:val="24"/>
          <w:highlight w:val="white"/>
        </w:rPr>
        <w:t>ACCA, 2023)</w:t>
      </w:r>
      <w:r>
        <w:rPr>
          <w:rFonts w:ascii="Times New Roman" w:eastAsia="Times New Roman" w:hAnsi="Times New Roman" w:cs="Times New Roman"/>
          <w:sz w:val="24"/>
          <w:szCs w:val="24"/>
        </w:rPr>
        <w:t xml:space="preserve">.      </w:t>
      </w:r>
    </w:p>
    <w:p w14:paraId="0CE9896E" w14:textId="377747A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The statement provided above is not justified as regulation over financial accounts benefits in various ways. To maintain the </w:t>
      </w:r>
      <w:r w:rsidR="00B11486">
        <w:rPr>
          <w:rFonts w:ascii="Times New Roman" w:eastAsia="Times New Roman" w:hAnsi="Times New Roman" w:cs="Times New Roman"/>
          <w:sz w:val="24"/>
          <w:szCs w:val="24"/>
        </w:rPr>
        <w:t>transparency</w:t>
      </w:r>
      <w:r>
        <w:rPr>
          <w:rFonts w:ascii="Times New Roman" w:eastAsia="Times New Roman" w:hAnsi="Times New Roman" w:cs="Times New Roman"/>
          <w:sz w:val="24"/>
          <w:szCs w:val="24"/>
        </w:rPr>
        <w:t xml:space="preserve"> and integrity of financial information, regulation is required. Also, financial regulation protects the investors or shareholders as the financial performance and position of the business during the reported period is projected accurately through </w:t>
      </w:r>
      <w:r>
        <w:rPr>
          <w:rFonts w:ascii="Times New Roman" w:eastAsia="Times New Roman" w:hAnsi="Times New Roman" w:cs="Times New Roman"/>
          <w:sz w:val="24"/>
          <w:szCs w:val="24"/>
        </w:rPr>
        <w:lastRenderedPageBreak/>
        <w:t>the financial statements. Hence, the investors can feel confident and make optimal decisions regarding the business. Information asymmetry will go down in the market. Also, regulation prevents unethical practices in accounting such as data manipulation, stealing secret information of the business. So, the financial system becomes more stable. Also, after adopting regulatory compliances, the company can look for external sources of financing to raise capital (</w:t>
      </w:r>
      <w:r>
        <w:rPr>
          <w:rFonts w:ascii="Times New Roman" w:eastAsia="Times New Roman" w:hAnsi="Times New Roman" w:cs="Times New Roman"/>
          <w:sz w:val="24"/>
          <w:szCs w:val="24"/>
          <w:highlight w:val="white"/>
        </w:rPr>
        <w:t xml:space="preserve">Naranjo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2014)</w:t>
      </w:r>
      <w:r>
        <w:rPr>
          <w:rFonts w:ascii="Times New Roman" w:eastAsia="Times New Roman" w:hAnsi="Times New Roman" w:cs="Times New Roman"/>
          <w:sz w:val="24"/>
          <w:szCs w:val="24"/>
        </w:rPr>
        <w:t xml:space="preserve">.  </w:t>
      </w:r>
    </w:p>
    <w:p w14:paraId="7649EB25"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The given statement is correct. The ledger accounts and trial balance should be in balance before the preparation of financial statements of a company. In ledger accounts, the financial transactions of a business are recorded. A trial balance shows the debit and credit transactions of a business. To evaluate the mathematical errors of the double entry accounting system and check the accuracy of ledger accounts, trial balance is prepared. If the debit and credit sides of the trial balance are equal, it means the ledger accounts have been correctly recorded (</w:t>
      </w:r>
      <w:r>
        <w:rPr>
          <w:rFonts w:ascii="Times New Roman" w:eastAsia="Times New Roman" w:hAnsi="Times New Roman" w:cs="Times New Roman"/>
          <w:sz w:val="24"/>
          <w:szCs w:val="24"/>
          <w:highlight w:val="white"/>
        </w:rPr>
        <w:t>Lumen Learning, 2023)</w:t>
      </w:r>
      <w:r>
        <w:rPr>
          <w:rFonts w:ascii="Times New Roman" w:eastAsia="Times New Roman" w:hAnsi="Times New Roman" w:cs="Times New Roman"/>
          <w:sz w:val="24"/>
          <w:szCs w:val="24"/>
        </w:rPr>
        <w:t xml:space="preserve">. So, accurate financial statements can be produced based on which the stakeholders of the business will make their decisions.    </w:t>
      </w:r>
    </w:p>
    <w:p w14:paraId="0CCECE66" w14:textId="77777777" w:rsidR="00831E18" w:rsidRDefault="00000000" w:rsidP="00B11486">
      <w:pPr>
        <w:pStyle w:val="Heading1"/>
      </w:pPr>
      <w:r>
        <w:t xml:space="preserve">Question 2 </w:t>
      </w:r>
    </w:p>
    <w:p w14:paraId="60B2704F" w14:textId="5B44B3B3"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Income statement is one of the financial statements by which the financial performance of the business is evaluated. The revenues earned, direct and indirect expenses of the business, taxes and interests, and gross profit, operating profit and net profit are projected through the income statement of the business for the reported year</w:t>
      </w:r>
      <w:r w:rsidR="00F770A0">
        <w:rPr>
          <w:rFonts w:ascii="Times New Roman" w:eastAsia="Times New Roman" w:hAnsi="Times New Roman" w:cs="Times New Roman"/>
          <w:sz w:val="24"/>
          <w:szCs w:val="24"/>
        </w:rPr>
        <w:t xml:space="preserve"> (Atrill and McLaney, 2020)</w:t>
      </w:r>
      <w:r>
        <w:rPr>
          <w:rFonts w:ascii="Times New Roman" w:eastAsia="Times New Roman" w:hAnsi="Times New Roman" w:cs="Times New Roman"/>
          <w:sz w:val="24"/>
          <w:szCs w:val="24"/>
        </w:rPr>
        <w:t xml:space="preserve">. This statement is useful for the external stakeholders and investors in particular to make informed investment decisions in the business. </w:t>
      </w:r>
    </w:p>
    <w:tbl>
      <w:tblPr>
        <w:tblW w:w="9204" w:type="dxa"/>
        <w:tblLook w:val="04A0" w:firstRow="1" w:lastRow="0" w:firstColumn="1" w:lastColumn="0" w:noHBand="0" w:noVBand="1"/>
      </w:tblPr>
      <w:tblGrid>
        <w:gridCol w:w="7766"/>
        <w:gridCol w:w="1438"/>
      </w:tblGrid>
      <w:tr w:rsidR="008A1A52" w:rsidRPr="008A1A52" w14:paraId="35CD5DA6" w14:textId="77777777" w:rsidTr="008A1A52">
        <w:trPr>
          <w:trHeight w:val="312"/>
        </w:trPr>
        <w:tc>
          <w:tcPr>
            <w:tcW w:w="9204" w:type="dxa"/>
            <w:gridSpan w:val="2"/>
            <w:tcBorders>
              <w:top w:val="single" w:sz="4" w:space="0" w:color="auto"/>
              <w:left w:val="single" w:sz="4" w:space="0" w:color="auto"/>
              <w:bottom w:val="nil"/>
              <w:right w:val="single" w:sz="4" w:space="0" w:color="000000"/>
            </w:tcBorders>
            <w:shd w:val="clear" w:color="000000" w:fill="FFFF00"/>
            <w:noWrap/>
            <w:vAlign w:val="center"/>
            <w:hideMark/>
          </w:tcPr>
          <w:p w14:paraId="4607D6EF" w14:textId="77777777" w:rsidR="008A1A52" w:rsidRPr="008A1A52" w:rsidRDefault="008A1A52" w:rsidP="008A1A52">
            <w:pPr>
              <w:spacing w:line="360" w:lineRule="auto"/>
              <w:jc w:val="center"/>
              <w:rPr>
                <w:rFonts w:ascii="Times New Roman" w:eastAsia="Times New Roman" w:hAnsi="Times New Roman" w:cs="Times New Roman"/>
                <w:b/>
                <w:bCs/>
                <w:color w:val="000000"/>
                <w:sz w:val="24"/>
                <w:szCs w:val="24"/>
                <w:lang w:val="en-IN"/>
              </w:rPr>
            </w:pPr>
            <w:r w:rsidRPr="008A1A52">
              <w:rPr>
                <w:rFonts w:ascii="Times New Roman" w:eastAsia="Times New Roman" w:hAnsi="Times New Roman" w:cs="Times New Roman"/>
                <w:b/>
                <w:bCs/>
                <w:color w:val="000000"/>
                <w:sz w:val="24"/>
                <w:szCs w:val="24"/>
                <w:lang w:val="en-IN"/>
              </w:rPr>
              <w:t>In the books of Wales plc</w:t>
            </w:r>
          </w:p>
        </w:tc>
      </w:tr>
      <w:tr w:rsidR="008A1A52" w:rsidRPr="008A1A52" w14:paraId="50C86E6C" w14:textId="77777777" w:rsidTr="008A1A52">
        <w:trPr>
          <w:trHeight w:val="312"/>
        </w:trPr>
        <w:tc>
          <w:tcPr>
            <w:tcW w:w="9204" w:type="dxa"/>
            <w:gridSpan w:val="2"/>
            <w:tcBorders>
              <w:top w:val="nil"/>
              <w:left w:val="single" w:sz="4" w:space="0" w:color="auto"/>
              <w:bottom w:val="nil"/>
              <w:right w:val="single" w:sz="4" w:space="0" w:color="000000"/>
            </w:tcBorders>
            <w:shd w:val="clear" w:color="000000" w:fill="FFFF00"/>
            <w:noWrap/>
            <w:vAlign w:val="center"/>
            <w:hideMark/>
          </w:tcPr>
          <w:p w14:paraId="228E8671" w14:textId="77777777" w:rsidR="008A1A52" w:rsidRPr="008A1A52" w:rsidRDefault="008A1A52" w:rsidP="008A1A52">
            <w:pPr>
              <w:spacing w:line="360" w:lineRule="auto"/>
              <w:jc w:val="center"/>
              <w:rPr>
                <w:rFonts w:ascii="Times New Roman" w:eastAsia="Times New Roman" w:hAnsi="Times New Roman" w:cs="Times New Roman"/>
                <w:b/>
                <w:bCs/>
                <w:color w:val="000000"/>
                <w:sz w:val="24"/>
                <w:szCs w:val="24"/>
                <w:lang w:val="en-IN"/>
              </w:rPr>
            </w:pPr>
            <w:r w:rsidRPr="008A1A52">
              <w:rPr>
                <w:rFonts w:ascii="Times New Roman" w:eastAsia="Times New Roman" w:hAnsi="Times New Roman" w:cs="Times New Roman"/>
                <w:b/>
                <w:bCs/>
                <w:color w:val="000000"/>
                <w:sz w:val="24"/>
                <w:szCs w:val="24"/>
                <w:lang w:val="en-IN"/>
              </w:rPr>
              <w:t>For the year ended 31st December 2022</w:t>
            </w:r>
          </w:p>
        </w:tc>
      </w:tr>
      <w:tr w:rsidR="008A1A52" w:rsidRPr="008A1A52" w14:paraId="3E077C3F" w14:textId="77777777" w:rsidTr="008A1A52">
        <w:trPr>
          <w:trHeight w:val="282"/>
        </w:trPr>
        <w:tc>
          <w:tcPr>
            <w:tcW w:w="9204" w:type="dxa"/>
            <w:gridSpan w:val="2"/>
            <w:tcBorders>
              <w:top w:val="nil"/>
              <w:left w:val="single" w:sz="4" w:space="0" w:color="auto"/>
              <w:bottom w:val="nil"/>
              <w:right w:val="single" w:sz="4" w:space="0" w:color="000000"/>
            </w:tcBorders>
            <w:shd w:val="clear" w:color="000000" w:fill="FFFF00"/>
            <w:noWrap/>
            <w:vAlign w:val="center"/>
            <w:hideMark/>
          </w:tcPr>
          <w:p w14:paraId="3441091D" w14:textId="77777777" w:rsidR="008A1A52" w:rsidRPr="008A1A52" w:rsidRDefault="008A1A52" w:rsidP="008A1A52">
            <w:pPr>
              <w:spacing w:line="360" w:lineRule="auto"/>
              <w:jc w:val="center"/>
              <w:rPr>
                <w:rFonts w:ascii="Times New Roman" w:eastAsia="Times New Roman" w:hAnsi="Times New Roman" w:cs="Times New Roman"/>
                <w:b/>
                <w:bCs/>
                <w:color w:val="000000"/>
                <w:sz w:val="24"/>
                <w:szCs w:val="24"/>
                <w:lang w:val="en-IN"/>
              </w:rPr>
            </w:pPr>
            <w:r w:rsidRPr="008A1A52">
              <w:rPr>
                <w:rFonts w:ascii="Times New Roman" w:eastAsia="Times New Roman" w:hAnsi="Times New Roman" w:cs="Times New Roman"/>
                <w:b/>
                <w:bCs/>
                <w:color w:val="000000"/>
                <w:sz w:val="24"/>
                <w:szCs w:val="24"/>
                <w:lang w:val="en-IN"/>
              </w:rPr>
              <w:t>Income Statement</w:t>
            </w:r>
          </w:p>
        </w:tc>
      </w:tr>
      <w:tr w:rsidR="008A1A52" w:rsidRPr="008A1A52" w14:paraId="1C15EDA8" w14:textId="77777777" w:rsidTr="008A1A52">
        <w:trPr>
          <w:trHeight w:val="282"/>
        </w:trPr>
        <w:tc>
          <w:tcPr>
            <w:tcW w:w="7766" w:type="dxa"/>
            <w:tcBorders>
              <w:top w:val="nil"/>
              <w:left w:val="single" w:sz="4" w:space="0" w:color="auto"/>
              <w:bottom w:val="nil"/>
              <w:right w:val="nil"/>
            </w:tcBorders>
            <w:shd w:val="clear" w:color="000000" w:fill="FFFF00"/>
            <w:noWrap/>
            <w:vAlign w:val="center"/>
            <w:hideMark/>
          </w:tcPr>
          <w:p w14:paraId="40364724" w14:textId="77777777" w:rsidR="008A1A52" w:rsidRPr="008A1A52" w:rsidRDefault="008A1A52" w:rsidP="008A1A52">
            <w:pPr>
              <w:spacing w:line="360" w:lineRule="auto"/>
              <w:jc w:val="center"/>
              <w:rPr>
                <w:rFonts w:ascii="Times New Roman" w:eastAsia="Times New Roman" w:hAnsi="Times New Roman" w:cs="Times New Roman"/>
                <w:b/>
                <w:bCs/>
                <w:i/>
                <w:iCs/>
                <w:color w:val="000000"/>
                <w:sz w:val="24"/>
                <w:szCs w:val="24"/>
                <w:lang w:val="en-IN"/>
              </w:rPr>
            </w:pPr>
            <w:r w:rsidRPr="008A1A52">
              <w:rPr>
                <w:rFonts w:ascii="Times New Roman" w:eastAsia="Times New Roman" w:hAnsi="Times New Roman" w:cs="Times New Roman"/>
                <w:b/>
                <w:bCs/>
                <w:i/>
                <w:iCs/>
                <w:color w:val="000000"/>
                <w:sz w:val="24"/>
                <w:szCs w:val="24"/>
                <w:lang w:val="en-IN"/>
              </w:rPr>
              <w:t>Particulars</w:t>
            </w:r>
          </w:p>
        </w:tc>
        <w:tc>
          <w:tcPr>
            <w:tcW w:w="1437" w:type="dxa"/>
            <w:tcBorders>
              <w:top w:val="nil"/>
              <w:left w:val="nil"/>
              <w:bottom w:val="nil"/>
              <w:right w:val="single" w:sz="4" w:space="0" w:color="auto"/>
            </w:tcBorders>
            <w:shd w:val="clear" w:color="000000" w:fill="FFFF00"/>
            <w:noWrap/>
            <w:vAlign w:val="center"/>
            <w:hideMark/>
          </w:tcPr>
          <w:p w14:paraId="7D540A23" w14:textId="77777777" w:rsidR="008A1A52" w:rsidRPr="008A1A52" w:rsidRDefault="008A1A52" w:rsidP="008A1A52">
            <w:pPr>
              <w:spacing w:line="360" w:lineRule="auto"/>
              <w:jc w:val="center"/>
              <w:rPr>
                <w:rFonts w:ascii="Times New Roman" w:eastAsia="Times New Roman" w:hAnsi="Times New Roman" w:cs="Times New Roman"/>
                <w:b/>
                <w:bCs/>
                <w:i/>
                <w:iCs/>
                <w:color w:val="000000"/>
                <w:sz w:val="24"/>
                <w:szCs w:val="24"/>
                <w:lang w:val="en-IN"/>
              </w:rPr>
            </w:pPr>
            <w:r w:rsidRPr="008A1A52">
              <w:rPr>
                <w:rFonts w:ascii="Times New Roman" w:eastAsia="Times New Roman" w:hAnsi="Times New Roman" w:cs="Times New Roman"/>
                <w:b/>
                <w:bCs/>
                <w:i/>
                <w:iCs/>
                <w:color w:val="000000"/>
                <w:sz w:val="24"/>
                <w:szCs w:val="24"/>
                <w:lang w:val="en-IN"/>
              </w:rPr>
              <w:t>£</w:t>
            </w:r>
          </w:p>
        </w:tc>
      </w:tr>
      <w:tr w:rsidR="008A1A52" w:rsidRPr="008A1A52" w14:paraId="7EF6E48C"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104B1323"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Sales revenue </w:t>
            </w:r>
          </w:p>
        </w:tc>
        <w:tc>
          <w:tcPr>
            <w:tcW w:w="1437" w:type="dxa"/>
            <w:tcBorders>
              <w:top w:val="nil"/>
              <w:left w:val="nil"/>
              <w:bottom w:val="nil"/>
              <w:right w:val="single" w:sz="4" w:space="0" w:color="auto"/>
            </w:tcBorders>
            <w:shd w:val="clear" w:color="auto" w:fill="auto"/>
            <w:noWrap/>
            <w:vAlign w:val="bottom"/>
            <w:hideMark/>
          </w:tcPr>
          <w:p w14:paraId="2B29D5AC"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9,01,000</w:t>
            </w:r>
          </w:p>
        </w:tc>
      </w:tr>
      <w:tr w:rsidR="008A1A52" w:rsidRPr="008A1A52" w14:paraId="52FF8C19"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60AAD07C"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Cost of sales or purchases</w:t>
            </w:r>
          </w:p>
        </w:tc>
        <w:tc>
          <w:tcPr>
            <w:tcW w:w="1437" w:type="dxa"/>
            <w:tcBorders>
              <w:top w:val="nil"/>
              <w:left w:val="nil"/>
              <w:bottom w:val="nil"/>
              <w:right w:val="single" w:sz="4" w:space="0" w:color="auto"/>
            </w:tcBorders>
            <w:shd w:val="clear" w:color="auto" w:fill="auto"/>
            <w:noWrap/>
            <w:vAlign w:val="bottom"/>
            <w:hideMark/>
          </w:tcPr>
          <w:p w14:paraId="140D082E"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5,78,650</w:t>
            </w:r>
          </w:p>
        </w:tc>
      </w:tr>
      <w:tr w:rsidR="008A1A52" w:rsidRPr="008A1A52" w14:paraId="05460CC8"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30AE8E8C"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c>
          <w:tcPr>
            <w:tcW w:w="1437" w:type="dxa"/>
            <w:tcBorders>
              <w:top w:val="nil"/>
              <w:left w:val="nil"/>
              <w:bottom w:val="nil"/>
              <w:right w:val="single" w:sz="4" w:space="0" w:color="auto"/>
            </w:tcBorders>
            <w:shd w:val="clear" w:color="auto" w:fill="auto"/>
            <w:noWrap/>
            <w:vAlign w:val="bottom"/>
            <w:hideMark/>
          </w:tcPr>
          <w:p w14:paraId="339F672E"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r>
      <w:tr w:rsidR="008A1A52" w:rsidRPr="008A1A52" w14:paraId="29C0E591" w14:textId="77777777" w:rsidTr="008A1A52">
        <w:trPr>
          <w:trHeight w:val="282"/>
        </w:trPr>
        <w:tc>
          <w:tcPr>
            <w:tcW w:w="7766" w:type="dxa"/>
            <w:tcBorders>
              <w:top w:val="nil"/>
              <w:left w:val="single" w:sz="4" w:space="0" w:color="auto"/>
              <w:bottom w:val="nil"/>
              <w:right w:val="nil"/>
            </w:tcBorders>
            <w:shd w:val="clear" w:color="000000" w:fill="92D050"/>
            <w:noWrap/>
            <w:vAlign w:val="bottom"/>
            <w:hideMark/>
          </w:tcPr>
          <w:p w14:paraId="6B65098E"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lastRenderedPageBreak/>
              <w:t>Gross profit</w:t>
            </w:r>
          </w:p>
        </w:tc>
        <w:tc>
          <w:tcPr>
            <w:tcW w:w="1437" w:type="dxa"/>
            <w:tcBorders>
              <w:top w:val="nil"/>
              <w:left w:val="nil"/>
              <w:bottom w:val="nil"/>
              <w:right w:val="single" w:sz="4" w:space="0" w:color="auto"/>
            </w:tcBorders>
            <w:shd w:val="clear" w:color="000000" w:fill="92D050"/>
            <w:noWrap/>
            <w:vAlign w:val="bottom"/>
            <w:hideMark/>
          </w:tcPr>
          <w:p w14:paraId="1E2C6F92"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3,22,350</w:t>
            </w:r>
          </w:p>
        </w:tc>
      </w:tr>
      <w:tr w:rsidR="008A1A52" w:rsidRPr="008A1A52" w14:paraId="07DCBBE9"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6833C7FC"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c>
          <w:tcPr>
            <w:tcW w:w="1437" w:type="dxa"/>
            <w:tcBorders>
              <w:top w:val="nil"/>
              <w:left w:val="nil"/>
              <w:bottom w:val="nil"/>
              <w:right w:val="single" w:sz="4" w:space="0" w:color="auto"/>
            </w:tcBorders>
            <w:shd w:val="clear" w:color="auto" w:fill="auto"/>
            <w:noWrap/>
            <w:vAlign w:val="bottom"/>
            <w:hideMark/>
          </w:tcPr>
          <w:p w14:paraId="258C065C"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r>
      <w:tr w:rsidR="008A1A52" w:rsidRPr="008A1A52" w14:paraId="733D601E"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3A218DDF"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Administrative expenses </w:t>
            </w:r>
          </w:p>
        </w:tc>
        <w:tc>
          <w:tcPr>
            <w:tcW w:w="1437" w:type="dxa"/>
            <w:tcBorders>
              <w:top w:val="nil"/>
              <w:left w:val="nil"/>
              <w:bottom w:val="nil"/>
              <w:right w:val="single" w:sz="4" w:space="0" w:color="auto"/>
            </w:tcBorders>
            <w:shd w:val="clear" w:color="auto" w:fill="auto"/>
            <w:noWrap/>
            <w:vAlign w:val="bottom"/>
            <w:hideMark/>
          </w:tcPr>
          <w:p w14:paraId="344C6EA4"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1,70,000</w:t>
            </w:r>
          </w:p>
        </w:tc>
      </w:tr>
      <w:tr w:rsidR="008A1A52" w:rsidRPr="008A1A52" w14:paraId="7024BB82"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149D573C"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Directors' remuneration</w:t>
            </w:r>
          </w:p>
        </w:tc>
        <w:tc>
          <w:tcPr>
            <w:tcW w:w="1437" w:type="dxa"/>
            <w:tcBorders>
              <w:top w:val="nil"/>
              <w:left w:val="nil"/>
              <w:bottom w:val="nil"/>
              <w:right w:val="single" w:sz="4" w:space="0" w:color="auto"/>
            </w:tcBorders>
            <w:shd w:val="clear" w:color="auto" w:fill="auto"/>
            <w:noWrap/>
            <w:vAlign w:val="bottom"/>
            <w:hideMark/>
          </w:tcPr>
          <w:p w14:paraId="732867D8"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5,000</w:t>
            </w:r>
          </w:p>
        </w:tc>
      </w:tr>
      <w:tr w:rsidR="008A1A52" w:rsidRPr="008A1A52" w14:paraId="7A700949"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4C3A55C0"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Distribution costs</w:t>
            </w:r>
          </w:p>
        </w:tc>
        <w:tc>
          <w:tcPr>
            <w:tcW w:w="1437" w:type="dxa"/>
            <w:tcBorders>
              <w:top w:val="nil"/>
              <w:left w:val="nil"/>
              <w:bottom w:val="nil"/>
              <w:right w:val="single" w:sz="4" w:space="0" w:color="auto"/>
            </w:tcBorders>
            <w:shd w:val="clear" w:color="auto" w:fill="auto"/>
            <w:noWrap/>
            <w:vAlign w:val="bottom"/>
            <w:hideMark/>
          </w:tcPr>
          <w:p w14:paraId="74F87366"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28,000</w:t>
            </w:r>
          </w:p>
        </w:tc>
      </w:tr>
      <w:tr w:rsidR="008A1A52" w:rsidRPr="008A1A52" w14:paraId="6F4DADAE"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372131D4"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Cost of debentures</w:t>
            </w:r>
          </w:p>
        </w:tc>
        <w:tc>
          <w:tcPr>
            <w:tcW w:w="1437" w:type="dxa"/>
            <w:tcBorders>
              <w:top w:val="nil"/>
              <w:left w:val="nil"/>
              <w:bottom w:val="nil"/>
              <w:right w:val="single" w:sz="4" w:space="0" w:color="auto"/>
            </w:tcBorders>
            <w:shd w:val="clear" w:color="auto" w:fill="auto"/>
            <w:noWrap/>
            <w:vAlign w:val="bottom"/>
            <w:hideMark/>
          </w:tcPr>
          <w:p w14:paraId="0F8152AF"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4,000</w:t>
            </w:r>
          </w:p>
        </w:tc>
      </w:tr>
      <w:tr w:rsidR="008A1A52" w:rsidRPr="008A1A52" w14:paraId="192AAD62"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120CEF90"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Depreciation of equipment </w:t>
            </w:r>
          </w:p>
        </w:tc>
        <w:tc>
          <w:tcPr>
            <w:tcW w:w="1437" w:type="dxa"/>
            <w:tcBorders>
              <w:top w:val="nil"/>
              <w:left w:val="nil"/>
              <w:bottom w:val="nil"/>
              <w:right w:val="single" w:sz="4" w:space="0" w:color="auto"/>
            </w:tcBorders>
            <w:shd w:val="clear" w:color="auto" w:fill="auto"/>
            <w:noWrap/>
            <w:vAlign w:val="bottom"/>
            <w:hideMark/>
          </w:tcPr>
          <w:p w14:paraId="154F2AD3"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65,000</w:t>
            </w:r>
          </w:p>
        </w:tc>
      </w:tr>
      <w:tr w:rsidR="008A1A52" w:rsidRPr="008A1A52" w14:paraId="12647C94"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154A3C15"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Outstanding commission</w:t>
            </w:r>
          </w:p>
        </w:tc>
        <w:tc>
          <w:tcPr>
            <w:tcW w:w="1437" w:type="dxa"/>
            <w:tcBorders>
              <w:top w:val="nil"/>
              <w:left w:val="nil"/>
              <w:bottom w:val="nil"/>
              <w:right w:val="single" w:sz="4" w:space="0" w:color="auto"/>
            </w:tcBorders>
            <w:shd w:val="clear" w:color="auto" w:fill="auto"/>
            <w:noWrap/>
            <w:vAlign w:val="bottom"/>
            <w:hideMark/>
          </w:tcPr>
          <w:p w14:paraId="5BEF9CF0" w14:textId="0DA3E36E"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Pr>
                <w:rFonts w:ascii="Times New Roman" w:eastAsia="Times New Roman" w:hAnsi="Times New Roman" w:cs="Times New Roman"/>
                <w:color w:val="000000"/>
                <w:sz w:val="24"/>
                <w:szCs w:val="24"/>
                <w:lang w:val="en-IN"/>
              </w:rPr>
              <w:t>2</w:t>
            </w:r>
            <w:r w:rsidRPr="008A1A52">
              <w:rPr>
                <w:rFonts w:ascii="Times New Roman" w:eastAsia="Times New Roman" w:hAnsi="Times New Roman" w:cs="Times New Roman"/>
                <w:color w:val="000000"/>
                <w:sz w:val="24"/>
                <w:szCs w:val="24"/>
                <w:lang w:val="en-IN"/>
              </w:rPr>
              <w:t>,000</w:t>
            </w:r>
          </w:p>
        </w:tc>
      </w:tr>
      <w:tr w:rsidR="008A1A52" w:rsidRPr="008A1A52" w14:paraId="00CC4386"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340C07FE"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c>
          <w:tcPr>
            <w:tcW w:w="1437" w:type="dxa"/>
            <w:tcBorders>
              <w:top w:val="nil"/>
              <w:left w:val="nil"/>
              <w:bottom w:val="nil"/>
              <w:right w:val="single" w:sz="4" w:space="0" w:color="auto"/>
            </w:tcBorders>
            <w:shd w:val="clear" w:color="auto" w:fill="auto"/>
            <w:noWrap/>
            <w:vAlign w:val="bottom"/>
            <w:hideMark/>
          </w:tcPr>
          <w:p w14:paraId="4C9B6707"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r>
      <w:tr w:rsidR="008A1A52" w:rsidRPr="008A1A52" w14:paraId="435F7877"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37472633"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Total operating expenses</w:t>
            </w:r>
          </w:p>
        </w:tc>
        <w:tc>
          <w:tcPr>
            <w:tcW w:w="1437" w:type="dxa"/>
            <w:tcBorders>
              <w:top w:val="nil"/>
              <w:left w:val="nil"/>
              <w:bottom w:val="nil"/>
              <w:right w:val="single" w:sz="4" w:space="0" w:color="auto"/>
            </w:tcBorders>
            <w:shd w:val="clear" w:color="auto" w:fill="auto"/>
            <w:noWrap/>
            <w:vAlign w:val="bottom"/>
            <w:hideMark/>
          </w:tcPr>
          <w:p w14:paraId="3F91470C" w14:textId="4D891ED2"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2,7</w:t>
            </w:r>
            <w:r>
              <w:rPr>
                <w:rFonts w:ascii="Times New Roman" w:eastAsia="Times New Roman" w:hAnsi="Times New Roman" w:cs="Times New Roman"/>
                <w:color w:val="000000"/>
                <w:sz w:val="24"/>
                <w:szCs w:val="24"/>
                <w:lang w:val="en-IN"/>
              </w:rPr>
              <w:t>4</w:t>
            </w:r>
            <w:r w:rsidRPr="008A1A52">
              <w:rPr>
                <w:rFonts w:ascii="Times New Roman" w:eastAsia="Times New Roman" w:hAnsi="Times New Roman" w:cs="Times New Roman"/>
                <w:color w:val="000000"/>
                <w:sz w:val="24"/>
                <w:szCs w:val="24"/>
                <w:lang w:val="en-IN"/>
              </w:rPr>
              <w:t>,000</w:t>
            </w:r>
          </w:p>
        </w:tc>
      </w:tr>
      <w:tr w:rsidR="008A1A52" w:rsidRPr="008A1A52" w14:paraId="286DAD44"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409D56A8"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c>
          <w:tcPr>
            <w:tcW w:w="1437" w:type="dxa"/>
            <w:tcBorders>
              <w:top w:val="nil"/>
              <w:left w:val="nil"/>
              <w:bottom w:val="nil"/>
              <w:right w:val="single" w:sz="4" w:space="0" w:color="auto"/>
            </w:tcBorders>
            <w:shd w:val="clear" w:color="auto" w:fill="auto"/>
            <w:noWrap/>
            <w:vAlign w:val="bottom"/>
            <w:hideMark/>
          </w:tcPr>
          <w:p w14:paraId="6F12344F"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r>
      <w:tr w:rsidR="008A1A52" w:rsidRPr="008A1A52" w14:paraId="50C0BF19" w14:textId="77777777" w:rsidTr="008A1A52">
        <w:trPr>
          <w:trHeight w:val="282"/>
        </w:trPr>
        <w:tc>
          <w:tcPr>
            <w:tcW w:w="7766" w:type="dxa"/>
            <w:tcBorders>
              <w:top w:val="nil"/>
              <w:left w:val="single" w:sz="4" w:space="0" w:color="auto"/>
              <w:bottom w:val="nil"/>
              <w:right w:val="nil"/>
            </w:tcBorders>
            <w:shd w:val="clear" w:color="000000" w:fill="92D050"/>
            <w:noWrap/>
            <w:vAlign w:val="bottom"/>
            <w:hideMark/>
          </w:tcPr>
          <w:p w14:paraId="129CD935"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Operating profit/ Profit before tax and interests (EBIT)</w:t>
            </w:r>
          </w:p>
        </w:tc>
        <w:tc>
          <w:tcPr>
            <w:tcW w:w="1437" w:type="dxa"/>
            <w:tcBorders>
              <w:top w:val="nil"/>
              <w:left w:val="nil"/>
              <w:bottom w:val="nil"/>
              <w:right w:val="single" w:sz="4" w:space="0" w:color="auto"/>
            </w:tcBorders>
            <w:shd w:val="clear" w:color="000000" w:fill="92D050"/>
            <w:noWrap/>
            <w:vAlign w:val="bottom"/>
            <w:hideMark/>
          </w:tcPr>
          <w:p w14:paraId="26456F04" w14:textId="0F05FA8E"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4</w:t>
            </w:r>
            <w:r>
              <w:rPr>
                <w:rFonts w:ascii="Times New Roman" w:eastAsia="Times New Roman" w:hAnsi="Times New Roman" w:cs="Times New Roman"/>
                <w:color w:val="000000"/>
                <w:sz w:val="24"/>
                <w:szCs w:val="24"/>
                <w:lang w:val="en-IN"/>
              </w:rPr>
              <w:t>8</w:t>
            </w:r>
            <w:r w:rsidRPr="008A1A52">
              <w:rPr>
                <w:rFonts w:ascii="Times New Roman" w:eastAsia="Times New Roman" w:hAnsi="Times New Roman" w:cs="Times New Roman"/>
                <w:color w:val="000000"/>
                <w:sz w:val="24"/>
                <w:szCs w:val="24"/>
                <w:lang w:val="en-IN"/>
              </w:rPr>
              <w:t>,350</w:t>
            </w:r>
          </w:p>
        </w:tc>
      </w:tr>
      <w:tr w:rsidR="008A1A52" w:rsidRPr="008A1A52" w14:paraId="3C0E9F9A"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0D700956"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Interests paid </w:t>
            </w:r>
          </w:p>
        </w:tc>
        <w:tc>
          <w:tcPr>
            <w:tcW w:w="1437" w:type="dxa"/>
            <w:tcBorders>
              <w:top w:val="nil"/>
              <w:left w:val="nil"/>
              <w:bottom w:val="nil"/>
              <w:right w:val="single" w:sz="4" w:space="0" w:color="auto"/>
            </w:tcBorders>
            <w:shd w:val="clear" w:color="auto" w:fill="auto"/>
            <w:noWrap/>
            <w:vAlign w:val="bottom"/>
            <w:hideMark/>
          </w:tcPr>
          <w:p w14:paraId="1E22E742"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2,000</w:t>
            </w:r>
          </w:p>
        </w:tc>
      </w:tr>
      <w:tr w:rsidR="008A1A52" w:rsidRPr="008A1A52" w14:paraId="50F246BE"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180D9B82"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c>
          <w:tcPr>
            <w:tcW w:w="1437" w:type="dxa"/>
            <w:tcBorders>
              <w:top w:val="nil"/>
              <w:left w:val="nil"/>
              <w:bottom w:val="nil"/>
              <w:right w:val="single" w:sz="4" w:space="0" w:color="auto"/>
            </w:tcBorders>
            <w:shd w:val="clear" w:color="auto" w:fill="auto"/>
            <w:noWrap/>
            <w:vAlign w:val="bottom"/>
            <w:hideMark/>
          </w:tcPr>
          <w:p w14:paraId="5D13856B"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r>
      <w:tr w:rsidR="008A1A52" w:rsidRPr="008A1A52" w14:paraId="100801BC" w14:textId="77777777" w:rsidTr="008A1A52">
        <w:trPr>
          <w:trHeight w:val="282"/>
        </w:trPr>
        <w:tc>
          <w:tcPr>
            <w:tcW w:w="7766" w:type="dxa"/>
            <w:tcBorders>
              <w:top w:val="nil"/>
              <w:left w:val="single" w:sz="4" w:space="0" w:color="auto"/>
              <w:bottom w:val="nil"/>
              <w:right w:val="nil"/>
            </w:tcBorders>
            <w:shd w:val="clear" w:color="000000" w:fill="92D050"/>
            <w:noWrap/>
            <w:vAlign w:val="bottom"/>
            <w:hideMark/>
          </w:tcPr>
          <w:p w14:paraId="7990BDF0"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Profit before Tax (EBT)</w:t>
            </w:r>
          </w:p>
        </w:tc>
        <w:tc>
          <w:tcPr>
            <w:tcW w:w="1437" w:type="dxa"/>
            <w:tcBorders>
              <w:top w:val="nil"/>
              <w:left w:val="nil"/>
              <w:bottom w:val="nil"/>
              <w:right w:val="single" w:sz="4" w:space="0" w:color="auto"/>
            </w:tcBorders>
            <w:shd w:val="clear" w:color="000000" w:fill="92D050"/>
            <w:noWrap/>
            <w:vAlign w:val="bottom"/>
            <w:hideMark/>
          </w:tcPr>
          <w:p w14:paraId="40D39500" w14:textId="3FBB502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4</w:t>
            </w:r>
            <w:r>
              <w:rPr>
                <w:rFonts w:ascii="Times New Roman" w:eastAsia="Times New Roman" w:hAnsi="Times New Roman" w:cs="Times New Roman"/>
                <w:color w:val="000000"/>
                <w:sz w:val="24"/>
                <w:szCs w:val="24"/>
                <w:lang w:val="en-IN"/>
              </w:rPr>
              <w:t>6</w:t>
            </w:r>
            <w:r w:rsidRPr="008A1A52">
              <w:rPr>
                <w:rFonts w:ascii="Times New Roman" w:eastAsia="Times New Roman" w:hAnsi="Times New Roman" w:cs="Times New Roman"/>
                <w:color w:val="000000"/>
                <w:sz w:val="24"/>
                <w:szCs w:val="24"/>
                <w:lang w:val="en-IN"/>
              </w:rPr>
              <w:t>,350</w:t>
            </w:r>
          </w:p>
        </w:tc>
      </w:tr>
      <w:tr w:rsidR="008A1A52" w:rsidRPr="008A1A52" w14:paraId="64EEEC74"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1E374FE2"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Corporation Tax</w:t>
            </w:r>
          </w:p>
        </w:tc>
        <w:tc>
          <w:tcPr>
            <w:tcW w:w="1437" w:type="dxa"/>
            <w:tcBorders>
              <w:top w:val="nil"/>
              <w:left w:val="nil"/>
              <w:bottom w:val="nil"/>
              <w:right w:val="single" w:sz="4" w:space="0" w:color="auto"/>
            </w:tcBorders>
            <w:shd w:val="clear" w:color="auto" w:fill="auto"/>
            <w:noWrap/>
            <w:vAlign w:val="bottom"/>
            <w:hideMark/>
          </w:tcPr>
          <w:p w14:paraId="4B0048A0" w14:textId="77777777"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15,000</w:t>
            </w:r>
          </w:p>
        </w:tc>
      </w:tr>
      <w:tr w:rsidR="008A1A52" w:rsidRPr="008A1A52" w14:paraId="19914574" w14:textId="77777777" w:rsidTr="008A1A52">
        <w:trPr>
          <w:trHeight w:val="282"/>
        </w:trPr>
        <w:tc>
          <w:tcPr>
            <w:tcW w:w="7766" w:type="dxa"/>
            <w:tcBorders>
              <w:top w:val="nil"/>
              <w:left w:val="single" w:sz="4" w:space="0" w:color="auto"/>
              <w:bottom w:val="nil"/>
              <w:right w:val="nil"/>
            </w:tcBorders>
            <w:shd w:val="clear" w:color="auto" w:fill="auto"/>
            <w:noWrap/>
            <w:vAlign w:val="bottom"/>
            <w:hideMark/>
          </w:tcPr>
          <w:p w14:paraId="3CF1FF2C"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c>
          <w:tcPr>
            <w:tcW w:w="1437" w:type="dxa"/>
            <w:tcBorders>
              <w:top w:val="nil"/>
              <w:left w:val="nil"/>
              <w:bottom w:val="nil"/>
              <w:right w:val="single" w:sz="4" w:space="0" w:color="auto"/>
            </w:tcBorders>
            <w:shd w:val="clear" w:color="auto" w:fill="auto"/>
            <w:noWrap/>
            <w:vAlign w:val="bottom"/>
            <w:hideMark/>
          </w:tcPr>
          <w:p w14:paraId="2AD71D71"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w:t>
            </w:r>
          </w:p>
        </w:tc>
      </w:tr>
      <w:tr w:rsidR="008A1A52" w:rsidRPr="008A1A52" w14:paraId="696DF377" w14:textId="77777777" w:rsidTr="008A1A52">
        <w:trPr>
          <w:trHeight w:val="282"/>
        </w:trPr>
        <w:tc>
          <w:tcPr>
            <w:tcW w:w="7766" w:type="dxa"/>
            <w:tcBorders>
              <w:top w:val="nil"/>
              <w:left w:val="single" w:sz="4" w:space="0" w:color="auto"/>
              <w:bottom w:val="single" w:sz="4" w:space="0" w:color="auto"/>
              <w:right w:val="nil"/>
            </w:tcBorders>
            <w:shd w:val="clear" w:color="000000" w:fill="92D050"/>
            <w:noWrap/>
            <w:vAlign w:val="bottom"/>
            <w:hideMark/>
          </w:tcPr>
          <w:p w14:paraId="75223EF7" w14:textId="77777777" w:rsidR="008A1A52" w:rsidRPr="008A1A52" w:rsidRDefault="008A1A52" w:rsidP="008A1A52">
            <w:pPr>
              <w:spacing w:line="360" w:lineRule="auto"/>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Net profit / Profit after Tax </w:t>
            </w:r>
          </w:p>
        </w:tc>
        <w:tc>
          <w:tcPr>
            <w:tcW w:w="1437" w:type="dxa"/>
            <w:tcBorders>
              <w:top w:val="nil"/>
              <w:left w:val="nil"/>
              <w:bottom w:val="single" w:sz="4" w:space="0" w:color="auto"/>
              <w:right w:val="single" w:sz="4" w:space="0" w:color="auto"/>
            </w:tcBorders>
            <w:shd w:val="clear" w:color="000000" w:fill="92D050"/>
            <w:noWrap/>
            <w:vAlign w:val="bottom"/>
            <w:hideMark/>
          </w:tcPr>
          <w:p w14:paraId="3DD6830A" w14:textId="3C290F9B" w:rsidR="008A1A52" w:rsidRPr="008A1A52" w:rsidRDefault="008A1A52" w:rsidP="008A1A52">
            <w:pPr>
              <w:spacing w:line="360" w:lineRule="auto"/>
              <w:jc w:val="right"/>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3</w:t>
            </w:r>
            <w:r>
              <w:rPr>
                <w:rFonts w:ascii="Times New Roman" w:eastAsia="Times New Roman" w:hAnsi="Times New Roman" w:cs="Times New Roman"/>
                <w:color w:val="000000"/>
                <w:sz w:val="24"/>
                <w:szCs w:val="24"/>
                <w:lang w:val="en-IN"/>
              </w:rPr>
              <w:t>1</w:t>
            </w:r>
            <w:r w:rsidRPr="008A1A52">
              <w:rPr>
                <w:rFonts w:ascii="Times New Roman" w:eastAsia="Times New Roman" w:hAnsi="Times New Roman" w:cs="Times New Roman"/>
                <w:color w:val="000000"/>
                <w:sz w:val="24"/>
                <w:szCs w:val="24"/>
                <w:lang w:val="en-IN"/>
              </w:rPr>
              <w:t>,350</w:t>
            </w:r>
          </w:p>
        </w:tc>
      </w:tr>
    </w:tbl>
    <w:p w14:paraId="6250859E" w14:textId="77777777" w:rsidR="00B11486" w:rsidRDefault="00B11486">
      <w:pPr>
        <w:spacing w:line="360" w:lineRule="auto"/>
        <w:jc w:val="both"/>
        <w:rPr>
          <w:rFonts w:ascii="Times New Roman" w:eastAsia="Times New Roman" w:hAnsi="Times New Roman" w:cs="Times New Roman"/>
          <w:sz w:val="24"/>
          <w:szCs w:val="24"/>
        </w:rPr>
      </w:pPr>
    </w:p>
    <w:p w14:paraId="389B66D5" w14:textId="4780095A" w:rsidR="008A1A52" w:rsidRDefault="008A1A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Workings:</w:t>
      </w:r>
    </w:p>
    <w:p w14:paraId="3B3004A3" w14:textId="12A57385" w:rsidR="008A1A52" w:rsidRPr="008A1A52" w:rsidRDefault="008A1A52">
      <w:pPr>
        <w:spacing w:line="360" w:lineRule="auto"/>
        <w:jc w:val="both"/>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sz w:val="24"/>
          <w:szCs w:val="24"/>
        </w:rPr>
        <w:t xml:space="preserve">i. Total sales revenue = Sales + credit sales = </w:t>
      </w:r>
      <w:r w:rsidRPr="008A1A52">
        <w:rPr>
          <w:rFonts w:ascii="Times New Roman" w:eastAsia="Times New Roman" w:hAnsi="Times New Roman" w:cs="Times New Roman"/>
          <w:color w:val="000000"/>
          <w:sz w:val="24"/>
          <w:szCs w:val="24"/>
          <w:lang w:val="en-IN"/>
        </w:rPr>
        <w:t xml:space="preserve">£900,000 + £1,000 = £901,000. </w:t>
      </w:r>
    </w:p>
    <w:p w14:paraId="661B9582" w14:textId="6358B56C" w:rsidR="008A1A52" w:rsidRPr="008A1A52" w:rsidRDefault="008A1A52">
      <w:pPr>
        <w:spacing w:line="360" w:lineRule="auto"/>
        <w:jc w:val="both"/>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ii. Gross profit = Total sales revenue – cost of sales = £901,000 - £578,650.</w:t>
      </w:r>
    </w:p>
    <w:p w14:paraId="4DE2A4F2" w14:textId="27480F66" w:rsidR="008A1A52" w:rsidRPr="008A1A52" w:rsidRDefault="008A1A52">
      <w:pPr>
        <w:spacing w:line="360" w:lineRule="auto"/>
        <w:jc w:val="both"/>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iii. Administrative expenses = £160,000 + salaries payable for December = £160,000 + £10,000 = £170,000. </w:t>
      </w:r>
    </w:p>
    <w:p w14:paraId="5D0BE482" w14:textId="645A6399" w:rsidR="008A1A52" w:rsidRPr="008A1A52" w:rsidRDefault="008A1A52">
      <w:pPr>
        <w:spacing w:line="360" w:lineRule="auto"/>
        <w:jc w:val="both"/>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iv. Cost of debentures = 4% of £100,000 = £4,000. </w:t>
      </w:r>
    </w:p>
    <w:p w14:paraId="2CC8A379" w14:textId="79AE528A" w:rsidR="008A1A52" w:rsidRPr="008A1A52" w:rsidRDefault="008A1A52">
      <w:pPr>
        <w:spacing w:line="360" w:lineRule="auto"/>
        <w:jc w:val="both"/>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v. Depreciation expenses for the year = 10% straight-line basis on £650,000 = £650,000*10% = £65,000. </w:t>
      </w:r>
    </w:p>
    <w:p w14:paraId="60BA8B2D" w14:textId="05636D43" w:rsidR="008A1A52" w:rsidRPr="008A1A52" w:rsidRDefault="008A1A52">
      <w:pPr>
        <w:spacing w:line="360" w:lineRule="auto"/>
        <w:jc w:val="both"/>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vi. Profit before interests and tax = Gross profit – operating expenses = £322,350 - £274,000 = £48,350. </w:t>
      </w:r>
    </w:p>
    <w:p w14:paraId="48EC5740" w14:textId="465CD06B" w:rsidR="008A1A52" w:rsidRPr="008A1A52" w:rsidRDefault="008A1A52">
      <w:pPr>
        <w:spacing w:line="360" w:lineRule="auto"/>
        <w:jc w:val="both"/>
        <w:rPr>
          <w:rFonts w:ascii="Times New Roman" w:eastAsia="Times New Roman" w:hAnsi="Times New Roman" w:cs="Times New Roman"/>
          <w:color w:val="000000"/>
          <w:sz w:val="24"/>
          <w:szCs w:val="24"/>
          <w:lang w:val="en-IN"/>
        </w:rPr>
      </w:pPr>
      <w:r w:rsidRPr="008A1A52">
        <w:rPr>
          <w:rFonts w:ascii="Times New Roman" w:eastAsia="Times New Roman" w:hAnsi="Times New Roman" w:cs="Times New Roman"/>
          <w:color w:val="000000"/>
          <w:sz w:val="24"/>
          <w:szCs w:val="24"/>
          <w:lang w:val="en-IN"/>
        </w:rPr>
        <w:t xml:space="preserve">vii. Profit before Tax (EBT) = Operating profit – interest expenses = £48,350 - £2,000 = £46,350. </w:t>
      </w:r>
    </w:p>
    <w:p w14:paraId="331D1C3B" w14:textId="2E5C27C0" w:rsidR="008A1A52" w:rsidRPr="008A1A52" w:rsidRDefault="008A1A52">
      <w:pPr>
        <w:spacing w:line="360" w:lineRule="auto"/>
        <w:jc w:val="both"/>
        <w:rPr>
          <w:rFonts w:ascii="Times New Roman" w:eastAsia="Times New Roman" w:hAnsi="Times New Roman" w:cs="Times New Roman"/>
          <w:sz w:val="24"/>
          <w:szCs w:val="24"/>
        </w:rPr>
      </w:pPr>
      <w:r w:rsidRPr="008A1A52">
        <w:rPr>
          <w:rFonts w:ascii="Times New Roman" w:eastAsia="Times New Roman" w:hAnsi="Times New Roman" w:cs="Times New Roman"/>
          <w:color w:val="000000"/>
          <w:sz w:val="24"/>
          <w:szCs w:val="24"/>
          <w:lang w:val="en-IN"/>
        </w:rPr>
        <w:lastRenderedPageBreak/>
        <w:t xml:space="preserve">viii. Profit after Tax or Net profit for the year = EBT – corporation tax = £46,350 - £15,000 = £31,350. </w:t>
      </w:r>
    </w:p>
    <w:p w14:paraId="388B7871" w14:textId="77777777" w:rsidR="00831E18" w:rsidRDefault="00000000" w:rsidP="00B11486">
      <w:pPr>
        <w:pStyle w:val="Heading1"/>
      </w:pPr>
      <w:r>
        <w:t>Question 3</w:t>
      </w:r>
    </w:p>
    <w:p w14:paraId="5998568C" w14:textId="77777777" w:rsidR="00831E1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Calculation of financial ratios</w:t>
      </w:r>
    </w:p>
    <w:p w14:paraId="443D2E59" w14:textId="77777777" w:rsidR="00831E1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1- ROCE:</w:t>
      </w:r>
    </w:p>
    <w:p w14:paraId="7A27DEFA"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ROCE ratio is another useful measure of the firm’s profitability as it evaluates how well the firm manages to use the raised capital for generating operating profit. The divisional value of the firm’s operating profit and capital employed (total assets less current liabilities) is regarded as the Return on capital employed (ROCE) ratio (</w:t>
      </w:r>
      <w:r>
        <w:rPr>
          <w:rFonts w:ascii="Times New Roman" w:eastAsia="Times New Roman" w:hAnsi="Times New Roman" w:cs="Times New Roman"/>
          <w:sz w:val="24"/>
          <w:szCs w:val="24"/>
          <w:highlight w:val="white"/>
        </w:rPr>
        <w:t xml:space="preserve">Lisek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Higher ROCE ratio is always desirable as it denotes that the company effectively uses the capital funds to generate more operating profit.  </w:t>
      </w:r>
    </w:p>
    <w:tbl>
      <w:tblPr>
        <w:tblStyle w:val="GridTable4-Accent5"/>
        <w:tblW w:w="9266" w:type="dxa"/>
        <w:tblBorders>
          <w:top w:val="single" w:sz="4" w:space="0" w:color="auto"/>
          <w:left w:val="single" w:sz="4" w:space="0" w:color="auto"/>
          <w:bottom w:val="single" w:sz="4" w:space="0" w:color="auto"/>
          <w:right w:val="single" w:sz="4" w:space="0" w:color="auto"/>
          <w:insideH w:val="none" w:sz="0" w:space="0" w:color="auto"/>
          <w:insideV w:val="none" w:sz="0" w:space="0" w:color="auto"/>
        </w:tblBorders>
        <w:tblLook w:val="04A0" w:firstRow="1" w:lastRow="0" w:firstColumn="1" w:lastColumn="0" w:noHBand="0" w:noVBand="1"/>
      </w:tblPr>
      <w:tblGrid>
        <w:gridCol w:w="6869"/>
        <w:gridCol w:w="1089"/>
        <w:gridCol w:w="1308"/>
      </w:tblGrid>
      <w:tr w:rsidR="00057A29" w:rsidRPr="00057A29" w14:paraId="0523073E" w14:textId="77777777" w:rsidTr="00E058D1">
        <w:trPr>
          <w:cnfStyle w:val="100000000000" w:firstRow="1" w:lastRow="0" w:firstColumn="0" w:lastColumn="0" w:oddVBand="0" w:evenVBand="0" w:oddHBand="0"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9266" w:type="dxa"/>
            <w:gridSpan w:val="3"/>
            <w:tcBorders>
              <w:top w:val="none" w:sz="0" w:space="0" w:color="auto"/>
              <w:left w:val="none" w:sz="0" w:space="0" w:color="auto"/>
              <w:bottom w:val="none" w:sz="0" w:space="0" w:color="auto"/>
              <w:right w:val="none" w:sz="0" w:space="0" w:color="auto"/>
            </w:tcBorders>
            <w:noWrap/>
            <w:hideMark/>
          </w:tcPr>
          <w:p w14:paraId="032A343F" w14:textId="0706D449" w:rsidR="00057A29" w:rsidRPr="00057A29" w:rsidRDefault="00057A29" w:rsidP="00057A29">
            <w:pPr>
              <w:jc w:val="center"/>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Calculation of Return on capital employed</w:t>
            </w:r>
          </w:p>
        </w:tc>
      </w:tr>
      <w:tr w:rsidR="00E058D1" w:rsidRPr="00057A29" w14:paraId="29A77A4F" w14:textId="77777777" w:rsidTr="00E058D1">
        <w:trPr>
          <w:cnfStyle w:val="000000100000" w:firstRow="0" w:lastRow="0" w:firstColumn="0" w:lastColumn="0" w:oddVBand="0" w:evenVBand="0" w:oddHBand="1"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6869" w:type="dxa"/>
            <w:noWrap/>
            <w:hideMark/>
          </w:tcPr>
          <w:p w14:paraId="2BD98B67" w14:textId="77777777" w:rsidR="00057A29" w:rsidRPr="00057A29" w:rsidRDefault="00057A29" w:rsidP="00057A29">
            <w:pPr>
              <w:jc w:val="center"/>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Particulars</w:t>
            </w:r>
          </w:p>
        </w:tc>
        <w:tc>
          <w:tcPr>
            <w:tcW w:w="1089" w:type="dxa"/>
            <w:noWrap/>
            <w:hideMark/>
          </w:tcPr>
          <w:p w14:paraId="53C5A987" w14:textId="77777777" w:rsidR="00057A29" w:rsidRPr="00057A29" w:rsidRDefault="00057A29" w:rsidP="00057A2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057A29">
              <w:rPr>
                <w:rFonts w:ascii="Times New Roman" w:eastAsia="Times New Roman" w:hAnsi="Times New Roman" w:cs="Times New Roman"/>
                <w:b/>
                <w:bCs/>
                <w:color w:val="000000"/>
                <w:sz w:val="24"/>
                <w:szCs w:val="24"/>
                <w:lang w:val="en-IN"/>
              </w:rPr>
              <w:t>2022</w:t>
            </w:r>
          </w:p>
        </w:tc>
        <w:tc>
          <w:tcPr>
            <w:tcW w:w="1307" w:type="dxa"/>
            <w:noWrap/>
            <w:hideMark/>
          </w:tcPr>
          <w:p w14:paraId="610576B2" w14:textId="77777777" w:rsidR="00057A29" w:rsidRPr="00057A29" w:rsidRDefault="00057A29" w:rsidP="00057A2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057A29">
              <w:rPr>
                <w:rFonts w:ascii="Times New Roman" w:eastAsia="Times New Roman" w:hAnsi="Times New Roman" w:cs="Times New Roman"/>
                <w:b/>
                <w:bCs/>
                <w:color w:val="000000"/>
                <w:sz w:val="24"/>
                <w:szCs w:val="24"/>
                <w:lang w:val="en-IN"/>
              </w:rPr>
              <w:t>2021</w:t>
            </w:r>
          </w:p>
        </w:tc>
      </w:tr>
      <w:tr w:rsidR="00057A29" w:rsidRPr="00057A29" w14:paraId="6CE21377" w14:textId="77777777" w:rsidTr="00E058D1">
        <w:trPr>
          <w:trHeight w:val="790"/>
        </w:trPr>
        <w:tc>
          <w:tcPr>
            <w:cnfStyle w:val="001000000000" w:firstRow="0" w:lastRow="0" w:firstColumn="1" w:lastColumn="0" w:oddVBand="0" w:evenVBand="0" w:oddHBand="0" w:evenHBand="0" w:firstRowFirstColumn="0" w:firstRowLastColumn="0" w:lastRowFirstColumn="0" w:lastRowLastColumn="0"/>
            <w:tcW w:w="6869" w:type="dxa"/>
            <w:noWrap/>
            <w:hideMark/>
          </w:tcPr>
          <w:p w14:paraId="190BF4E7" w14:textId="4B57E2AB" w:rsidR="00057A29" w:rsidRPr="00057A29" w:rsidRDefault="00E058D1" w:rsidP="00057A29">
            <w:pPr>
              <w:jc w:val="center"/>
              <w:rPr>
                <w:rFonts w:ascii="Times New Roman" w:eastAsia="Times New Roman" w:hAnsi="Times New Roman" w:cs="Times New Roman"/>
                <w:b w:val="0"/>
                <w:bCs w:val="0"/>
                <w:color w:val="000000"/>
                <w:sz w:val="24"/>
                <w:szCs w:val="24"/>
                <w:lang w:val="en-IN"/>
              </w:rPr>
            </w:pPr>
            <w:r w:rsidRPr="00057A29">
              <w:rPr>
                <w:rFonts w:ascii="Times New Roman" w:eastAsia="Times New Roman" w:hAnsi="Times New Roman" w:cs="Times New Roman"/>
                <w:b w:val="0"/>
                <w:bCs w:val="0"/>
                <w:color w:val="000000"/>
                <w:sz w:val="24"/>
                <w:szCs w:val="24"/>
                <w:lang w:val="en-IN"/>
              </w:rPr>
              <w:t>Earnings</w:t>
            </w:r>
            <w:r w:rsidR="00057A29" w:rsidRPr="00057A29">
              <w:rPr>
                <w:rFonts w:ascii="Times New Roman" w:eastAsia="Times New Roman" w:hAnsi="Times New Roman" w:cs="Times New Roman"/>
                <w:b w:val="0"/>
                <w:bCs w:val="0"/>
                <w:color w:val="000000"/>
                <w:sz w:val="24"/>
                <w:szCs w:val="24"/>
                <w:lang w:val="en-IN"/>
              </w:rPr>
              <w:t xml:space="preserve"> before interest and tax (EBIT)</w:t>
            </w:r>
          </w:p>
        </w:tc>
        <w:tc>
          <w:tcPr>
            <w:tcW w:w="1089" w:type="dxa"/>
            <w:noWrap/>
            <w:hideMark/>
          </w:tcPr>
          <w:p w14:paraId="7ABF1157" w14:textId="77777777" w:rsidR="00057A29" w:rsidRPr="00057A29" w:rsidRDefault="00057A29" w:rsidP="00057A2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805</w:t>
            </w:r>
          </w:p>
        </w:tc>
        <w:tc>
          <w:tcPr>
            <w:tcW w:w="1307" w:type="dxa"/>
            <w:noWrap/>
            <w:hideMark/>
          </w:tcPr>
          <w:p w14:paraId="0F092521" w14:textId="77777777" w:rsidR="00057A29" w:rsidRPr="00057A29" w:rsidRDefault="00057A29" w:rsidP="00057A2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699</w:t>
            </w:r>
          </w:p>
        </w:tc>
      </w:tr>
      <w:tr w:rsidR="00E058D1" w:rsidRPr="00057A29" w14:paraId="01BDB3E0" w14:textId="77777777" w:rsidTr="00E058D1">
        <w:trPr>
          <w:cnfStyle w:val="000000100000" w:firstRow="0" w:lastRow="0" w:firstColumn="0" w:lastColumn="0" w:oddVBand="0" w:evenVBand="0" w:oddHBand="1"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6869" w:type="dxa"/>
            <w:noWrap/>
            <w:hideMark/>
          </w:tcPr>
          <w:p w14:paraId="3811AA13" w14:textId="77777777" w:rsidR="00057A29" w:rsidRPr="00057A29" w:rsidRDefault="00057A29" w:rsidP="00057A29">
            <w:pPr>
              <w:jc w:val="center"/>
              <w:rPr>
                <w:rFonts w:ascii="Times New Roman" w:eastAsia="Times New Roman" w:hAnsi="Times New Roman" w:cs="Times New Roman"/>
                <w:b w:val="0"/>
                <w:bCs w:val="0"/>
                <w:color w:val="000000"/>
                <w:sz w:val="24"/>
                <w:szCs w:val="24"/>
                <w:lang w:val="en-IN"/>
              </w:rPr>
            </w:pPr>
            <w:r w:rsidRPr="00057A29">
              <w:rPr>
                <w:rFonts w:ascii="Times New Roman" w:eastAsia="Times New Roman" w:hAnsi="Times New Roman" w:cs="Times New Roman"/>
                <w:b w:val="0"/>
                <w:bCs w:val="0"/>
                <w:color w:val="000000"/>
                <w:sz w:val="24"/>
                <w:szCs w:val="24"/>
                <w:lang w:val="en-IN"/>
              </w:rPr>
              <w:t>Total Asset</w:t>
            </w:r>
          </w:p>
        </w:tc>
        <w:tc>
          <w:tcPr>
            <w:tcW w:w="1089" w:type="dxa"/>
            <w:noWrap/>
            <w:hideMark/>
          </w:tcPr>
          <w:p w14:paraId="18B67FD5" w14:textId="77777777" w:rsidR="00057A29" w:rsidRPr="00057A29" w:rsidRDefault="00057A29" w:rsidP="00057A2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9,736</w:t>
            </w:r>
          </w:p>
        </w:tc>
        <w:tc>
          <w:tcPr>
            <w:tcW w:w="1307" w:type="dxa"/>
            <w:noWrap/>
            <w:hideMark/>
          </w:tcPr>
          <w:p w14:paraId="2C52DB8E" w14:textId="77777777" w:rsidR="00057A29" w:rsidRPr="00057A29" w:rsidRDefault="00057A29" w:rsidP="00057A2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10,087</w:t>
            </w:r>
          </w:p>
        </w:tc>
      </w:tr>
      <w:tr w:rsidR="00057A29" w:rsidRPr="00057A29" w14:paraId="0EA65DF6" w14:textId="77777777" w:rsidTr="00E058D1">
        <w:trPr>
          <w:trHeight w:val="790"/>
        </w:trPr>
        <w:tc>
          <w:tcPr>
            <w:cnfStyle w:val="001000000000" w:firstRow="0" w:lastRow="0" w:firstColumn="1" w:lastColumn="0" w:oddVBand="0" w:evenVBand="0" w:oddHBand="0" w:evenHBand="0" w:firstRowFirstColumn="0" w:firstRowLastColumn="0" w:lastRowFirstColumn="0" w:lastRowLastColumn="0"/>
            <w:tcW w:w="6869" w:type="dxa"/>
            <w:noWrap/>
            <w:hideMark/>
          </w:tcPr>
          <w:p w14:paraId="65AA5152" w14:textId="77777777" w:rsidR="00057A29" w:rsidRPr="00057A29" w:rsidRDefault="00057A29" w:rsidP="00057A29">
            <w:pPr>
              <w:jc w:val="center"/>
              <w:rPr>
                <w:rFonts w:ascii="Times New Roman" w:eastAsia="Times New Roman" w:hAnsi="Times New Roman" w:cs="Times New Roman"/>
                <w:b w:val="0"/>
                <w:bCs w:val="0"/>
                <w:color w:val="000000"/>
                <w:sz w:val="24"/>
                <w:szCs w:val="24"/>
                <w:lang w:val="en-IN"/>
              </w:rPr>
            </w:pPr>
            <w:r w:rsidRPr="00057A29">
              <w:rPr>
                <w:rFonts w:ascii="Times New Roman" w:eastAsia="Times New Roman" w:hAnsi="Times New Roman" w:cs="Times New Roman"/>
                <w:b w:val="0"/>
                <w:bCs w:val="0"/>
                <w:color w:val="000000"/>
                <w:sz w:val="24"/>
                <w:szCs w:val="24"/>
                <w:lang w:val="en-IN"/>
              </w:rPr>
              <w:t>Current liabilities</w:t>
            </w:r>
          </w:p>
        </w:tc>
        <w:tc>
          <w:tcPr>
            <w:tcW w:w="1089" w:type="dxa"/>
            <w:noWrap/>
            <w:hideMark/>
          </w:tcPr>
          <w:p w14:paraId="51FE926E" w14:textId="77777777" w:rsidR="00057A29" w:rsidRPr="00057A29" w:rsidRDefault="00057A29" w:rsidP="00057A2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2,511</w:t>
            </w:r>
          </w:p>
        </w:tc>
        <w:tc>
          <w:tcPr>
            <w:tcW w:w="1307" w:type="dxa"/>
            <w:noWrap/>
            <w:hideMark/>
          </w:tcPr>
          <w:p w14:paraId="2E445610" w14:textId="77777777" w:rsidR="00057A29" w:rsidRPr="00057A29" w:rsidRDefault="00057A29" w:rsidP="00057A2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3,046</w:t>
            </w:r>
          </w:p>
        </w:tc>
      </w:tr>
      <w:tr w:rsidR="00E058D1" w:rsidRPr="00057A29" w14:paraId="4F6B37F4" w14:textId="77777777" w:rsidTr="00E058D1">
        <w:trPr>
          <w:cnfStyle w:val="000000100000" w:firstRow="0" w:lastRow="0" w:firstColumn="0" w:lastColumn="0" w:oddVBand="0" w:evenVBand="0" w:oddHBand="1"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6869" w:type="dxa"/>
            <w:noWrap/>
            <w:hideMark/>
          </w:tcPr>
          <w:p w14:paraId="1F6F580C" w14:textId="77777777" w:rsidR="00057A29" w:rsidRPr="00057A29" w:rsidRDefault="00057A29" w:rsidP="00057A29">
            <w:pPr>
              <w:jc w:val="center"/>
              <w:rPr>
                <w:rFonts w:ascii="Times New Roman" w:eastAsia="Times New Roman" w:hAnsi="Times New Roman" w:cs="Times New Roman"/>
                <w:b w:val="0"/>
                <w:bCs w:val="0"/>
                <w:color w:val="000000"/>
                <w:sz w:val="24"/>
                <w:szCs w:val="24"/>
                <w:lang w:val="en-IN"/>
              </w:rPr>
            </w:pPr>
            <w:r w:rsidRPr="00057A29">
              <w:rPr>
                <w:rFonts w:ascii="Times New Roman" w:eastAsia="Times New Roman" w:hAnsi="Times New Roman" w:cs="Times New Roman"/>
                <w:b w:val="0"/>
                <w:bCs w:val="0"/>
                <w:color w:val="000000"/>
                <w:sz w:val="24"/>
                <w:szCs w:val="24"/>
                <w:lang w:val="en-IN"/>
              </w:rPr>
              <w:t>Capital employed</w:t>
            </w:r>
          </w:p>
        </w:tc>
        <w:tc>
          <w:tcPr>
            <w:tcW w:w="1089" w:type="dxa"/>
            <w:noWrap/>
            <w:hideMark/>
          </w:tcPr>
          <w:p w14:paraId="0D91883F" w14:textId="77777777" w:rsidR="00057A29" w:rsidRPr="00057A29" w:rsidRDefault="00057A29" w:rsidP="00057A2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7,225</w:t>
            </w:r>
          </w:p>
        </w:tc>
        <w:tc>
          <w:tcPr>
            <w:tcW w:w="1307" w:type="dxa"/>
            <w:noWrap/>
            <w:hideMark/>
          </w:tcPr>
          <w:p w14:paraId="2324A218" w14:textId="77777777" w:rsidR="00057A29" w:rsidRPr="00057A29" w:rsidRDefault="00057A29" w:rsidP="00057A2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7,041</w:t>
            </w:r>
          </w:p>
        </w:tc>
      </w:tr>
      <w:tr w:rsidR="00057A29" w:rsidRPr="00057A29" w14:paraId="4553FDF8" w14:textId="77777777" w:rsidTr="00E058D1">
        <w:trPr>
          <w:trHeight w:val="790"/>
        </w:trPr>
        <w:tc>
          <w:tcPr>
            <w:cnfStyle w:val="001000000000" w:firstRow="0" w:lastRow="0" w:firstColumn="1" w:lastColumn="0" w:oddVBand="0" w:evenVBand="0" w:oddHBand="0" w:evenHBand="0" w:firstRowFirstColumn="0" w:firstRowLastColumn="0" w:lastRowFirstColumn="0" w:lastRowLastColumn="0"/>
            <w:tcW w:w="6869" w:type="dxa"/>
            <w:noWrap/>
            <w:hideMark/>
          </w:tcPr>
          <w:p w14:paraId="5F4E5F2F" w14:textId="77777777" w:rsidR="00057A29" w:rsidRPr="00057A29" w:rsidRDefault="00057A29" w:rsidP="00057A29">
            <w:pPr>
              <w:jc w:val="center"/>
              <w:rPr>
                <w:rFonts w:ascii="Times New Roman" w:eastAsia="Times New Roman" w:hAnsi="Times New Roman" w:cs="Times New Roman"/>
                <w:b w:val="0"/>
                <w:bCs w:val="0"/>
                <w:color w:val="000000"/>
                <w:sz w:val="24"/>
                <w:szCs w:val="24"/>
                <w:lang w:val="en-IN"/>
              </w:rPr>
            </w:pPr>
            <w:r w:rsidRPr="00057A29">
              <w:rPr>
                <w:rFonts w:ascii="Times New Roman" w:eastAsia="Times New Roman" w:hAnsi="Times New Roman" w:cs="Times New Roman"/>
                <w:b w:val="0"/>
                <w:bCs w:val="0"/>
                <w:color w:val="000000"/>
                <w:sz w:val="24"/>
                <w:szCs w:val="24"/>
                <w:lang w:val="en-IN"/>
              </w:rPr>
              <w:t>ROCE= EBIT/ Capital employed</w:t>
            </w:r>
          </w:p>
        </w:tc>
        <w:tc>
          <w:tcPr>
            <w:tcW w:w="1089" w:type="dxa"/>
            <w:noWrap/>
            <w:hideMark/>
          </w:tcPr>
          <w:p w14:paraId="5CA67C38" w14:textId="77777777" w:rsidR="00057A29" w:rsidRPr="00057A29" w:rsidRDefault="00057A29" w:rsidP="00057A2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11.14</w:t>
            </w:r>
          </w:p>
        </w:tc>
        <w:tc>
          <w:tcPr>
            <w:tcW w:w="1307" w:type="dxa"/>
            <w:noWrap/>
            <w:hideMark/>
          </w:tcPr>
          <w:p w14:paraId="79F84AA1" w14:textId="77777777" w:rsidR="00057A29" w:rsidRPr="00057A29" w:rsidRDefault="00057A29" w:rsidP="00057A2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057A29">
              <w:rPr>
                <w:rFonts w:ascii="Times New Roman" w:eastAsia="Times New Roman" w:hAnsi="Times New Roman" w:cs="Times New Roman"/>
                <w:color w:val="000000"/>
                <w:sz w:val="24"/>
                <w:szCs w:val="24"/>
                <w:lang w:val="en-IN"/>
              </w:rPr>
              <w:t>9.93</w:t>
            </w:r>
          </w:p>
        </w:tc>
      </w:tr>
    </w:tbl>
    <w:p w14:paraId="66A20412" w14:textId="77777777" w:rsidR="00831E18" w:rsidRDefault="00831E18">
      <w:pPr>
        <w:spacing w:line="360" w:lineRule="auto"/>
        <w:jc w:val="both"/>
        <w:rPr>
          <w:rFonts w:ascii="Times New Roman" w:eastAsia="Times New Roman" w:hAnsi="Times New Roman" w:cs="Times New Roman"/>
          <w:b/>
          <w:i/>
          <w:sz w:val="24"/>
          <w:szCs w:val="24"/>
        </w:rPr>
      </w:pPr>
    </w:p>
    <w:p w14:paraId="70830C10" w14:textId="77777777" w:rsidR="00831E1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2- ROE:</w:t>
      </w:r>
    </w:p>
    <w:p w14:paraId="6E72C6BC"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Equity ratio measures the financial performance of a company in generating its net profit using shareholder’s equity (</w:t>
      </w:r>
      <w:r>
        <w:rPr>
          <w:rFonts w:ascii="Times New Roman" w:eastAsia="Times New Roman" w:hAnsi="Times New Roman" w:cs="Times New Roman"/>
          <w:sz w:val="24"/>
          <w:szCs w:val="24"/>
          <w:highlight w:val="white"/>
        </w:rPr>
        <w:t>Al-Qudah, 2016)</w:t>
      </w:r>
      <w:r>
        <w:rPr>
          <w:rFonts w:ascii="Times New Roman" w:eastAsia="Times New Roman" w:hAnsi="Times New Roman" w:cs="Times New Roman"/>
          <w:sz w:val="24"/>
          <w:szCs w:val="24"/>
        </w:rPr>
        <w:t xml:space="preserve">. If the ROE ratio is higher, it means that the company </w:t>
      </w:r>
      <w:r>
        <w:rPr>
          <w:rFonts w:ascii="Times New Roman" w:eastAsia="Times New Roman" w:hAnsi="Times New Roman" w:cs="Times New Roman"/>
          <w:sz w:val="24"/>
          <w:szCs w:val="24"/>
        </w:rPr>
        <w:lastRenderedPageBreak/>
        <w:t>has effectively used its equity to generate greater net profit while a lower ROE ratio states the opposite and is not desirable for the firm.</w:t>
      </w:r>
    </w:p>
    <w:tbl>
      <w:tblPr>
        <w:tblStyle w:val="GridTable4-Accent6"/>
        <w:tblW w:w="9195" w:type="dxa"/>
        <w:tblLook w:val="04A0" w:firstRow="1" w:lastRow="0" w:firstColumn="1" w:lastColumn="0" w:noHBand="0" w:noVBand="1"/>
      </w:tblPr>
      <w:tblGrid>
        <w:gridCol w:w="6746"/>
        <w:gridCol w:w="1224"/>
        <w:gridCol w:w="1225"/>
      </w:tblGrid>
      <w:tr w:rsidR="00E058D1" w:rsidRPr="00E058D1" w14:paraId="34C11169" w14:textId="77777777" w:rsidTr="00E058D1">
        <w:trPr>
          <w:cnfStyle w:val="100000000000" w:firstRow="1" w:lastRow="0" w:firstColumn="0" w:lastColumn="0" w:oddVBand="0" w:evenVBand="0" w:oddHBand="0"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9195" w:type="dxa"/>
            <w:gridSpan w:val="3"/>
            <w:tcBorders>
              <w:top w:val="single" w:sz="4" w:space="0" w:color="auto"/>
              <w:left w:val="single" w:sz="4" w:space="0" w:color="auto"/>
              <w:right w:val="single" w:sz="4" w:space="0" w:color="auto"/>
            </w:tcBorders>
            <w:noWrap/>
            <w:hideMark/>
          </w:tcPr>
          <w:p w14:paraId="080EA448" w14:textId="77777777" w:rsidR="00E058D1" w:rsidRPr="00E058D1" w:rsidRDefault="00E058D1" w:rsidP="00E058D1">
            <w:pPr>
              <w:jc w:val="center"/>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Calculation of Return on equity (ROE)</w:t>
            </w:r>
          </w:p>
        </w:tc>
      </w:tr>
      <w:tr w:rsidR="00E058D1" w:rsidRPr="00E058D1" w14:paraId="016F1B98" w14:textId="77777777" w:rsidTr="00E058D1">
        <w:trPr>
          <w:cnfStyle w:val="000000100000" w:firstRow="0" w:lastRow="0" w:firstColumn="0" w:lastColumn="0" w:oddVBand="0" w:evenVBand="0" w:oddHBand="1"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6746" w:type="dxa"/>
            <w:tcBorders>
              <w:left w:val="single" w:sz="4" w:space="0" w:color="auto"/>
            </w:tcBorders>
            <w:noWrap/>
            <w:hideMark/>
          </w:tcPr>
          <w:p w14:paraId="6DC5A5E9" w14:textId="77777777" w:rsidR="00E058D1" w:rsidRPr="00E058D1" w:rsidRDefault="00E058D1" w:rsidP="00E058D1">
            <w:pPr>
              <w:jc w:val="center"/>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Particulars</w:t>
            </w:r>
          </w:p>
        </w:tc>
        <w:tc>
          <w:tcPr>
            <w:tcW w:w="1224" w:type="dxa"/>
            <w:noWrap/>
            <w:hideMark/>
          </w:tcPr>
          <w:p w14:paraId="527AC165" w14:textId="77777777" w:rsidR="00E058D1" w:rsidRPr="00E058D1" w:rsidRDefault="00E058D1" w:rsidP="00E058D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E058D1">
              <w:rPr>
                <w:rFonts w:ascii="Times New Roman" w:eastAsia="Times New Roman" w:hAnsi="Times New Roman" w:cs="Times New Roman"/>
                <w:b/>
                <w:bCs/>
                <w:color w:val="000000"/>
                <w:sz w:val="24"/>
                <w:szCs w:val="24"/>
                <w:lang w:val="en-IN"/>
              </w:rPr>
              <w:t>2022</w:t>
            </w:r>
          </w:p>
        </w:tc>
        <w:tc>
          <w:tcPr>
            <w:tcW w:w="1224" w:type="dxa"/>
            <w:tcBorders>
              <w:right w:val="single" w:sz="4" w:space="0" w:color="auto"/>
            </w:tcBorders>
            <w:noWrap/>
            <w:hideMark/>
          </w:tcPr>
          <w:p w14:paraId="4A5A334E" w14:textId="77777777" w:rsidR="00E058D1" w:rsidRPr="00E058D1" w:rsidRDefault="00E058D1" w:rsidP="00E058D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E058D1">
              <w:rPr>
                <w:rFonts w:ascii="Times New Roman" w:eastAsia="Times New Roman" w:hAnsi="Times New Roman" w:cs="Times New Roman"/>
                <w:b/>
                <w:bCs/>
                <w:color w:val="000000"/>
                <w:sz w:val="24"/>
                <w:szCs w:val="24"/>
                <w:lang w:val="en-IN"/>
              </w:rPr>
              <w:t>2021</w:t>
            </w:r>
          </w:p>
        </w:tc>
      </w:tr>
      <w:tr w:rsidR="00E058D1" w:rsidRPr="00E058D1" w14:paraId="0B189BE1" w14:textId="77777777" w:rsidTr="00E058D1">
        <w:trPr>
          <w:trHeight w:val="421"/>
        </w:trPr>
        <w:tc>
          <w:tcPr>
            <w:cnfStyle w:val="001000000000" w:firstRow="0" w:lastRow="0" w:firstColumn="1" w:lastColumn="0" w:oddVBand="0" w:evenVBand="0" w:oddHBand="0" w:evenHBand="0" w:firstRowFirstColumn="0" w:firstRowLastColumn="0" w:lastRowFirstColumn="0" w:lastRowLastColumn="0"/>
            <w:tcW w:w="6746" w:type="dxa"/>
            <w:tcBorders>
              <w:left w:val="single" w:sz="4" w:space="0" w:color="auto"/>
            </w:tcBorders>
            <w:noWrap/>
            <w:hideMark/>
          </w:tcPr>
          <w:p w14:paraId="1E824B0C" w14:textId="77777777" w:rsidR="00E058D1" w:rsidRPr="00E058D1" w:rsidRDefault="00E058D1" w:rsidP="00E058D1">
            <w:pPr>
              <w:jc w:val="center"/>
              <w:rPr>
                <w:rFonts w:ascii="Times New Roman" w:eastAsia="Times New Roman" w:hAnsi="Times New Roman" w:cs="Times New Roman"/>
                <w:b w:val="0"/>
                <w:bCs w:val="0"/>
                <w:color w:val="000000"/>
                <w:sz w:val="24"/>
                <w:szCs w:val="24"/>
                <w:lang w:val="en-IN"/>
              </w:rPr>
            </w:pPr>
            <w:r w:rsidRPr="00E058D1">
              <w:rPr>
                <w:rFonts w:ascii="Times New Roman" w:eastAsia="Times New Roman" w:hAnsi="Times New Roman" w:cs="Times New Roman"/>
                <w:b w:val="0"/>
                <w:bCs w:val="0"/>
                <w:color w:val="000000"/>
                <w:sz w:val="24"/>
                <w:szCs w:val="24"/>
                <w:lang w:val="en-IN"/>
              </w:rPr>
              <w:t>Net income</w:t>
            </w:r>
          </w:p>
        </w:tc>
        <w:tc>
          <w:tcPr>
            <w:tcW w:w="1224" w:type="dxa"/>
            <w:noWrap/>
            <w:hideMark/>
          </w:tcPr>
          <w:p w14:paraId="0785C103" w14:textId="77777777" w:rsidR="00E058D1" w:rsidRPr="00E058D1" w:rsidRDefault="00E058D1" w:rsidP="00E058D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431</w:t>
            </w:r>
          </w:p>
        </w:tc>
        <w:tc>
          <w:tcPr>
            <w:tcW w:w="1224" w:type="dxa"/>
            <w:tcBorders>
              <w:right w:val="single" w:sz="4" w:space="0" w:color="auto"/>
            </w:tcBorders>
            <w:noWrap/>
            <w:hideMark/>
          </w:tcPr>
          <w:p w14:paraId="314A512B" w14:textId="77777777" w:rsidR="00E058D1" w:rsidRPr="00E058D1" w:rsidRDefault="00E058D1" w:rsidP="00E058D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366</w:t>
            </w:r>
          </w:p>
        </w:tc>
      </w:tr>
      <w:tr w:rsidR="00E058D1" w:rsidRPr="00E058D1" w14:paraId="1AC7FDD4" w14:textId="77777777" w:rsidTr="00E058D1">
        <w:trPr>
          <w:cnfStyle w:val="000000100000" w:firstRow="0" w:lastRow="0" w:firstColumn="0" w:lastColumn="0" w:oddVBand="0" w:evenVBand="0" w:oddHBand="1"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6746" w:type="dxa"/>
            <w:tcBorders>
              <w:left w:val="single" w:sz="4" w:space="0" w:color="auto"/>
            </w:tcBorders>
            <w:noWrap/>
            <w:hideMark/>
          </w:tcPr>
          <w:p w14:paraId="4A20B9E0" w14:textId="09E7F738" w:rsidR="00E058D1" w:rsidRPr="00E058D1" w:rsidRDefault="00E058D1" w:rsidP="00E058D1">
            <w:pPr>
              <w:jc w:val="center"/>
              <w:rPr>
                <w:rFonts w:ascii="Times New Roman" w:eastAsia="Times New Roman" w:hAnsi="Times New Roman" w:cs="Times New Roman"/>
                <w:b w:val="0"/>
                <w:bCs w:val="0"/>
                <w:color w:val="000000"/>
                <w:sz w:val="24"/>
                <w:szCs w:val="24"/>
                <w:lang w:val="en-IN"/>
              </w:rPr>
            </w:pPr>
            <w:r w:rsidRPr="00E058D1">
              <w:rPr>
                <w:rFonts w:ascii="Times New Roman" w:eastAsia="Times New Roman" w:hAnsi="Times New Roman" w:cs="Times New Roman"/>
                <w:b w:val="0"/>
                <w:bCs w:val="0"/>
                <w:color w:val="000000"/>
                <w:sz w:val="24"/>
                <w:szCs w:val="24"/>
                <w:lang w:val="en-IN"/>
              </w:rPr>
              <w:t>Shareholders’ equity</w:t>
            </w:r>
          </w:p>
        </w:tc>
        <w:tc>
          <w:tcPr>
            <w:tcW w:w="1224" w:type="dxa"/>
            <w:noWrap/>
            <w:hideMark/>
          </w:tcPr>
          <w:p w14:paraId="6487B23B" w14:textId="77777777" w:rsidR="00E058D1" w:rsidRPr="00E058D1" w:rsidRDefault="00E058D1" w:rsidP="00E058D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3,088</w:t>
            </w:r>
          </w:p>
        </w:tc>
        <w:tc>
          <w:tcPr>
            <w:tcW w:w="1224" w:type="dxa"/>
            <w:tcBorders>
              <w:right w:val="single" w:sz="4" w:space="0" w:color="auto"/>
            </w:tcBorders>
            <w:noWrap/>
            <w:hideMark/>
          </w:tcPr>
          <w:p w14:paraId="44CD8083" w14:textId="77777777" w:rsidR="00E058D1" w:rsidRPr="00E058D1" w:rsidRDefault="00E058D1" w:rsidP="00E058D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2,912</w:t>
            </w:r>
          </w:p>
        </w:tc>
      </w:tr>
      <w:tr w:rsidR="00E058D1" w:rsidRPr="00E058D1" w14:paraId="3C9CC150" w14:textId="77777777" w:rsidTr="00E058D1">
        <w:trPr>
          <w:trHeight w:val="421"/>
        </w:trPr>
        <w:tc>
          <w:tcPr>
            <w:cnfStyle w:val="001000000000" w:firstRow="0" w:lastRow="0" w:firstColumn="1" w:lastColumn="0" w:oddVBand="0" w:evenVBand="0" w:oddHBand="0" w:evenHBand="0" w:firstRowFirstColumn="0" w:firstRowLastColumn="0" w:lastRowFirstColumn="0" w:lastRowLastColumn="0"/>
            <w:tcW w:w="6746" w:type="dxa"/>
            <w:tcBorders>
              <w:left w:val="single" w:sz="4" w:space="0" w:color="auto"/>
              <w:bottom w:val="single" w:sz="4" w:space="0" w:color="auto"/>
            </w:tcBorders>
            <w:noWrap/>
            <w:hideMark/>
          </w:tcPr>
          <w:p w14:paraId="05617880" w14:textId="3F713435" w:rsidR="00E058D1" w:rsidRPr="00E058D1" w:rsidRDefault="00E058D1" w:rsidP="00E058D1">
            <w:pPr>
              <w:jc w:val="center"/>
              <w:rPr>
                <w:rFonts w:ascii="Times New Roman" w:eastAsia="Times New Roman" w:hAnsi="Times New Roman" w:cs="Times New Roman"/>
                <w:b w:val="0"/>
                <w:bCs w:val="0"/>
                <w:color w:val="000000"/>
                <w:sz w:val="24"/>
                <w:szCs w:val="24"/>
                <w:lang w:val="en-IN"/>
              </w:rPr>
            </w:pPr>
            <w:r w:rsidRPr="00E058D1">
              <w:rPr>
                <w:rFonts w:ascii="Times New Roman" w:eastAsia="Times New Roman" w:hAnsi="Times New Roman" w:cs="Times New Roman"/>
                <w:b w:val="0"/>
                <w:bCs w:val="0"/>
                <w:color w:val="000000"/>
                <w:sz w:val="24"/>
                <w:szCs w:val="24"/>
                <w:lang w:val="en-IN"/>
              </w:rPr>
              <w:t>ROE= Net income/</w:t>
            </w:r>
            <w:r>
              <w:rPr>
                <w:rFonts w:ascii="Times New Roman" w:eastAsia="Times New Roman" w:hAnsi="Times New Roman" w:cs="Times New Roman"/>
                <w:b w:val="0"/>
                <w:bCs w:val="0"/>
                <w:color w:val="000000"/>
                <w:sz w:val="24"/>
                <w:szCs w:val="24"/>
                <w:lang w:val="en-IN"/>
              </w:rPr>
              <w:t xml:space="preserve"> </w:t>
            </w:r>
            <w:r w:rsidRPr="00E058D1">
              <w:rPr>
                <w:rFonts w:ascii="Times New Roman" w:eastAsia="Times New Roman" w:hAnsi="Times New Roman" w:cs="Times New Roman"/>
                <w:b w:val="0"/>
                <w:bCs w:val="0"/>
                <w:color w:val="000000"/>
                <w:sz w:val="24"/>
                <w:szCs w:val="24"/>
                <w:lang w:val="en-IN"/>
              </w:rPr>
              <w:t>Shareholders</w:t>
            </w:r>
            <w:r>
              <w:rPr>
                <w:rFonts w:ascii="Times New Roman" w:eastAsia="Times New Roman" w:hAnsi="Times New Roman" w:cs="Times New Roman"/>
                <w:b w:val="0"/>
                <w:bCs w:val="0"/>
                <w:color w:val="000000"/>
                <w:sz w:val="24"/>
                <w:szCs w:val="24"/>
                <w:lang w:val="en-IN"/>
              </w:rPr>
              <w:t>’</w:t>
            </w:r>
            <w:r w:rsidRPr="00E058D1">
              <w:rPr>
                <w:rFonts w:ascii="Times New Roman" w:eastAsia="Times New Roman" w:hAnsi="Times New Roman" w:cs="Times New Roman"/>
                <w:b w:val="0"/>
                <w:bCs w:val="0"/>
                <w:color w:val="000000"/>
                <w:sz w:val="24"/>
                <w:szCs w:val="24"/>
                <w:lang w:val="en-IN"/>
              </w:rPr>
              <w:t xml:space="preserve"> equity</w:t>
            </w:r>
          </w:p>
        </w:tc>
        <w:tc>
          <w:tcPr>
            <w:tcW w:w="1224" w:type="dxa"/>
            <w:tcBorders>
              <w:bottom w:val="single" w:sz="4" w:space="0" w:color="auto"/>
            </w:tcBorders>
            <w:noWrap/>
            <w:hideMark/>
          </w:tcPr>
          <w:p w14:paraId="075868BF" w14:textId="77777777" w:rsidR="00E058D1" w:rsidRPr="00E058D1" w:rsidRDefault="00E058D1" w:rsidP="00E058D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13.96%</w:t>
            </w:r>
          </w:p>
        </w:tc>
        <w:tc>
          <w:tcPr>
            <w:tcW w:w="1224" w:type="dxa"/>
            <w:tcBorders>
              <w:bottom w:val="single" w:sz="4" w:space="0" w:color="auto"/>
              <w:right w:val="single" w:sz="4" w:space="0" w:color="auto"/>
            </w:tcBorders>
            <w:noWrap/>
            <w:hideMark/>
          </w:tcPr>
          <w:p w14:paraId="65B71B3C" w14:textId="77777777" w:rsidR="00E058D1" w:rsidRPr="00E058D1" w:rsidRDefault="00E058D1" w:rsidP="00E058D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12.57%</w:t>
            </w:r>
          </w:p>
        </w:tc>
      </w:tr>
    </w:tbl>
    <w:p w14:paraId="3F81A4F1" w14:textId="77777777" w:rsidR="00831E18" w:rsidRDefault="00831E18">
      <w:pPr>
        <w:spacing w:line="360" w:lineRule="auto"/>
        <w:jc w:val="both"/>
        <w:rPr>
          <w:rFonts w:ascii="Times New Roman" w:eastAsia="Times New Roman" w:hAnsi="Times New Roman" w:cs="Times New Roman"/>
          <w:b/>
          <w:i/>
          <w:sz w:val="24"/>
          <w:szCs w:val="24"/>
        </w:rPr>
      </w:pPr>
    </w:p>
    <w:p w14:paraId="6BA1961A" w14:textId="77777777" w:rsidR="00831E1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3- Earnings per Share (EPS):</w:t>
      </w:r>
    </w:p>
    <w:p w14:paraId="31085A82"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assess the performance of a business, earnings per share (EPS) ratio is relevant as well. The net profit of the business is divided by average ordinary shares to generate the EPS which shows how many shares are sold by the company to generate net income. Higher EPS signifies that the company generates enough net profit by selling sufficient amount of ordinary shares (</w:t>
      </w:r>
      <w:r>
        <w:rPr>
          <w:rFonts w:ascii="Times New Roman" w:eastAsia="Times New Roman" w:hAnsi="Times New Roman" w:cs="Times New Roman"/>
          <w:sz w:val="24"/>
          <w:szCs w:val="24"/>
          <w:highlight w:val="white"/>
        </w:rPr>
        <w:t>Indeed Career Guide, 2023)</w:t>
      </w:r>
      <w:r>
        <w:rPr>
          <w:rFonts w:ascii="Times New Roman" w:eastAsia="Times New Roman" w:hAnsi="Times New Roman" w:cs="Times New Roman"/>
          <w:sz w:val="24"/>
          <w:szCs w:val="24"/>
        </w:rPr>
        <w:t xml:space="preserve">. </w:t>
      </w:r>
    </w:p>
    <w:p w14:paraId="2884F8D5" w14:textId="77777777" w:rsidR="00831E18" w:rsidRDefault="00831E18">
      <w:pPr>
        <w:spacing w:line="360" w:lineRule="auto"/>
        <w:jc w:val="both"/>
        <w:rPr>
          <w:rFonts w:ascii="Times New Roman" w:eastAsia="Times New Roman" w:hAnsi="Times New Roman" w:cs="Times New Roman"/>
          <w:b/>
          <w:i/>
          <w:sz w:val="24"/>
          <w:szCs w:val="24"/>
        </w:rPr>
      </w:pPr>
    </w:p>
    <w:tbl>
      <w:tblPr>
        <w:tblW w:w="9157" w:type="dxa"/>
        <w:tblLook w:val="04A0" w:firstRow="1" w:lastRow="0" w:firstColumn="1" w:lastColumn="0" w:noHBand="0" w:noVBand="1"/>
      </w:tblPr>
      <w:tblGrid>
        <w:gridCol w:w="7470"/>
        <w:gridCol w:w="843"/>
        <w:gridCol w:w="844"/>
      </w:tblGrid>
      <w:tr w:rsidR="00E058D1" w:rsidRPr="00E058D1" w14:paraId="7472F8C2" w14:textId="77777777" w:rsidTr="00E058D1">
        <w:trPr>
          <w:trHeight w:val="324"/>
        </w:trPr>
        <w:tc>
          <w:tcPr>
            <w:tcW w:w="9157" w:type="dxa"/>
            <w:gridSpan w:val="3"/>
            <w:tcBorders>
              <w:top w:val="single" w:sz="4" w:space="0" w:color="000000"/>
              <w:left w:val="single" w:sz="4" w:space="0" w:color="000000"/>
              <w:bottom w:val="single" w:sz="4" w:space="0" w:color="000000"/>
              <w:right w:val="single" w:sz="4" w:space="0" w:color="000000"/>
            </w:tcBorders>
            <w:shd w:val="clear" w:color="CFE2F3" w:fill="002060"/>
            <w:noWrap/>
            <w:vAlign w:val="center"/>
            <w:hideMark/>
          </w:tcPr>
          <w:p w14:paraId="64B0F9FB" w14:textId="77777777" w:rsidR="00E058D1" w:rsidRPr="00E058D1" w:rsidRDefault="00E058D1" w:rsidP="00E058D1">
            <w:pPr>
              <w:spacing w:line="240" w:lineRule="auto"/>
              <w:jc w:val="center"/>
              <w:rPr>
                <w:rFonts w:ascii="Times New Roman" w:eastAsia="Times New Roman" w:hAnsi="Times New Roman" w:cs="Times New Roman"/>
                <w:b/>
                <w:bCs/>
                <w:color w:val="FFFFFF"/>
                <w:sz w:val="24"/>
                <w:szCs w:val="24"/>
                <w:lang w:val="en-IN"/>
              </w:rPr>
            </w:pPr>
            <w:r w:rsidRPr="00E058D1">
              <w:rPr>
                <w:rFonts w:ascii="Times New Roman" w:eastAsia="Times New Roman" w:hAnsi="Times New Roman" w:cs="Times New Roman"/>
                <w:b/>
                <w:bCs/>
                <w:color w:val="FFFFFF"/>
                <w:sz w:val="24"/>
                <w:szCs w:val="24"/>
                <w:lang w:val="en-IN"/>
              </w:rPr>
              <w:t xml:space="preserve">Calculation of </w:t>
            </w:r>
            <w:proofErr w:type="spellStart"/>
            <w:r w:rsidRPr="00E058D1">
              <w:rPr>
                <w:rFonts w:ascii="Times New Roman" w:eastAsia="Times New Roman" w:hAnsi="Times New Roman" w:cs="Times New Roman"/>
                <w:b/>
                <w:bCs/>
                <w:color w:val="FFFFFF"/>
                <w:sz w:val="24"/>
                <w:szCs w:val="24"/>
                <w:lang w:val="en-IN"/>
              </w:rPr>
              <w:t>Earning</w:t>
            </w:r>
            <w:proofErr w:type="spellEnd"/>
            <w:r w:rsidRPr="00E058D1">
              <w:rPr>
                <w:rFonts w:ascii="Times New Roman" w:eastAsia="Times New Roman" w:hAnsi="Times New Roman" w:cs="Times New Roman"/>
                <w:b/>
                <w:bCs/>
                <w:color w:val="FFFFFF"/>
                <w:sz w:val="24"/>
                <w:szCs w:val="24"/>
                <w:lang w:val="en-IN"/>
              </w:rPr>
              <w:t xml:space="preserve"> per share</w:t>
            </w:r>
          </w:p>
        </w:tc>
      </w:tr>
      <w:tr w:rsidR="00E058D1" w:rsidRPr="00E058D1" w14:paraId="69AF4E32" w14:textId="77777777" w:rsidTr="00E058D1">
        <w:trPr>
          <w:trHeight w:val="324"/>
        </w:trPr>
        <w:tc>
          <w:tcPr>
            <w:tcW w:w="7470" w:type="dxa"/>
            <w:tcBorders>
              <w:top w:val="nil"/>
              <w:left w:val="single" w:sz="4" w:space="0" w:color="000000"/>
              <w:bottom w:val="single" w:sz="4" w:space="0" w:color="000000"/>
              <w:right w:val="single" w:sz="4" w:space="0" w:color="000000"/>
            </w:tcBorders>
            <w:shd w:val="clear" w:color="CFE2F3" w:fill="002060"/>
            <w:noWrap/>
            <w:vAlign w:val="center"/>
            <w:hideMark/>
          </w:tcPr>
          <w:p w14:paraId="79BE1DDD" w14:textId="77777777" w:rsidR="00E058D1" w:rsidRPr="00E058D1" w:rsidRDefault="00E058D1" w:rsidP="00E058D1">
            <w:pPr>
              <w:spacing w:line="240" w:lineRule="auto"/>
              <w:jc w:val="center"/>
              <w:rPr>
                <w:rFonts w:ascii="Times New Roman" w:eastAsia="Times New Roman" w:hAnsi="Times New Roman" w:cs="Times New Roman"/>
                <w:b/>
                <w:bCs/>
                <w:color w:val="FFFFFF"/>
                <w:sz w:val="24"/>
                <w:szCs w:val="24"/>
                <w:lang w:val="en-IN"/>
              </w:rPr>
            </w:pPr>
            <w:r w:rsidRPr="00E058D1">
              <w:rPr>
                <w:rFonts w:ascii="Times New Roman" w:eastAsia="Times New Roman" w:hAnsi="Times New Roman" w:cs="Times New Roman"/>
                <w:b/>
                <w:bCs/>
                <w:color w:val="FFFFFF"/>
                <w:sz w:val="24"/>
                <w:szCs w:val="24"/>
                <w:lang w:val="en-IN"/>
              </w:rPr>
              <w:t>Particulars</w:t>
            </w:r>
          </w:p>
        </w:tc>
        <w:tc>
          <w:tcPr>
            <w:tcW w:w="843" w:type="dxa"/>
            <w:tcBorders>
              <w:top w:val="double" w:sz="6" w:space="0" w:color="3F3F3F"/>
              <w:left w:val="double" w:sz="6" w:space="0" w:color="3F3F3F"/>
              <w:bottom w:val="double" w:sz="6" w:space="0" w:color="3F3F3F"/>
              <w:right w:val="double" w:sz="6" w:space="0" w:color="3F3F3F"/>
            </w:tcBorders>
            <w:shd w:val="clear" w:color="000000" w:fill="CCC0DA"/>
            <w:noWrap/>
            <w:vAlign w:val="center"/>
            <w:hideMark/>
          </w:tcPr>
          <w:p w14:paraId="0D8C9D00" w14:textId="77777777" w:rsidR="00E058D1" w:rsidRPr="00E058D1" w:rsidRDefault="00E058D1" w:rsidP="00E058D1">
            <w:pPr>
              <w:spacing w:line="240" w:lineRule="auto"/>
              <w:jc w:val="center"/>
              <w:rPr>
                <w:rFonts w:ascii="Times New Roman" w:eastAsia="Times New Roman" w:hAnsi="Times New Roman" w:cs="Times New Roman"/>
                <w:b/>
                <w:bCs/>
                <w:color w:val="000000"/>
                <w:lang w:val="en-IN"/>
              </w:rPr>
            </w:pPr>
            <w:r w:rsidRPr="00E058D1">
              <w:rPr>
                <w:rFonts w:ascii="Times New Roman" w:eastAsia="Times New Roman" w:hAnsi="Times New Roman" w:cs="Times New Roman"/>
                <w:b/>
                <w:bCs/>
                <w:color w:val="000000"/>
                <w:lang w:val="en-IN"/>
              </w:rPr>
              <w:t>2022</w:t>
            </w:r>
          </w:p>
        </w:tc>
        <w:tc>
          <w:tcPr>
            <w:tcW w:w="843" w:type="dxa"/>
            <w:tcBorders>
              <w:top w:val="double" w:sz="6" w:space="0" w:color="3F3F3F"/>
              <w:left w:val="nil"/>
              <w:bottom w:val="double" w:sz="6" w:space="0" w:color="3F3F3F"/>
              <w:right w:val="double" w:sz="6" w:space="0" w:color="3F3F3F"/>
            </w:tcBorders>
            <w:shd w:val="clear" w:color="000000" w:fill="CCC0DA"/>
            <w:noWrap/>
            <w:vAlign w:val="center"/>
            <w:hideMark/>
          </w:tcPr>
          <w:p w14:paraId="666FCA43" w14:textId="77777777" w:rsidR="00E058D1" w:rsidRPr="00E058D1" w:rsidRDefault="00E058D1" w:rsidP="00E058D1">
            <w:pPr>
              <w:spacing w:line="240" w:lineRule="auto"/>
              <w:jc w:val="center"/>
              <w:rPr>
                <w:rFonts w:ascii="Times New Roman" w:eastAsia="Times New Roman" w:hAnsi="Times New Roman" w:cs="Times New Roman"/>
                <w:b/>
                <w:bCs/>
                <w:color w:val="000000"/>
                <w:lang w:val="en-IN"/>
              </w:rPr>
            </w:pPr>
            <w:r w:rsidRPr="00E058D1">
              <w:rPr>
                <w:rFonts w:ascii="Times New Roman" w:eastAsia="Times New Roman" w:hAnsi="Times New Roman" w:cs="Times New Roman"/>
                <w:b/>
                <w:bCs/>
                <w:color w:val="000000"/>
                <w:lang w:val="en-IN"/>
              </w:rPr>
              <w:t>2021</w:t>
            </w:r>
          </w:p>
        </w:tc>
      </w:tr>
      <w:tr w:rsidR="00E058D1" w:rsidRPr="00E058D1" w14:paraId="5FA320BC" w14:textId="77777777" w:rsidTr="00E058D1">
        <w:trPr>
          <w:trHeight w:val="324"/>
        </w:trPr>
        <w:tc>
          <w:tcPr>
            <w:tcW w:w="7470" w:type="dxa"/>
            <w:tcBorders>
              <w:top w:val="nil"/>
              <w:left w:val="single" w:sz="4" w:space="0" w:color="000000"/>
              <w:bottom w:val="single" w:sz="4" w:space="0" w:color="000000"/>
              <w:right w:val="single" w:sz="4" w:space="0" w:color="000000"/>
            </w:tcBorders>
            <w:shd w:val="clear" w:color="CFE2F3" w:fill="002060"/>
            <w:noWrap/>
            <w:vAlign w:val="center"/>
            <w:hideMark/>
          </w:tcPr>
          <w:p w14:paraId="0557B68C" w14:textId="77777777" w:rsidR="00E058D1" w:rsidRPr="00E058D1" w:rsidRDefault="00E058D1" w:rsidP="00E058D1">
            <w:pPr>
              <w:spacing w:line="240" w:lineRule="auto"/>
              <w:jc w:val="center"/>
              <w:rPr>
                <w:rFonts w:ascii="Times New Roman" w:eastAsia="Times New Roman" w:hAnsi="Times New Roman" w:cs="Times New Roman"/>
                <w:color w:val="FFFFFF"/>
                <w:sz w:val="24"/>
                <w:szCs w:val="24"/>
                <w:lang w:val="en-IN"/>
              </w:rPr>
            </w:pPr>
            <w:r w:rsidRPr="00E058D1">
              <w:rPr>
                <w:rFonts w:ascii="Times New Roman" w:eastAsia="Times New Roman" w:hAnsi="Times New Roman" w:cs="Times New Roman"/>
                <w:color w:val="FFFFFF"/>
                <w:sz w:val="24"/>
                <w:szCs w:val="24"/>
                <w:lang w:val="en-IN"/>
              </w:rPr>
              <w:t xml:space="preserve">Net profit </w:t>
            </w:r>
          </w:p>
        </w:tc>
        <w:tc>
          <w:tcPr>
            <w:tcW w:w="843" w:type="dxa"/>
            <w:tcBorders>
              <w:top w:val="single" w:sz="4" w:space="0" w:color="000000"/>
              <w:left w:val="nil"/>
              <w:bottom w:val="single" w:sz="4" w:space="0" w:color="000000"/>
              <w:right w:val="single" w:sz="4" w:space="0" w:color="000000"/>
            </w:tcBorders>
            <w:shd w:val="clear" w:color="CFE2F3" w:fill="002060"/>
            <w:noWrap/>
            <w:vAlign w:val="bottom"/>
            <w:hideMark/>
          </w:tcPr>
          <w:p w14:paraId="1102DF4C" w14:textId="77777777" w:rsidR="00E058D1" w:rsidRPr="00E058D1" w:rsidRDefault="00E058D1" w:rsidP="00E058D1">
            <w:pPr>
              <w:spacing w:line="240" w:lineRule="auto"/>
              <w:jc w:val="right"/>
              <w:rPr>
                <w:rFonts w:ascii="Times New Roman" w:eastAsia="Times New Roman" w:hAnsi="Times New Roman" w:cs="Times New Roman"/>
                <w:color w:val="FFFFFF"/>
                <w:lang w:val="en-IN"/>
              </w:rPr>
            </w:pPr>
            <w:r w:rsidRPr="00E058D1">
              <w:rPr>
                <w:rFonts w:ascii="Times New Roman" w:eastAsia="Times New Roman" w:hAnsi="Times New Roman" w:cs="Times New Roman"/>
                <w:color w:val="FFFFFF"/>
                <w:lang w:val="en-IN"/>
              </w:rPr>
              <w:t>431</w:t>
            </w:r>
          </w:p>
        </w:tc>
        <w:tc>
          <w:tcPr>
            <w:tcW w:w="843" w:type="dxa"/>
            <w:tcBorders>
              <w:top w:val="single" w:sz="4" w:space="0" w:color="000000"/>
              <w:left w:val="nil"/>
              <w:bottom w:val="single" w:sz="4" w:space="0" w:color="000000"/>
              <w:right w:val="single" w:sz="4" w:space="0" w:color="000000"/>
            </w:tcBorders>
            <w:shd w:val="clear" w:color="CFE2F3" w:fill="002060"/>
            <w:noWrap/>
            <w:vAlign w:val="bottom"/>
            <w:hideMark/>
          </w:tcPr>
          <w:p w14:paraId="363D1032" w14:textId="77777777" w:rsidR="00E058D1" w:rsidRPr="00E058D1" w:rsidRDefault="00E058D1" w:rsidP="00E058D1">
            <w:pPr>
              <w:spacing w:line="240" w:lineRule="auto"/>
              <w:jc w:val="right"/>
              <w:rPr>
                <w:rFonts w:ascii="Times New Roman" w:eastAsia="Times New Roman" w:hAnsi="Times New Roman" w:cs="Times New Roman"/>
                <w:color w:val="FFFFFF"/>
                <w:lang w:val="en-IN"/>
              </w:rPr>
            </w:pPr>
            <w:r w:rsidRPr="00E058D1">
              <w:rPr>
                <w:rFonts w:ascii="Times New Roman" w:eastAsia="Times New Roman" w:hAnsi="Times New Roman" w:cs="Times New Roman"/>
                <w:color w:val="FFFFFF"/>
                <w:lang w:val="en-IN"/>
              </w:rPr>
              <w:t>366</w:t>
            </w:r>
          </w:p>
        </w:tc>
      </w:tr>
      <w:tr w:rsidR="00E058D1" w:rsidRPr="00E058D1" w14:paraId="6F4EC3CB" w14:textId="77777777" w:rsidTr="00E058D1">
        <w:trPr>
          <w:trHeight w:val="324"/>
        </w:trPr>
        <w:tc>
          <w:tcPr>
            <w:tcW w:w="7470" w:type="dxa"/>
            <w:tcBorders>
              <w:top w:val="nil"/>
              <w:left w:val="single" w:sz="4" w:space="0" w:color="000000"/>
              <w:bottom w:val="single" w:sz="4" w:space="0" w:color="000000"/>
              <w:right w:val="single" w:sz="4" w:space="0" w:color="000000"/>
            </w:tcBorders>
            <w:shd w:val="clear" w:color="CFE2F3" w:fill="002060"/>
            <w:noWrap/>
            <w:vAlign w:val="center"/>
            <w:hideMark/>
          </w:tcPr>
          <w:p w14:paraId="102BAC95" w14:textId="77777777" w:rsidR="00E058D1" w:rsidRPr="00E058D1" w:rsidRDefault="00E058D1" w:rsidP="00E058D1">
            <w:pPr>
              <w:spacing w:line="240" w:lineRule="auto"/>
              <w:jc w:val="center"/>
              <w:rPr>
                <w:rFonts w:ascii="Times New Roman" w:eastAsia="Times New Roman" w:hAnsi="Times New Roman" w:cs="Times New Roman"/>
                <w:color w:val="FFFFFF"/>
                <w:sz w:val="24"/>
                <w:szCs w:val="24"/>
                <w:lang w:val="en-IN"/>
              </w:rPr>
            </w:pPr>
            <w:r w:rsidRPr="00E058D1">
              <w:rPr>
                <w:rFonts w:ascii="Times New Roman" w:eastAsia="Times New Roman" w:hAnsi="Times New Roman" w:cs="Times New Roman"/>
                <w:color w:val="FFFFFF"/>
                <w:sz w:val="24"/>
                <w:szCs w:val="24"/>
                <w:lang w:val="en-IN"/>
              </w:rPr>
              <w:t>Outstanding shares</w:t>
            </w:r>
          </w:p>
        </w:tc>
        <w:tc>
          <w:tcPr>
            <w:tcW w:w="843" w:type="dxa"/>
            <w:tcBorders>
              <w:top w:val="nil"/>
              <w:left w:val="nil"/>
              <w:bottom w:val="single" w:sz="4" w:space="0" w:color="000000"/>
              <w:right w:val="single" w:sz="4" w:space="0" w:color="000000"/>
            </w:tcBorders>
            <w:shd w:val="clear" w:color="CFE2F3" w:fill="002060"/>
            <w:noWrap/>
            <w:vAlign w:val="bottom"/>
            <w:hideMark/>
          </w:tcPr>
          <w:p w14:paraId="76889343" w14:textId="77777777" w:rsidR="00E058D1" w:rsidRPr="00E058D1" w:rsidRDefault="00E058D1" w:rsidP="00E058D1">
            <w:pPr>
              <w:spacing w:line="240" w:lineRule="auto"/>
              <w:jc w:val="right"/>
              <w:rPr>
                <w:rFonts w:ascii="Times New Roman" w:eastAsia="Times New Roman" w:hAnsi="Times New Roman" w:cs="Times New Roman"/>
                <w:color w:val="FFFFFF"/>
                <w:lang w:val="en-IN"/>
              </w:rPr>
            </w:pPr>
            <w:r w:rsidRPr="00E058D1">
              <w:rPr>
                <w:rFonts w:ascii="Times New Roman" w:eastAsia="Times New Roman" w:hAnsi="Times New Roman" w:cs="Times New Roman"/>
                <w:color w:val="FFFFFF"/>
                <w:lang w:val="en-IN"/>
              </w:rPr>
              <w:t>300</w:t>
            </w:r>
          </w:p>
        </w:tc>
        <w:tc>
          <w:tcPr>
            <w:tcW w:w="843" w:type="dxa"/>
            <w:tcBorders>
              <w:top w:val="nil"/>
              <w:left w:val="nil"/>
              <w:bottom w:val="single" w:sz="4" w:space="0" w:color="000000"/>
              <w:right w:val="single" w:sz="4" w:space="0" w:color="000000"/>
            </w:tcBorders>
            <w:shd w:val="clear" w:color="CFE2F3" w:fill="002060"/>
            <w:noWrap/>
            <w:vAlign w:val="bottom"/>
            <w:hideMark/>
          </w:tcPr>
          <w:p w14:paraId="708667F3" w14:textId="77777777" w:rsidR="00E058D1" w:rsidRPr="00E058D1" w:rsidRDefault="00E058D1" w:rsidP="00E058D1">
            <w:pPr>
              <w:spacing w:line="240" w:lineRule="auto"/>
              <w:jc w:val="right"/>
              <w:rPr>
                <w:rFonts w:ascii="Times New Roman" w:eastAsia="Times New Roman" w:hAnsi="Times New Roman" w:cs="Times New Roman"/>
                <w:color w:val="FFFFFF"/>
                <w:lang w:val="en-IN"/>
              </w:rPr>
            </w:pPr>
            <w:r w:rsidRPr="00E058D1">
              <w:rPr>
                <w:rFonts w:ascii="Times New Roman" w:eastAsia="Times New Roman" w:hAnsi="Times New Roman" w:cs="Times New Roman"/>
                <w:color w:val="FFFFFF"/>
                <w:lang w:val="en-IN"/>
              </w:rPr>
              <w:t>300</w:t>
            </w:r>
          </w:p>
        </w:tc>
      </w:tr>
      <w:tr w:rsidR="00E058D1" w:rsidRPr="00E058D1" w14:paraId="01C14448" w14:textId="77777777" w:rsidTr="00E058D1">
        <w:trPr>
          <w:trHeight w:val="324"/>
        </w:trPr>
        <w:tc>
          <w:tcPr>
            <w:tcW w:w="7470" w:type="dxa"/>
            <w:tcBorders>
              <w:top w:val="nil"/>
              <w:left w:val="single" w:sz="4" w:space="0" w:color="000000"/>
              <w:bottom w:val="single" w:sz="4" w:space="0" w:color="000000"/>
              <w:right w:val="single" w:sz="4" w:space="0" w:color="000000"/>
            </w:tcBorders>
            <w:shd w:val="clear" w:color="CFE2F3" w:fill="002060"/>
            <w:noWrap/>
            <w:vAlign w:val="center"/>
            <w:hideMark/>
          </w:tcPr>
          <w:p w14:paraId="3BBA3FF4" w14:textId="77777777" w:rsidR="00E058D1" w:rsidRPr="00E058D1" w:rsidRDefault="00E058D1" w:rsidP="00E058D1">
            <w:pPr>
              <w:spacing w:line="240" w:lineRule="auto"/>
              <w:jc w:val="center"/>
              <w:rPr>
                <w:rFonts w:ascii="Times New Roman" w:eastAsia="Times New Roman" w:hAnsi="Times New Roman" w:cs="Times New Roman"/>
                <w:color w:val="FFFFFF"/>
                <w:sz w:val="24"/>
                <w:szCs w:val="24"/>
                <w:lang w:val="en-IN"/>
              </w:rPr>
            </w:pPr>
            <w:r w:rsidRPr="00E058D1">
              <w:rPr>
                <w:rFonts w:ascii="Times New Roman" w:eastAsia="Times New Roman" w:hAnsi="Times New Roman" w:cs="Times New Roman"/>
                <w:color w:val="FFFFFF"/>
                <w:sz w:val="24"/>
                <w:szCs w:val="24"/>
                <w:lang w:val="en-IN"/>
              </w:rPr>
              <w:t>Average outstanding shares</w:t>
            </w:r>
          </w:p>
        </w:tc>
        <w:tc>
          <w:tcPr>
            <w:tcW w:w="843" w:type="dxa"/>
            <w:tcBorders>
              <w:top w:val="nil"/>
              <w:left w:val="nil"/>
              <w:bottom w:val="single" w:sz="4" w:space="0" w:color="000000"/>
              <w:right w:val="single" w:sz="4" w:space="0" w:color="000000"/>
            </w:tcBorders>
            <w:shd w:val="clear" w:color="CFE2F3" w:fill="002060"/>
            <w:noWrap/>
            <w:vAlign w:val="bottom"/>
            <w:hideMark/>
          </w:tcPr>
          <w:p w14:paraId="73343B32" w14:textId="77777777" w:rsidR="00E058D1" w:rsidRPr="00E058D1" w:rsidRDefault="00E058D1" w:rsidP="00E058D1">
            <w:pPr>
              <w:spacing w:line="240" w:lineRule="auto"/>
              <w:jc w:val="right"/>
              <w:rPr>
                <w:rFonts w:ascii="Times New Roman" w:eastAsia="Times New Roman" w:hAnsi="Times New Roman" w:cs="Times New Roman"/>
                <w:color w:val="FFFFFF"/>
                <w:lang w:val="en-IN"/>
              </w:rPr>
            </w:pPr>
            <w:r w:rsidRPr="00E058D1">
              <w:rPr>
                <w:rFonts w:ascii="Times New Roman" w:eastAsia="Times New Roman" w:hAnsi="Times New Roman" w:cs="Times New Roman"/>
                <w:color w:val="FFFFFF"/>
                <w:lang w:val="en-IN"/>
              </w:rPr>
              <w:t>300</w:t>
            </w:r>
          </w:p>
        </w:tc>
        <w:tc>
          <w:tcPr>
            <w:tcW w:w="843" w:type="dxa"/>
            <w:tcBorders>
              <w:top w:val="nil"/>
              <w:left w:val="nil"/>
              <w:bottom w:val="single" w:sz="4" w:space="0" w:color="000000"/>
              <w:right w:val="single" w:sz="4" w:space="0" w:color="000000"/>
            </w:tcBorders>
            <w:shd w:val="clear" w:color="CFE2F3" w:fill="002060"/>
            <w:noWrap/>
            <w:vAlign w:val="bottom"/>
            <w:hideMark/>
          </w:tcPr>
          <w:p w14:paraId="35CFD8E9" w14:textId="77777777" w:rsidR="00E058D1" w:rsidRPr="00E058D1" w:rsidRDefault="00E058D1" w:rsidP="00E058D1">
            <w:pPr>
              <w:spacing w:line="240" w:lineRule="auto"/>
              <w:jc w:val="right"/>
              <w:rPr>
                <w:rFonts w:ascii="Times New Roman" w:eastAsia="Times New Roman" w:hAnsi="Times New Roman" w:cs="Times New Roman"/>
                <w:color w:val="FFFFFF"/>
                <w:lang w:val="en-IN"/>
              </w:rPr>
            </w:pPr>
            <w:r w:rsidRPr="00E058D1">
              <w:rPr>
                <w:rFonts w:ascii="Times New Roman" w:eastAsia="Times New Roman" w:hAnsi="Times New Roman" w:cs="Times New Roman"/>
                <w:color w:val="FFFFFF"/>
                <w:lang w:val="en-IN"/>
              </w:rPr>
              <w:t>300</w:t>
            </w:r>
          </w:p>
        </w:tc>
      </w:tr>
      <w:tr w:rsidR="00E058D1" w:rsidRPr="00E058D1" w14:paraId="70B68A9A" w14:textId="77777777" w:rsidTr="00E058D1">
        <w:trPr>
          <w:trHeight w:val="324"/>
        </w:trPr>
        <w:tc>
          <w:tcPr>
            <w:tcW w:w="7470" w:type="dxa"/>
            <w:tcBorders>
              <w:top w:val="nil"/>
              <w:left w:val="single" w:sz="4" w:space="0" w:color="000000"/>
              <w:bottom w:val="single" w:sz="4" w:space="0" w:color="000000"/>
              <w:right w:val="single" w:sz="4" w:space="0" w:color="000000"/>
            </w:tcBorders>
            <w:shd w:val="clear" w:color="CFE2F3" w:fill="002060"/>
            <w:noWrap/>
            <w:vAlign w:val="center"/>
            <w:hideMark/>
          </w:tcPr>
          <w:p w14:paraId="6E652544" w14:textId="77777777" w:rsidR="00E058D1" w:rsidRPr="00E058D1" w:rsidRDefault="00E058D1" w:rsidP="00E058D1">
            <w:pPr>
              <w:spacing w:line="240" w:lineRule="auto"/>
              <w:jc w:val="center"/>
              <w:rPr>
                <w:rFonts w:ascii="Times New Roman" w:eastAsia="Times New Roman" w:hAnsi="Times New Roman" w:cs="Times New Roman"/>
                <w:color w:val="FFFFFF"/>
                <w:sz w:val="24"/>
                <w:szCs w:val="24"/>
                <w:lang w:val="en-IN"/>
              </w:rPr>
            </w:pPr>
            <w:r w:rsidRPr="00E058D1">
              <w:rPr>
                <w:rFonts w:ascii="Times New Roman" w:eastAsia="Times New Roman" w:hAnsi="Times New Roman" w:cs="Times New Roman"/>
                <w:color w:val="FFFFFF"/>
                <w:sz w:val="24"/>
                <w:szCs w:val="24"/>
                <w:lang w:val="en-IN"/>
              </w:rPr>
              <w:t>EPS= Net profit/ Average outstanding shares</w:t>
            </w:r>
          </w:p>
        </w:tc>
        <w:tc>
          <w:tcPr>
            <w:tcW w:w="843" w:type="dxa"/>
            <w:tcBorders>
              <w:top w:val="nil"/>
              <w:left w:val="nil"/>
              <w:bottom w:val="single" w:sz="4" w:space="0" w:color="000000"/>
              <w:right w:val="single" w:sz="4" w:space="0" w:color="000000"/>
            </w:tcBorders>
            <w:shd w:val="clear" w:color="CFE2F3" w:fill="002060"/>
            <w:noWrap/>
            <w:vAlign w:val="bottom"/>
            <w:hideMark/>
          </w:tcPr>
          <w:p w14:paraId="39539ADE" w14:textId="77777777" w:rsidR="00E058D1" w:rsidRPr="00E058D1" w:rsidRDefault="00E058D1" w:rsidP="00E058D1">
            <w:pPr>
              <w:spacing w:line="240" w:lineRule="auto"/>
              <w:jc w:val="right"/>
              <w:rPr>
                <w:rFonts w:ascii="Times New Roman" w:eastAsia="Times New Roman" w:hAnsi="Times New Roman" w:cs="Times New Roman"/>
                <w:color w:val="FFFFFF"/>
                <w:lang w:val="en-IN"/>
              </w:rPr>
            </w:pPr>
            <w:r w:rsidRPr="00E058D1">
              <w:rPr>
                <w:rFonts w:ascii="Times New Roman" w:eastAsia="Times New Roman" w:hAnsi="Times New Roman" w:cs="Times New Roman"/>
                <w:color w:val="FFFFFF"/>
                <w:lang w:val="en-IN"/>
              </w:rPr>
              <w:t>1.44</w:t>
            </w:r>
          </w:p>
        </w:tc>
        <w:tc>
          <w:tcPr>
            <w:tcW w:w="843" w:type="dxa"/>
            <w:tcBorders>
              <w:top w:val="nil"/>
              <w:left w:val="nil"/>
              <w:bottom w:val="single" w:sz="4" w:space="0" w:color="000000"/>
              <w:right w:val="single" w:sz="4" w:space="0" w:color="000000"/>
            </w:tcBorders>
            <w:shd w:val="clear" w:color="CFE2F3" w:fill="002060"/>
            <w:noWrap/>
            <w:vAlign w:val="bottom"/>
            <w:hideMark/>
          </w:tcPr>
          <w:p w14:paraId="5768F61D" w14:textId="77777777" w:rsidR="00E058D1" w:rsidRPr="00E058D1" w:rsidRDefault="00E058D1" w:rsidP="00E058D1">
            <w:pPr>
              <w:spacing w:line="240" w:lineRule="auto"/>
              <w:jc w:val="right"/>
              <w:rPr>
                <w:rFonts w:ascii="Times New Roman" w:eastAsia="Times New Roman" w:hAnsi="Times New Roman" w:cs="Times New Roman"/>
                <w:color w:val="FFFFFF"/>
                <w:lang w:val="en-IN"/>
              </w:rPr>
            </w:pPr>
            <w:r w:rsidRPr="00E058D1">
              <w:rPr>
                <w:rFonts w:ascii="Times New Roman" w:eastAsia="Times New Roman" w:hAnsi="Times New Roman" w:cs="Times New Roman"/>
                <w:color w:val="FFFFFF"/>
                <w:lang w:val="en-IN"/>
              </w:rPr>
              <w:t>1.22</w:t>
            </w:r>
          </w:p>
        </w:tc>
      </w:tr>
    </w:tbl>
    <w:p w14:paraId="66566578" w14:textId="77777777" w:rsidR="00E058D1" w:rsidRDefault="00E058D1">
      <w:pPr>
        <w:spacing w:line="360" w:lineRule="auto"/>
        <w:jc w:val="both"/>
        <w:rPr>
          <w:rFonts w:ascii="Times New Roman" w:eastAsia="Times New Roman" w:hAnsi="Times New Roman" w:cs="Times New Roman"/>
          <w:b/>
          <w:i/>
          <w:sz w:val="24"/>
          <w:szCs w:val="24"/>
        </w:rPr>
      </w:pPr>
    </w:p>
    <w:p w14:paraId="104AC16C" w14:textId="77777777" w:rsidR="00831E1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4- Net profit margin:</w:t>
      </w:r>
    </w:p>
    <w:p w14:paraId="1EEB0EFF"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profit margin projects how effectively a company generates net profit from its sales revenue. Net profit is divided by total sales revenue to calculate the net profit margin of the business (McLaney, 2005). A higher net profit margin resembles improved profitability of the business. </w:t>
      </w:r>
    </w:p>
    <w:tbl>
      <w:tblPr>
        <w:tblW w:w="9228" w:type="dxa"/>
        <w:tblLook w:val="04A0" w:firstRow="1" w:lastRow="0" w:firstColumn="1" w:lastColumn="0" w:noHBand="0" w:noVBand="1"/>
      </w:tblPr>
      <w:tblGrid>
        <w:gridCol w:w="7190"/>
        <w:gridCol w:w="1018"/>
        <w:gridCol w:w="1020"/>
      </w:tblGrid>
      <w:tr w:rsidR="00E058D1" w:rsidRPr="00E058D1" w14:paraId="06E2466C" w14:textId="77777777" w:rsidTr="00FB2FC9">
        <w:trPr>
          <w:trHeight w:val="357"/>
        </w:trPr>
        <w:tc>
          <w:tcPr>
            <w:tcW w:w="9228" w:type="dxa"/>
            <w:gridSpan w:val="3"/>
            <w:tcBorders>
              <w:top w:val="single" w:sz="4" w:space="0" w:color="000000"/>
              <w:left w:val="single" w:sz="4" w:space="0" w:color="000000"/>
              <w:bottom w:val="single" w:sz="4" w:space="0" w:color="000000"/>
              <w:right w:val="single" w:sz="4" w:space="0" w:color="000000"/>
            </w:tcBorders>
            <w:shd w:val="clear" w:color="000000" w:fill="F79646"/>
            <w:noWrap/>
            <w:vAlign w:val="center"/>
            <w:hideMark/>
          </w:tcPr>
          <w:p w14:paraId="79B74516" w14:textId="77777777" w:rsidR="00E058D1" w:rsidRPr="00E058D1" w:rsidRDefault="00E058D1" w:rsidP="00FB2FC9">
            <w:pPr>
              <w:spacing w:line="360" w:lineRule="auto"/>
              <w:jc w:val="center"/>
              <w:rPr>
                <w:rFonts w:ascii="Times New Roman" w:eastAsia="Times New Roman" w:hAnsi="Times New Roman" w:cs="Times New Roman"/>
                <w:b/>
                <w:bCs/>
                <w:color w:val="002060"/>
                <w:sz w:val="24"/>
                <w:szCs w:val="24"/>
                <w:lang w:val="en-IN"/>
              </w:rPr>
            </w:pPr>
            <w:r w:rsidRPr="00E058D1">
              <w:rPr>
                <w:rFonts w:ascii="Times New Roman" w:eastAsia="Times New Roman" w:hAnsi="Times New Roman" w:cs="Times New Roman"/>
                <w:b/>
                <w:bCs/>
                <w:color w:val="002060"/>
                <w:sz w:val="24"/>
                <w:szCs w:val="24"/>
                <w:lang w:val="en-IN"/>
              </w:rPr>
              <w:t>Net profit margin</w:t>
            </w:r>
          </w:p>
        </w:tc>
      </w:tr>
      <w:tr w:rsidR="00E058D1" w:rsidRPr="00E058D1" w14:paraId="662E129F" w14:textId="77777777" w:rsidTr="00FB2FC9">
        <w:trPr>
          <w:trHeight w:val="357"/>
        </w:trPr>
        <w:tc>
          <w:tcPr>
            <w:tcW w:w="7190" w:type="dxa"/>
            <w:tcBorders>
              <w:top w:val="nil"/>
              <w:left w:val="single" w:sz="4" w:space="0" w:color="000000"/>
              <w:bottom w:val="single" w:sz="4" w:space="0" w:color="000000"/>
              <w:right w:val="single" w:sz="4" w:space="0" w:color="000000"/>
            </w:tcBorders>
            <w:shd w:val="clear" w:color="000000" w:fill="F79646"/>
            <w:noWrap/>
            <w:vAlign w:val="center"/>
            <w:hideMark/>
          </w:tcPr>
          <w:p w14:paraId="31B4403A" w14:textId="77777777" w:rsidR="00E058D1" w:rsidRPr="00E058D1" w:rsidRDefault="00E058D1" w:rsidP="00FB2FC9">
            <w:pPr>
              <w:spacing w:line="360" w:lineRule="auto"/>
              <w:jc w:val="center"/>
              <w:rPr>
                <w:rFonts w:ascii="Times New Roman" w:eastAsia="Times New Roman" w:hAnsi="Times New Roman" w:cs="Times New Roman"/>
                <w:b/>
                <w:bCs/>
                <w:color w:val="002060"/>
                <w:sz w:val="24"/>
                <w:szCs w:val="24"/>
                <w:lang w:val="en-IN"/>
              </w:rPr>
            </w:pPr>
            <w:r w:rsidRPr="00E058D1">
              <w:rPr>
                <w:rFonts w:ascii="Times New Roman" w:eastAsia="Times New Roman" w:hAnsi="Times New Roman" w:cs="Times New Roman"/>
                <w:b/>
                <w:bCs/>
                <w:color w:val="002060"/>
                <w:sz w:val="24"/>
                <w:szCs w:val="24"/>
                <w:lang w:val="en-IN"/>
              </w:rPr>
              <w:t>Particulars</w:t>
            </w:r>
          </w:p>
        </w:tc>
        <w:tc>
          <w:tcPr>
            <w:tcW w:w="1018" w:type="dxa"/>
            <w:tcBorders>
              <w:top w:val="double" w:sz="6" w:space="0" w:color="3F3F3F"/>
              <w:left w:val="double" w:sz="6" w:space="0" w:color="3F3F3F"/>
              <w:bottom w:val="double" w:sz="6" w:space="0" w:color="3F3F3F"/>
              <w:right w:val="double" w:sz="6" w:space="0" w:color="3F3F3F"/>
            </w:tcBorders>
            <w:shd w:val="clear" w:color="000000" w:fill="CCC0DA"/>
            <w:noWrap/>
            <w:vAlign w:val="center"/>
            <w:hideMark/>
          </w:tcPr>
          <w:p w14:paraId="6B10C43D" w14:textId="77777777" w:rsidR="00E058D1" w:rsidRPr="00E058D1" w:rsidRDefault="00E058D1" w:rsidP="00FB2FC9">
            <w:pPr>
              <w:spacing w:line="360" w:lineRule="auto"/>
              <w:jc w:val="center"/>
              <w:rPr>
                <w:rFonts w:ascii="Times New Roman" w:eastAsia="Times New Roman" w:hAnsi="Times New Roman" w:cs="Times New Roman"/>
                <w:b/>
                <w:bCs/>
                <w:color w:val="000000"/>
                <w:sz w:val="24"/>
                <w:szCs w:val="24"/>
                <w:lang w:val="en-IN"/>
              </w:rPr>
            </w:pPr>
            <w:r w:rsidRPr="00E058D1">
              <w:rPr>
                <w:rFonts w:ascii="Times New Roman" w:eastAsia="Times New Roman" w:hAnsi="Times New Roman" w:cs="Times New Roman"/>
                <w:b/>
                <w:bCs/>
                <w:color w:val="000000"/>
                <w:sz w:val="24"/>
                <w:szCs w:val="24"/>
                <w:lang w:val="en-IN"/>
              </w:rPr>
              <w:t>2022</w:t>
            </w:r>
          </w:p>
        </w:tc>
        <w:tc>
          <w:tcPr>
            <w:tcW w:w="1019" w:type="dxa"/>
            <w:tcBorders>
              <w:top w:val="double" w:sz="6" w:space="0" w:color="3F3F3F"/>
              <w:left w:val="nil"/>
              <w:bottom w:val="double" w:sz="6" w:space="0" w:color="3F3F3F"/>
              <w:right w:val="double" w:sz="6" w:space="0" w:color="3F3F3F"/>
            </w:tcBorders>
            <w:shd w:val="clear" w:color="000000" w:fill="CCC0DA"/>
            <w:noWrap/>
            <w:vAlign w:val="center"/>
            <w:hideMark/>
          </w:tcPr>
          <w:p w14:paraId="7D4549D3" w14:textId="77777777" w:rsidR="00E058D1" w:rsidRPr="00E058D1" w:rsidRDefault="00E058D1" w:rsidP="00FB2FC9">
            <w:pPr>
              <w:spacing w:line="360" w:lineRule="auto"/>
              <w:jc w:val="center"/>
              <w:rPr>
                <w:rFonts w:ascii="Times New Roman" w:eastAsia="Times New Roman" w:hAnsi="Times New Roman" w:cs="Times New Roman"/>
                <w:b/>
                <w:bCs/>
                <w:color w:val="000000"/>
                <w:sz w:val="24"/>
                <w:szCs w:val="24"/>
                <w:lang w:val="en-IN"/>
              </w:rPr>
            </w:pPr>
            <w:r w:rsidRPr="00E058D1">
              <w:rPr>
                <w:rFonts w:ascii="Times New Roman" w:eastAsia="Times New Roman" w:hAnsi="Times New Roman" w:cs="Times New Roman"/>
                <w:b/>
                <w:bCs/>
                <w:color w:val="000000"/>
                <w:sz w:val="24"/>
                <w:szCs w:val="24"/>
                <w:lang w:val="en-IN"/>
              </w:rPr>
              <w:t>2021</w:t>
            </w:r>
          </w:p>
        </w:tc>
      </w:tr>
      <w:tr w:rsidR="00E058D1" w:rsidRPr="00E058D1" w14:paraId="1C1782D4" w14:textId="77777777" w:rsidTr="00FB2FC9">
        <w:trPr>
          <w:trHeight w:val="357"/>
        </w:trPr>
        <w:tc>
          <w:tcPr>
            <w:tcW w:w="7190" w:type="dxa"/>
            <w:tcBorders>
              <w:top w:val="nil"/>
              <w:left w:val="single" w:sz="4" w:space="0" w:color="000000"/>
              <w:bottom w:val="single" w:sz="4" w:space="0" w:color="000000"/>
              <w:right w:val="single" w:sz="4" w:space="0" w:color="000000"/>
            </w:tcBorders>
            <w:shd w:val="clear" w:color="000000" w:fill="F79646"/>
            <w:noWrap/>
            <w:vAlign w:val="center"/>
            <w:hideMark/>
          </w:tcPr>
          <w:p w14:paraId="108D380E" w14:textId="77777777" w:rsidR="00E058D1" w:rsidRPr="00E058D1" w:rsidRDefault="00E058D1" w:rsidP="00FB2FC9">
            <w:pPr>
              <w:spacing w:line="360" w:lineRule="auto"/>
              <w:jc w:val="center"/>
              <w:rPr>
                <w:rFonts w:ascii="Times New Roman" w:eastAsia="Times New Roman" w:hAnsi="Times New Roman" w:cs="Times New Roman"/>
                <w:color w:val="000000" w:themeColor="text1"/>
                <w:sz w:val="24"/>
                <w:szCs w:val="24"/>
                <w:lang w:val="en-IN"/>
              </w:rPr>
            </w:pPr>
            <w:r w:rsidRPr="00E058D1">
              <w:rPr>
                <w:rFonts w:ascii="Times New Roman" w:eastAsia="Times New Roman" w:hAnsi="Times New Roman" w:cs="Times New Roman"/>
                <w:color w:val="000000" w:themeColor="text1"/>
                <w:sz w:val="24"/>
                <w:szCs w:val="24"/>
                <w:lang w:val="en-IN"/>
              </w:rPr>
              <w:t>Net profit</w:t>
            </w:r>
          </w:p>
        </w:tc>
        <w:tc>
          <w:tcPr>
            <w:tcW w:w="1018" w:type="dxa"/>
            <w:tcBorders>
              <w:top w:val="single" w:sz="4" w:space="0" w:color="000000"/>
              <w:left w:val="nil"/>
              <w:bottom w:val="single" w:sz="4" w:space="0" w:color="000000"/>
              <w:right w:val="single" w:sz="4" w:space="0" w:color="000000"/>
            </w:tcBorders>
            <w:shd w:val="clear" w:color="000000" w:fill="F79646"/>
            <w:noWrap/>
            <w:vAlign w:val="center"/>
            <w:hideMark/>
          </w:tcPr>
          <w:p w14:paraId="14AC1FD8" w14:textId="77777777" w:rsidR="00E058D1" w:rsidRPr="00E058D1" w:rsidRDefault="00E058D1" w:rsidP="00FB2FC9">
            <w:pPr>
              <w:spacing w:line="360" w:lineRule="auto"/>
              <w:jc w:val="center"/>
              <w:rPr>
                <w:rFonts w:ascii="Times New Roman" w:eastAsia="Times New Roman" w:hAnsi="Times New Roman" w:cs="Times New Roman"/>
                <w:color w:val="000000" w:themeColor="text1"/>
                <w:sz w:val="24"/>
                <w:szCs w:val="24"/>
                <w:lang w:val="en-IN"/>
              </w:rPr>
            </w:pPr>
            <w:r w:rsidRPr="00E058D1">
              <w:rPr>
                <w:rFonts w:ascii="Times New Roman" w:eastAsia="Times New Roman" w:hAnsi="Times New Roman" w:cs="Times New Roman"/>
                <w:color w:val="000000" w:themeColor="text1"/>
                <w:sz w:val="24"/>
                <w:szCs w:val="24"/>
                <w:lang w:val="en-IN"/>
              </w:rPr>
              <w:t>431</w:t>
            </w:r>
          </w:p>
        </w:tc>
        <w:tc>
          <w:tcPr>
            <w:tcW w:w="1019" w:type="dxa"/>
            <w:tcBorders>
              <w:top w:val="single" w:sz="4" w:space="0" w:color="000000"/>
              <w:left w:val="nil"/>
              <w:bottom w:val="single" w:sz="4" w:space="0" w:color="000000"/>
              <w:right w:val="single" w:sz="4" w:space="0" w:color="000000"/>
            </w:tcBorders>
            <w:shd w:val="clear" w:color="000000" w:fill="F79646"/>
            <w:noWrap/>
            <w:vAlign w:val="center"/>
            <w:hideMark/>
          </w:tcPr>
          <w:p w14:paraId="2A4E6222" w14:textId="77777777" w:rsidR="00E058D1" w:rsidRPr="00E058D1" w:rsidRDefault="00E058D1" w:rsidP="00FB2FC9">
            <w:pPr>
              <w:spacing w:line="360" w:lineRule="auto"/>
              <w:jc w:val="center"/>
              <w:rPr>
                <w:rFonts w:ascii="Times New Roman" w:eastAsia="Times New Roman" w:hAnsi="Times New Roman" w:cs="Times New Roman"/>
                <w:color w:val="000000" w:themeColor="text1"/>
                <w:sz w:val="24"/>
                <w:szCs w:val="24"/>
                <w:lang w:val="en-IN"/>
              </w:rPr>
            </w:pPr>
            <w:r w:rsidRPr="00E058D1">
              <w:rPr>
                <w:rFonts w:ascii="Times New Roman" w:eastAsia="Times New Roman" w:hAnsi="Times New Roman" w:cs="Times New Roman"/>
                <w:color w:val="000000" w:themeColor="text1"/>
                <w:sz w:val="24"/>
                <w:szCs w:val="24"/>
                <w:lang w:val="en-IN"/>
              </w:rPr>
              <w:t>366</w:t>
            </w:r>
          </w:p>
        </w:tc>
      </w:tr>
      <w:tr w:rsidR="00E058D1" w:rsidRPr="00E058D1" w14:paraId="030C50A8" w14:textId="77777777" w:rsidTr="00FB2FC9">
        <w:trPr>
          <w:trHeight w:val="527"/>
        </w:trPr>
        <w:tc>
          <w:tcPr>
            <w:tcW w:w="7190" w:type="dxa"/>
            <w:tcBorders>
              <w:top w:val="nil"/>
              <w:left w:val="single" w:sz="4" w:space="0" w:color="000000"/>
              <w:bottom w:val="single" w:sz="4" w:space="0" w:color="000000"/>
              <w:right w:val="single" w:sz="4" w:space="0" w:color="000000"/>
            </w:tcBorders>
            <w:shd w:val="clear" w:color="000000" w:fill="F79646"/>
            <w:noWrap/>
            <w:vAlign w:val="center"/>
            <w:hideMark/>
          </w:tcPr>
          <w:p w14:paraId="4D02B5A3" w14:textId="77777777" w:rsidR="00E058D1" w:rsidRPr="00E058D1" w:rsidRDefault="00E058D1" w:rsidP="00FB2FC9">
            <w:pPr>
              <w:spacing w:line="360" w:lineRule="auto"/>
              <w:jc w:val="center"/>
              <w:rPr>
                <w:rFonts w:ascii="Times New Roman" w:eastAsia="Times New Roman" w:hAnsi="Times New Roman" w:cs="Times New Roman"/>
                <w:color w:val="000000" w:themeColor="text1"/>
                <w:sz w:val="24"/>
                <w:szCs w:val="24"/>
                <w:lang w:val="en-IN"/>
              </w:rPr>
            </w:pPr>
            <w:r w:rsidRPr="00E058D1">
              <w:rPr>
                <w:rFonts w:ascii="Times New Roman" w:eastAsia="Times New Roman" w:hAnsi="Times New Roman" w:cs="Times New Roman"/>
                <w:color w:val="000000" w:themeColor="text1"/>
                <w:sz w:val="24"/>
                <w:szCs w:val="24"/>
                <w:lang w:val="en-IN"/>
              </w:rPr>
              <w:t>Total revenue</w:t>
            </w:r>
          </w:p>
        </w:tc>
        <w:tc>
          <w:tcPr>
            <w:tcW w:w="1018" w:type="dxa"/>
            <w:tcBorders>
              <w:top w:val="nil"/>
              <w:left w:val="nil"/>
              <w:bottom w:val="single" w:sz="4" w:space="0" w:color="000000"/>
              <w:right w:val="single" w:sz="4" w:space="0" w:color="000000"/>
            </w:tcBorders>
            <w:shd w:val="clear" w:color="000000" w:fill="F79646"/>
            <w:noWrap/>
            <w:vAlign w:val="center"/>
            <w:hideMark/>
          </w:tcPr>
          <w:p w14:paraId="7BFF1803" w14:textId="77777777" w:rsidR="00E058D1" w:rsidRPr="00E058D1" w:rsidRDefault="00E058D1" w:rsidP="00FB2FC9">
            <w:pPr>
              <w:spacing w:line="360" w:lineRule="auto"/>
              <w:jc w:val="center"/>
              <w:rPr>
                <w:rFonts w:ascii="Times New Roman" w:eastAsia="Times New Roman" w:hAnsi="Times New Roman" w:cs="Times New Roman"/>
                <w:color w:val="000000" w:themeColor="text1"/>
                <w:sz w:val="24"/>
                <w:szCs w:val="24"/>
                <w:lang w:val="en-IN"/>
              </w:rPr>
            </w:pPr>
            <w:r w:rsidRPr="00E058D1">
              <w:rPr>
                <w:rFonts w:ascii="Times New Roman" w:eastAsia="Times New Roman" w:hAnsi="Times New Roman" w:cs="Times New Roman"/>
                <w:color w:val="000000" w:themeColor="text1"/>
                <w:sz w:val="24"/>
                <w:szCs w:val="24"/>
                <w:lang w:val="en-IN"/>
              </w:rPr>
              <w:t>6738</w:t>
            </w:r>
          </w:p>
        </w:tc>
        <w:tc>
          <w:tcPr>
            <w:tcW w:w="1019" w:type="dxa"/>
            <w:tcBorders>
              <w:top w:val="nil"/>
              <w:left w:val="nil"/>
              <w:bottom w:val="single" w:sz="4" w:space="0" w:color="000000"/>
              <w:right w:val="single" w:sz="4" w:space="0" w:color="000000"/>
            </w:tcBorders>
            <w:shd w:val="clear" w:color="000000" w:fill="F79646"/>
            <w:noWrap/>
            <w:vAlign w:val="center"/>
            <w:hideMark/>
          </w:tcPr>
          <w:p w14:paraId="04491737" w14:textId="77777777" w:rsidR="00E058D1" w:rsidRPr="00E058D1" w:rsidRDefault="00E058D1" w:rsidP="00FB2FC9">
            <w:pPr>
              <w:spacing w:line="360" w:lineRule="auto"/>
              <w:jc w:val="center"/>
              <w:rPr>
                <w:rFonts w:ascii="Times New Roman" w:eastAsia="Times New Roman" w:hAnsi="Times New Roman" w:cs="Times New Roman"/>
                <w:color w:val="000000" w:themeColor="text1"/>
                <w:sz w:val="24"/>
                <w:szCs w:val="24"/>
                <w:lang w:val="en-IN"/>
              </w:rPr>
            </w:pPr>
            <w:r w:rsidRPr="00E058D1">
              <w:rPr>
                <w:rFonts w:ascii="Times New Roman" w:eastAsia="Times New Roman" w:hAnsi="Times New Roman" w:cs="Times New Roman"/>
                <w:color w:val="000000" w:themeColor="text1"/>
                <w:sz w:val="24"/>
                <w:szCs w:val="24"/>
                <w:lang w:val="en-IN"/>
              </w:rPr>
              <w:t>6441</w:t>
            </w:r>
          </w:p>
        </w:tc>
      </w:tr>
      <w:tr w:rsidR="00E058D1" w:rsidRPr="00E058D1" w14:paraId="47E3062A" w14:textId="77777777" w:rsidTr="00FB2FC9">
        <w:trPr>
          <w:trHeight w:val="357"/>
        </w:trPr>
        <w:tc>
          <w:tcPr>
            <w:tcW w:w="7190" w:type="dxa"/>
            <w:tcBorders>
              <w:top w:val="nil"/>
              <w:left w:val="single" w:sz="4" w:space="0" w:color="000000"/>
              <w:bottom w:val="single" w:sz="4" w:space="0" w:color="000000"/>
              <w:right w:val="single" w:sz="4" w:space="0" w:color="000000"/>
            </w:tcBorders>
            <w:shd w:val="clear" w:color="000000" w:fill="F79646"/>
            <w:noWrap/>
            <w:vAlign w:val="center"/>
            <w:hideMark/>
          </w:tcPr>
          <w:p w14:paraId="0A7EEEF0" w14:textId="77777777" w:rsidR="00E058D1" w:rsidRPr="00E058D1" w:rsidRDefault="00E058D1" w:rsidP="00FB2FC9">
            <w:pPr>
              <w:spacing w:line="360" w:lineRule="auto"/>
              <w:jc w:val="center"/>
              <w:rPr>
                <w:rFonts w:ascii="Times New Roman" w:eastAsia="Times New Roman" w:hAnsi="Times New Roman" w:cs="Times New Roman"/>
                <w:color w:val="000000" w:themeColor="text1"/>
                <w:sz w:val="24"/>
                <w:szCs w:val="24"/>
                <w:lang w:val="en-IN"/>
              </w:rPr>
            </w:pPr>
            <w:r w:rsidRPr="00E058D1">
              <w:rPr>
                <w:rFonts w:ascii="Times New Roman" w:eastAsia="Times New Roman" w:hAnsi="Times New Roman" w:cs="Times New Roman"/>
                <w:color w:val="000000" w:themeColor="text1"/>
                <w:sz w:val="24"/>
                <w:szCs w:val="24"/>
                <w:lang w:val="en-IN"/>
              </w:rPr>
              <w:lastRenderedPageBreak/>
              <w:t>Net profit margin= (net profit /revenue)*100</w:t>
            </w:r>
          </w:p>
        </w:tc>
        <w:tc>
          <w:tcPr>
            <w:tcW w:w="1018" w:type="dxa"/>
            <w:tcBorders>
              <w:top w:val="nil"/>
              <w:left w:val="nil"/>
              <w:bottom w:val="single" w:sz="4" w:space="0" w:color="000000"/>
              <w:right w:val="single" w:sz="4" w:space="0" w:color="000000"/>
            </w:tcBorders>
            <w:shd w:val="clear" w:color="000000" w:fill="F79646"/>
            <w:noWrap/>
            <w:vAlign w:val="center"/>
            <w:hideMark/>
          </w:tcPr>
          <w:p w14:paraId="42A11F9E" w14:textId="77777777" w:rsidR="00E058D1" w:rsidRPr="00E058D1" w:rsidRDefault="00E058D1" w:rsidP="00FB2FC9">
            <w:pPr>
              <w:spacing w:line="360" w:lineRule="auto"/>
              <w:jc w:val="center"/>
              <w:rPr>
                <w:rFonts w:ascii="Times New Roman" w:eastAsia="Times New Roman" w:hAnsi="Times New Roman" w:cs="Times New Roman"/>
                <w:color w:val="000000" w:themeColor="text1"/>
                <w:sz w:val="24"/>
                <w:szCs w:val="24"/>
                <w:lang w:val="en-IN"/>
              </w:rPr>
            </w:pPr>
            <w:r w:rsidRPr="00E058D1">
              <w:rPr>
                <w:rFonts w:ascii="Times New Roman" w:eastAsia="Times New Roman" w:hAnsi="Times New Roman" w:cs="Times New Roman"/>
                <w:color w:val="000000" w:themeColor="text1"/>
                <w:sz w:val="24"/>
                <w:szCs w:val="24"/>
                <w:lang w:val="en-IN"/>
              </w:rPr>
              <w:t>6.40%</w:t>
            </w:r>
          </w:p>
        </w:tc>
        <w:tc>
          <w:tcPr>
            <w:tcW w:w="1019" w:type="dxa"/>
            <w:tcBorders>
              <w:top w:val="nil"/>
              <w:left w:val="nil"/>
              <w:bottom w:val="single" w:sz="4" w:space="0" w:color="000000"/>
              <w:right w:val="single" w:sz="4" w:space="0" w:color="000000"/>
            </w:tcBorders>
            <w:shd w:val="clear" w:color="000000" w:fill="F79646"/>
            <w:noWrap/>
            <w:vAlign w:val="center"/>
            <w:hideMark/>
          </w:tcPr>
          <w:p w14:paraId="3A46C43C" w14:textId="77777777" w:rsidR="00E058D1" w:rsidRPr="00E058D1" w:rsidRDefault="00E058D1" w:rsidP="00FB2FC9">
            <w:pPr>
              <w:spacing w:line="360" w:lineRule="auto"/>
              <w:jc w:val="center"/>
              <w:rPr>
                <w:rFonts w:ascii="Times New Roman" w:eastAsia="Times New Roman" w:hAnsi="Times New Roman" w:cs="Times New Roman"/>
                <w:color w:val="000000" w:themeColor="text1"/>
                <w:sz w:val="24"/>
                <w:szCs w:val="24"/>
                <w:lang w:val="en-IN"/>
              </w:rPr>
            </w:pPr>
            <w:r w:rsidRPr="00E058D1">
              <w:rPr>
                <w:rFonts w:ascii="Times New Roman" w:eastAsia="Times New Roman" w:hAnsi="Times New Roman" w:cs="Times New Roman"/>
                <w:color w:val="000000" w:themeColor="text1"/>
                <w:sz w:val="24"/>
                <w:szCs w:val="24"/>
                <w:lang w:val="en-IN"/>
              </w:rPr>
              <w:t>5.68%</w:t>
            </w:r>
          </w:p>
        </w:tc>
      </w:tr>
    </w:tbl>
    <w:p w14:paraId="3AAB2068" w14:textId="77777777" w:rsidR="00831E18" w:rsidRDefault="00831E18">
      <w:pPr>
        <w:spacing w:line="360" w:lineRule="auto"/>
        <w:jc w:val="both"/>
        <w:rPr>
          <w:rFonts w:ascii="Times New Roman" w:eastAsia="Times New Roman" w:hAnsi="Times New Roman" w:cs="Times New Roman"/>
          <w:b/>
          <w:i/>
          <w:sz w:val="24"/>
          <w:szCs w:val="24"/>
        </w:rPr>
      </w:pPr>
    </w:p>
    <w:p w14:paraId="52071277" w14:textId="77777777" w:rsidR="00831E1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5- Assets turnover:</w:t>
      </w:r>
    </w:p>
    <w:p w14:paraId="745C5384"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assets turnover ratio is used to measure the ability of a business to produce sales revenue in relation to its assets. When the ratio is higher, it signifies that the company uses its assets efficiently to generate more sales. However, the underutilization or misutilization of assets is showcased by a small assets turnover ratio (Forage, 2023).   </w:t>
      </w:r>
    </w:p>
    <w:tbl>
      <w:tblPr>
        <w:tblStyle w:val="GridTable4-Accent3"/>
        <w:tblW w:w="9240" w:type="dxa"/>
        <w:tblLook w:val="04A0" w:firstRow="1" w:lastRow="0" w:firstColumn="1" w:lastColumn="0" w:noHBand="0" w:noVBand="1"/>
      </w:tblPr>
      <w:tblGrid>
        <w:gridCol w:w="7146"/>
        <w:gridCol w:w="947"/>
        <w:gridCol w:w="1147"/>
      </w:tblGrid>
      <w:tr w:rsidR="00E058D1" w:rsidRPr="00E058D1" w14:paraId="05F0F663" w14:textId="77777777" w:rsidTr="00E058D1">
        <w:trPr>
          <w:cnfStyle w:val="100000000000" w:firstRow="1" w:lastRow="0" w:firstColumn="0" w:lastColumn="0" w:oddVBand="0" w:evenVBand="0" w:oddHBand="0"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9240" w:type="dxa"/>
            <w:gridSpan w:val="3"/>
            <w:tcBorders>
              <w:top w:val="single" w:sz="4" w:space="0" w:color="auto"/>
              <w:left w:val="single" w:sz="4" w:space="0" w:color="auto"/>
              <w:right w:val="single" w:sz="4" w:space="0" w:color="auto"/>
            </w:tcBorders>
            <w:noWrap/>
            <w:hideMark/>
          </w:tcPr>
          <w:p w14:paraId="0FA9F38C" w14:textId="77777777" w:rsidR="00E058D1" w:rsidRPr="00E058D1" w:rsidRDefault="00E058D1" w:rsidP="00E058D1">
            <w:pPr>
              <w:jc w:val="center"/>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Asset turnover</w:t>
            </w:r>
          </w:p>
        </w:tc>
      </w:tr>
      <w:tr w:rsidR="00E058D1" w:rsidRPr="00E058D1" w14:paraId="2F4DFB13" w14:textId="77777777" w:rsidTr="00E058D1">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7146" w:type="dxa"/>
            <w:tcBorders>
              <w:left w:val="single" w:sz="4" w:space="0" w:color="auto"/>
            </w:tcBorders>
            <w:noWrap/>
            <w:hideMark/>
          </w:tcPr>
          <w:p w14:paraId="0828F41B" w14:textId="77777777" w:rsidR="00E058D1" w:rsidRPr="00E058D1" w:rsidRDefault="00E058D1" w:rsidP="00E058D1">
            <w:pPr>
              <w:jc w:val="center"/>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Particulars</w:t>
            </w:r>
          </w:p>
        </w:tc>
        <w:tc>
          <w:tcPr>
            <w:tcW w:w="947" w:type="dxa"/>
            <w:noWrap/>
            <w:hideMark/>
          </w:tcPr>
          <w:p w14:paraId="262975DE" w14:textId="77777777" w:rsidR="00E058D1" w:rsidRPr="00E058D1" w:rsidRDefault="00E058D1" w:rsidP="00E058D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val="en-IN"/>
              </w:rPr>
            </w:pPr>
            <w:r w:rsidRPr="00E058D1">
              <w:rPr>
                <w:rFonts w:ascii="Calibri" w:eastAsia="Times New Roman" w:hAnsi="Calibri" w:cs="Calibri"/>
                <w:b/>
                <w:bCs/>
                <w:color w:val="000000"/>
                <w:lang w:val="en-IN"/>
              </w:rPr>
              <w:t>2022</w:t>
            </w:r>
          </w:p>
        </w:tc>
        <w:tc>
          <w:tcPr>
            <w:tcW w:w="1147" w:type="dxa"/>
            <w:tcBorders>
              <w:right w:val="single" w:sz="4" w:space="0" w:color="auto"/>
            </w:tcBorders>
            <w:noWrap/>
            <w:hideMark/>
          </w:tcPr>
          <w:p w14:paraId="1F9B991F" w14:textId="77777777" w:rsidR="00E058D1" w:rsidRPr="00E058D1" w:rsidRDefault="00E058D1" w:rsidP="00E058D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val="en-IN"/>
              </w:rPr>
            </w:pPr>
            <w:r w:rsidRPr="00E058D1">
              <w:rPr>
                <w:rFonts w:ascii="Calibri" w:eastAsia="Times New Roman" w:hAnsi="Calibri" w:cs="Calibri"/>
                <w:b/>
                <w:bCs/>
                <w:color w:val="000000"/>
                <w:lang w:val="en-IN"/>
              </w:rPr>
              <w:t>2021</w:t>
            </w:r>
          </w:p>
        </w:tc>
      </w:tr>
      <w:tr w:rsidR="00E058D1" w:rsidRPr="00E058D1" w14:paraId="039030AF" w14:textId="77777777" w:rsidTr="00E058D1">
        <w:trPr>
          <w:trHeight w:val="591"/>
        </w:trPr>
        <w:tc>
          <w:tcPr>
            <w:cnfStyle w:val="001000000000" w:firstRow="0" w:lastRow="0" w:firstColumn="1" w:lastColumn="0" w:oddVBand="0" w:evenVBand="0" w:oddHBand="0" w:evenHBand="0" w:firstRowFirstColumn="0" w:firstRowLastColumn="0" w:lastRowFirstColumn="0" w:lastRowLastColumn="0"/>
            <w:tcW w:w="7146" w:type="dxa"/>
            <w:tcBorders>
              <w:left w:val="single" w:sz="4" w:space="0" w:color="auto"/>
            </w:tcBorders>
            <w:noWrap/>
            <w:hideMark/>
          </w:tcPr>
          <w:p w14:paraId="5DA5E64F" w14:textId="77777777" w:rsidR="00E058D1" w:rsidRPr="00E058D1" w:rsidRDefault="00E058D1" w:rsidP="00E058D1">
            <w:pPr>
              <w:jc w:val="center"/>
              <w:rPr>
                <w:rFonts w:ascii="Times New Roman" w:eastAsia="Times New Roman" w:hAnsi="Times New Roman" w:cs="Times New Roman"/>
                <w:b w:val="0"/>
                <w:bCs w:val="0"/>
                <w:color w:val="000000"/>
                <w:sz w:val="24"/>
                <w:szCs w:val="24"/>
                <w:lang w:val="en-IN"/>
              </w:rPr>
            </w:pPr>
            <w:r w:rsidRPr="00E058D1">
              <w:rPr>
                <w:rFonts w:ascii="Times New Roman" w:eastAsia="Times New Roman" w:hAnsi="Times New Roman" w:cs="Times New Roman"/>
                <w:b w:val="0"/>
                <w:bCs w:val="0"/>
                <w:color w:val="000000"/>
                <w:sz w:val="24"/>
                <w:szCs w:val="24"/>
                <w:lang w:val="en-IN"/>
              </w:rPr>
              <w:t>Total revenue</w:t>
            </w:r>
          </w:p>
        </w:tc>
        <w:tc>
          <w:tcPr>
            <w:tcW w:w="947" w:type="dxa"/>
            <w:noWrap/>
            <w:hideMark/>
          </w:tcPr>
          <w:p w14:paraId="40815FCF" w14:textId="77777777" w:rsidR="00E058D1" w:rsidRPr="00E058D1" w:rsidRDefault="00E058D1" w:rsidP="00E058D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val="en-IN"/>
              </w:rPr>
            </w:pPr>
            <w:r w:rsidRPr="00E058D1">
              <w:rPr>
                <w:rFonts w:ascii="Times New Roman" w:eastAsia="Times New Roman" w:hAnsi="Times New Roman" w:cs="Times New Roman"/>
                <w:color w:val="000000"/>
                <w:lang w:val="en-IN"/>
              </w:rPr>
              <w:t>6738</w:t>
            </w:r>
          </w:p>
        </w:tc>
        <w:tc>
          <w:tcPr>
            <w:tcW w:w="1147" w:type="dxa"/>
            <w:tcBorders>
              <w:right w:val="single" w:sz="4" w:space="0" w:color="auto"/>
            </w:tcBorders>
            <w:noWrap/>
            <w:hideMark/>
          </w:tcPr>
          <w:p w14:paraId="3E454C62" w14:textId="77777777" w:rsidR="00E058D1" w:rsidRPr="00E058D1" w:rsidRDefault="00E058D1" w:rsidP="00E058D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val="en-IN"/>
              </w:rPr>
            </w:pPr>
            <w:r w:rsidRPr="00E058D1">
              <w:rPr>
                <w:rFonts w:ascii="Times New Roman" w:eastAsia="Times New Roman" w:hAnsi="Times New Roman" w:cs="Times New Roman"/>
                <w:color w:val="000000"/>
                <w:lang w:val="en-IN"/>
              </w:rPr>
              <w:t>6441</w:t>
            </w:r>
          </w:p>
        </w:tc>
      </w:tr>
      <w:tr w:rsidR="00E058D1" w:rsidRPr="00E058D1" w14:paraId="68F1884D" w14:textId="77777777" w:rsidTr="00E058D1">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7146" w:type="dxa"/>
            <w:tcBorders>
              <w:left w:val="single" w:sz="4" w:space="0" w:color="auto"/>
            </w:tcBorders>
            <w:noWrap/>
            <w:hideMark/>
          </w:tcPr>
          <w:p w14:paraId="4DA85E53" w14:textId="77777777" w:rsidR="00E058D1" w:rsidRPr="00E058D1" w:rsidRDefault="00E058D1" w:rsidP="00E058D1">
            <w:pPr>
              <w:jc w:val="center"/>
              <w:rPr>
                <w:rFonts w:ascii="Times New Roman" w:eastAsia="Times New Roman" w:hAnsi="Times New Roman" w:cs="Times New Roman"/>
                <w:b w:val="0"/>
                <w:bCs w:val="0"/>
                <w:color w:val="000000"/>
                <w:sz w:val="24"/>
                <w:szCs w:val="24"/>
                <w:lang w:val="en-IN"/>
              </w:rPr>
            </w:pPr>
            <w:r w:rsidRPr="00E058D1">
              <w:rPr>
                <w:rFonts w:ascii="Times New Roman" w:eastAsia="Times New Roman" w:hAnsi="Times New Roman" w:cs="Times New Roman"/>
                <w:b w:val="0"/>
                <w:bCs w:val="0"/>
                <w:color w:val="000000"/>
                <w:sz w:val="24"/>
                <w:szCs w:val="24"/>
                <w:lang w:val="en-IN"/>
              </w:rPr>
              <w:t>Total Asset</w:t>
            </w:r>
          </w:p>
        </w:tc>
        <w:tc>
          <w:tcPr>
            <w:tcW w:w="947" w:type="dxa"/>
            <w:noWrap/>
            <w:hideMark/>
          </w:tcPr>
          <w:p w14:paraId="4F376B32" w14:textId="77777777" w:rsidR="00E058D1" w:rsidRPr="00E058D1" w:rsidRDefault="00E058D1" w:rsidP="00E058D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9,736</w:t>
            </w:r>
          </w:p>
        </w:tc>
        <w:tc>
          <w:tcPr>
            <w:tcW w:w="1147" w:type="dxa"/>
            <w:tcBorders>
              <w:right w:val="single" w:sz="4" w:space="0" w:color="auto"/>
            </w:tcBorders>
            <w:noWrap/>
            <w:hideMark/>
          </w:tcPr>
          <w:p w14:paraId="1C183D3A" w14:textId="77777777" w:rsidR="00E058D1" w:rsidRPr="00E058D1" w:rsidRDefault="00E058D1" w:rsidP="00E058D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E058D1">
              <w:rPr>
                <w:rFonts w:ascii="Times New Roman" w:eastAsia="Times New Roman" w:hAnsi="Times New Roman" w:cs="Times New Roman"/>
                <w:color w:val="000000"/>
                <w:sz w:val="24"/>
                <w:szCs w:val="24"/>
                <w:lang w:val="en-IN"/>
              </w:rPr>
              <w:t>10,087</w:t>
            </w:r>
          </w:p>
        </w:tc>
      </w:tr>
      <w:tr w:rsidR="00E058D1" w:rsidRPr="00E058D1" w14:paraId="45014E2A" w14:textId="77777777" w:rsidTr="00E058D1">
        <w:trPr>
          <w:trHeight w:val="591"/>
        </w:trPr>
        <w:tc>
          <w:tcPr>
            <w:cnfStyle w:val="001000000000" w:firstRow="0" w:lastRow="0" w:firstColumn="1" w:lastColumn="0" w:oddVBand="0" w:evenVBand="0" w:oddHBand="0" w:evenHBand="0" w:firstRowFirstColumn="0" w:firstRowLastColumn="0" w:lastRowFirstColumn="0" w:lastRowLastColumn="0"/>
            <w:tcW w:w="7146" w:type="dxa"/>
            <w:tcBorders>
              <w:left w:val="single" w:sz="4" w:space="0" w:color="auto"/>
              <w:bottom w:val="single" w:sz="4" w:space="0" w:color="auto"/>
            </w:tcBorders>
            <w:noWrap/>
            <w:hideMark/>
          </w:tcPr>
          <w:p w14:paraId="1506CE96" w14:textId="77777777" w:rsidR="00E058D1" w:rsidRPr="00E058D1" w:rsidRDefault="00E058D1" w:rsidP="00E058D1">
            <w:pPr>
              <w:jc w:val="center"/>
              <w:rPr>
                <w:rFonts w:ascii="Times New Roman" w:eastAsia="Times New Roman" w:hAnsi="Times New Roman" w:cs="Times New Roman"/>
                <w:b w:val="0"/>
                <w:bCs w:val="0"/>
                <w:color w:val="000000"/>
                <w:sz w:val="24"/>
                <w:szCs w:val="24"/>
                <w:lang w:val="en-IN"/>
              </w:rPr>
            </w:pPr>
            <w:r w:rsidRPr="00E058D1">
              <w:rPr>
                <w:rFonts w:ascii="Times New Roman" w:eastAsia="Times New Roman" w:hAnsi="Times New Roman" w:cs="Times New Roman"/>
                <w:b w:val="0"/>
                <w:bCs w:val="0"/>
                <w:color w:val="000000"/>
                <w:sz w:val="24"/>
                <w:szCs w:val="24"/>
                <w:lang w:val="en-IN"/>
              </w:rPr>
              <w:t>Asset turnover= Revenue/average total asset</w:t>
            </w:r>
          </w:p>
        </w:tc>
        <w:tc>
          <w:tcPr>
            <w:tcW w:w="947" w:type="dxa"/>
            <w:tcBorders>
              <w:bottom w:val="single" w:sz="4" w:space="0" w:color="auto"/>
            </w:tcBorders>
            <w:noWrap/>
            <w:hideMark/>
          </w:tcPr>
          <w:p w14:paraId="41301773" w14:textId="77777777" w:rsidR="00E058D1" w:rsidRPr="00E058D1" w:rsidRDefault="00E058D1" w:rsidP="00E058D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val="en-IN"/>
              </w:rPr>
            </w:pPr>
            <w:r w:rsidRPr="00E058D1">
              <w:rPr>
                <w:rFonts w:ascii="Times New Roman" w:eastAsia="Times New Roman" w:hAnsi="Times New Roman" w:cs="Times New Roman"/>
                <w:color w:val="000000"/>
                <w:lang w:val="en-IN"/>
              </w:rPr>
              <w:t>0.69</w:t>
            </w:r>
          </w:p>
        </w:tc>
        <w:tc>
          <w:tcPr>
            <w:tcW w:w="1147" w:type="dxa"/>
            <w:tcBorders>
              <w:bottom w:val="single" w:sz="4" w:space="0" w:color="auto"/>
              <w:right w:val="single" w:sz="4" w:space="0" w:color="auto"/>
            </w:tcBorders>
            <w:noWrap/>
            <w:hideMark/>
          </w:tcPr>
          <w:p w14:paraId="6D007123" w14:textId="77777777" w:rsidR="00E058D1" w:rsidRPr="00E058D1" w:rsidRDefault="00E058D1" w:rsidP="00E058D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val="en-IN"/>
              </w:rPr>
            </w:pPr>
            <w:r w:rsidRPr="00E058D1">
              <w:rPr>
                <w:rFonts w:ascii="Times New Roman" w:eastAsia="Times New Roman" w:hAnsi="Times New Roman" w:cs="Times New Roman"/>
                <w:color w:val="000000"/>
                <w:lang w:val="en-IN"/>
              </w:rPr>
              <w:t>0.64</w:t>
            </w:r>
          </w:p>
        </w:tc>
      </w:tr>
    </w:tbl>
    <w:p w14:paraId="14FCEB90" w14:textId="77777777" w:rsidR="00831E18" w:rsidRDefault="00831E18">
      <w:pPr>
        <w:spacing w:line="360" w:lineRule="auto"/>
        <w:jc w:val="both"/>
        <w:rPr>
          <w:rFonts w:ascii="Times New Roman" w:eastAsia="Times New Roman" w:hAnsi="Times New Roman" w:cs="Times New Roman"/>
          <w:b/>
          <w:i/>
          <w:sz w:val="24"/>
          <w:szCs w:val="24"/>
        </w:rPr>
      </w:pPr>
    </w:p>
    <w:p w14:paraId="45E5A97C" w14:textId="77777777" w:rsidR="00831E1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6- Stock holding days:</w:t>
      </w:r>
    </w:p>
    <w:p w14:paraId="16A3E067"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Stock holding days are a metric of the firm’s financial efficiency. The average number of days required by a firm to sell off its inventory is measured by the inventory days ratio. Average inventories are divided by the cost of sales and then multiplied by 365 to evaluate the inventory days of a firm for the reported period (</w:t>
      </w:r>
      <w:r>
        <w:rPr>
          <w:rFonts w:ascii="Times New Roman" w:eastAsia="Times New Roman" w:hAnsi="Times New Roman" w:cs="Times New Roman"/>
          <w:sz w:val="24"/>
          <w:szCs w:val="24"/>
          <w:highlight w:val="white"/>
        </w:rPr>
        <w:t>Kwak, 2019)</w:t>
      </w:r>
      <w:r>
        <w:rPr>
          <w:rFonts w:ascii="Times New Roman" w:eastAsia="Times New Roman" w:hAnsi="Times New Roman" w:cs="Times New Roman"/>
          <w:sz w:val="24"/>
          <w:szCs w:val="24"/>
        </w:rPr>
        <w:t xml:space="preserve">. </w:t>
      </w:r>
    </w:p>
    <w:tbl>
      <w:tblPr>
        <w:tblStyle w:val="GridTable4-Accent4"/>
        <w:tblW w:w="9209" w:type="dxa"/>
        <w:tblLook w:val="04A0" w:firstRow="1" w:lastRow="0" w:firstColumn="1" w:lastColumn="0" w:noHBand="0" w:noVBand="1"/>
      </w:tblPr>
      <w:tblGrid>
        <w:gridCol w:w="5446"/>
        <w:gridCol w:w="1816"/>
        <w:gridCol w:w="1947"/>
      </w:tblGrid>
      <w:tr w:rsidR="00B11486" w:rsidRPr="00B11486" w14:paraId="17570663" w14:textId="77777777" w:rsidTr="00B11486">
        <w:trPr>
          <w:cnfStyle w:val="100000000000" w:firstRow="1" w:lastRow="0" w:firstColumn="0" w:lastColumn="0" w:oddVBand="0" w:evenVBand="0" w:oddHBand="0"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9209" w:type="dxa"/>
            <w:gridSpan w:val="3"/>
            <w:tcBorders>
              <w:top w:val="single" w:sz="4" w:space="0" w:color="auto"/>
              <w:left w:val="single" w:sz="4" w:space="0" w:color="auto"/>
              <w:right w:val="single" w:sz="4" w:space="0" w:color="auto"/>
            </w:tcBorders>
            <w:noWrap/>
            <w:hideMark/>
          </w:tcPr>
          <w:p w14:paraId="6BD2F6E8" w14:textId="77777777" w:rsidR="00B11486" w:rsidRPr="00B11486" w:rsidRDefault="00B11486" w:rsidP="00B11486">
            <w:pPr>
              <w:jc w:val="center"/>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Stock holding days</w:t>
            </w:r>
          </w:p>
        </w:tc>
      </w:tr>
      <w:tr w:rsidR="00B11486" w:rsidRPr="00B11486" w14:paraId="353BEA10" w14:textId="77777777" w:rsidTr="00B1148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5446" w:type="dxa"/>
            <w:tcBorders>
              <w:left w:val="single" w:sz="4" w:space="0" w:color="auto"/>
            </w:tcBorders>
            <w:noWrap/>
            <w:hideMark/>
          </w:tcPr>
          <w:p w14:paraId="009CD138" w14:textId="77777777" w:rsidR="00B11486" w:rsidRPr="00B11486" w:rsidRDefault="00B11486" w:rsidP="00B11486">
            <w:pPr>
              <w:jc w:val="center"/>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Particulars</w:t>
            </w:r>
          </w:p>
        </w:tc>
        <w:tc>
          <w:tcPr>
            <w:tcW w:w="1816" w:type="dxa"/>
            <w:noWrap/>
            <w:hideMark/>
          </w:tcPr>
          <w:p w14:paraId="1B130F3D"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val="en-IN"/>
              </w:rPr>
            </w:pPr>
            <w:r w:rsidRPr="00B11486">
              <w:rPr>
                <w:rFonts w:ascii="Calibri" w:eastAsia="Times New Roman" w:hAnsi="Calibri" w:cs="Calibri"/>
                <w:b/>
                <w:bCs/>
                <w:color w:val="000000"/>
                <w:lang w:val="en-IN"/>
              </w:rPr>
              <w:t>2022</w:t>
            </w:r>
          </w:p>
        </w:tc>
        <w:tc>
          <w:tcPr>
            <w:tcW w:w="1947" w:type="dxa"/>
            <w:tcBorders>
              <w:right w:val="single" w:sz="4" w:space="0" w:color="auto"/>
            </w:tcBorders>
            <w:noWrap/>
            <w:hideMark/>
          </w:tcPr>
          <w:p w14:paraId="453C4BFC"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val="en-IN"/>
              </w:rPr>
            </w:pPr>
            <w:r w:rsidRPr="00B11486">
              <w:rPr>
                <w:rFonts w:ascii="Calibri" w:eastAsia="Times New Roman" w:hAnsi="Calibri" w:cs="Calibri"/>
                <w:b/>
                <w:bCs/>
                <w:color w:val="000000"/>
                <w:lang w:val="en-IN"/>
              </w:rPr>
              <w:t>2021</w:t>
            </w:r>
          </w:p>
        </w:tc>
      </w:tr>
      <w:tr w:rsidR="00B11486" w:rsidRPr="00B11486" w14:paraId="29C27144" w14:textId="77777777" w:rsidTr="00B11486">
        <w:trPr>
          <w:trHeight w:val="384"/>
        </w:trPr>
        <w:tc>
          <w:tcPr>
            <w:cnfStyle w:val="001000000000" w:firstRow="0" w:lastRow="0" w:firstColumn="1" w:lastColumn="0" w:oddVBand="0" w:evenVBand="0" w:oddHBand="0" w:evenHBand="0" w:firstRowFirstColumn="0" w:firstRowLastColumn="0" w:lastRowFirstColumn="0" w:lastRowLastColumn="0"/>
            <w:tcW w:w="5446" w:type="dxa"/>
            <w:tcBorders>
              <w:left w:val="single" w:sz="4" w:space="0" w:color="auto"/>
            </w:tcBorders>
            <w:noWrap/>
            <w:hideMark/>
          </w:tcPr>
          <w:p w14:paraId="568F2BFF" w14:textId="77777777" w:rsidR="00B11486" w:rsidRPr="00B11486" w:rsidRDefault="00B11486" w:rsidP="00B11486">
            <w:pPr>
              <w:jc w:val="center"/>
              <w:rPr>
                <w:rFonts w:ascii="Times New Roman" w:eastAsia="Times New Roman" w:hAnsi="Times New Roman" w:cs="Times New Roman"/>
                <w:b w:val="0"/>
                <w:bCs w:val="0"/>
                <w:color w:val="000000"/>
                <w:sz w:val="24"/>
                <w:szCs w:val="24"/>
                <w:lang w:val="en-IN"/>
              </w:rPr>
            </w:pPr>
            <w:r w:rsidRPr="00B11486">
              <w:rPr>
                <w:rFonts w:ascii="Times New Roman" w:eastAsia="Times New Roman" w:hAnsi="Times New Roman" w:cs="Times New Roman"/>
                <w:b w:val="0"/>
                <w:bCs w:val="0"/>
                <w:color w:val="000000"/>
                <w:sz w:val="24"/>
                <w:szCs w:val="24"/>
                <w:lang w:val="en-IN"/>
              </w:rPr>
              <w:t>Inventory</w:t>
            </w:r>
          </w:p>
        </w:tc>
        <w:tc>
          <w:tcPr>
            <w:tcW w:w="1816" w:type="dxa"/>
            <w:noWrap/>
            <w:hideMark/>
          </w:tcPr>
          <w:p w14:paraId="4D97BAB7" w14:textId="77777777"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708</w:t>
            </w:r>
          </w:p>
        </w:tc>
        <w:tc>
          <w:tcPr>
            <w:tcW w:w="1947" w:type="dxa"/>
            <w:tcBorders>
              <w:right w:val="single" w:sz="4" w:space="0" w:color="auto"/>
            </w:tcBorders>
            <w:noWrap/>
            <w:hideMark/>
          </w:tcPr>
          <w:p w14:paraId="50E2D998" w14:textId="77777777"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659</w:t>
            </w:r>
          </w:p>
        </w:tc>
      </w:tr>
      <w:tr w:rsidR="00B11486" w:rsidRPr="00B11486" w14:paraId="7EC0E253" w14:textId="77777777" w:rsidTr="00B1148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5446" w:type="dxa"/>
            <w:tcBorders>
              <w:left w:val="single" w:sz="4" w:space="0" w:color="auto"/>
            </w:tcBorders>
            <w:noWrap/>
            <w:hideMark/>
          </w:tcPr>
          <w:p w14:paraId="237FF766" w14:textId="77777777" w:rsidR="00B11486" w:rsidRPr="00B11486" w:rsidRDefault="00B11486" w:rsidP="00B11486">
            <w:pPr>
              <w:jc w:val="center"/>
              <w:rPr>
                <w:rFonts w:ascii="Times New Roman" w:eastAsia="Times New Roman" w:hAnsi="Times New Roman" w:cs="Times New Roman"/>
                <w:b w:val="0"/>
                <w:bCs w:val="0"/>
                <w:color w:val="000000"/>
                <w:sz w:val="24"/>
                <w:szCs w:val="24"/>
                <w:lang w:val="en-IN"/>
              </w:rPr>
            </w:pPr>
            <w:r w:rsidRPr="00B11486">
              <w:rPr>
                <w:rFonts w:ascii="Times New Roman" w:eastAsia="Times New Roman" w:hAnsi="Times New Roman" w:cs="Times New Roman"/>
                <w:b w:val="0"/>
                <w:bCs w:val="0"/>
                <w:color w:val="000000"/>
                <w:sz w:val="24"/>
                <w:szCs w:val="24"/>
                <w:lang w:val="en-IN"/>
              </w:rPr>
              <w:t>Cost of goods sold</w:t>
            </w:r>
          </w:p>
        </w:tc>
        <w:tc>
          <w:tcPr>
            <w:tcW w:w="1816" w:type="dxa"/>
            <w:noWrap/>
            <w:hideMark/>
          </w:tcPr>
          <w:p w14:paraId="7F42D8A5"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3235</w:t>
            </w:r>
          </w:p>
        </w:tc>
        <w:tc>
          <w:tcPr>
            <w:tcW w:w="1947" w:type="dxa"/>
            <w:tcBorders>
              <w:right w:val="single" w:sz="4" w:space="0" w:color="auto"/>
            </w:tcBorders>
            <w:noWrap/>
            <w:hideMark/>
          </w:tcPr>
          <w:p w14:paraId="427E34EB"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3096</w:t>
            </w:r>
          </w:p>
        </w:tc>
      </w:tr>
      <w:tr w:rsidR="00B11486" w:rsidRPr="00B11486" w14:paraId="667E0C93" w14:textId="77777777" w:rsidTr="00B11486">
        <w:trPr>
          <w:trHeight w:val="384"/>
        </w:trPr>
        <w:tc>
          <w:tcPr>
            <w:cnfStyle w:val="001000000000" w:firstRow="0" w:lastRow="0" w:firstColumn="1" w:lastColumn="0" w:oddVBand="0" w:evenVBand="0" w:oddHBand="0" w:evenHBand="0" w:firstRowFirstColumn="0" w:firstRowLastColumn="0" w:lastRowFirstColumn="0" w:lastRowLastColumn="0"/>
            <w:tcW w:w="5446" w:type="dxa"/>
            <w:tcBorders>
              <w:left w:val="single" w:sz="4" w:space="0" w:color="auto"/>
              <w:bottom w:val="single" w:sz="4" w:space="0" w:color="auto"/>
            </w:tcBorders>
            <w:noWrap/>
            <w:hideMark/>
          </w:tcPr>
          <w:p w14:paraId="48B78AE1" w14:textId="77777777" w:rsidR="00B11486" w:rsidRPr="00B11486" w:rsidRDefault="00B11486" w:rsidP="00B11486">
            <w:pPr>
              <w:jc w:val="center"/>
              <w:rPr>
                <w:rFonts w:ascii="Times New Roman" w:eastAsia="Times New Roman" w:hAnsi="Times New Roman" w:cs="Times New Roman"/>
                <w:b w:val="0"/>
                <w:bCs w:val="0"/>
                <w:color w:val="000000"/>
                <w:sz w:val="24"/>
                <w:szCs w:val="24"/>
                <w:lang w:val="en-IN"/>
              </w:rPr>
            </w:pPr>
            <w:r w:rsidRPr="00B11486">
              <w:rPr>
                <w:rFonts w:ascii="Times New Roman" w:eastAsia="Times New Roman" w:hAnsi="Times New Roman" w:cs="Times New Roman"/>
                <w:b w:val="0"/>
                <w:bCs w:val="0"/>
                <w:color w:val="000000"/>
                <w:sz w:val="24"/>
                <w:szCs w:val="24"/>
                <w:lang w:val="en-IN"/>
              </w:rPr>
              <w:t>Stock holding days= (Inventory/cost of goods sold) x 365</w:t>
            </w:r>
          </w:p>
        </w:tc>
        <w:tc>
          <w:tcPr>
            <w:tcW w:w="1816" w:type="dxa"/>
            <w:tcBorders>
              <w:bottom w:val="single" w:sz="4" w:space="0" w:color="auto"/>
            </w:tcBorders>
            <w:noWrap/>
            <w:hideMark/>
          </w:tcPr>
          <w:p w14:paraId="4457B5FA" w14:textId="57B5A4F1"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79.88</w:t>
            </w:r>
            <w:r>
              <w:rPr>
                <w:rFonts w:ascii="Times New Roman" w:eastAsia="Times New Roman" w:hAnsi="Times New Roman" w:cs="Times New Roman"/>
                <w:color w:val="000000"/>
                <w:sz w:val="24"/>
                <w:szCs w:val="24"/>
                <w:lang w:val="en-IN"/>
              </w:rPr>
              <w:t xml:space="preserve"> days</w:t>
            </w:r>
          </w:p>
        </w:tc>
        <w:tc>
          <w:tcPr>
            <w:tcW w:w="1947" w:type="dxa"/>
            <w:tcBorders>
              <w:bottom w:val="single" w:sz="4" w:space="0" w:color="auto"/>
              <w:right w:val="single" w:sz="4" w:space="0" w:color="auto"/>
            </w:tcBorders>
            <w:noWrap/>
            <w:hideMark/>
          </w:tcPr>
          <w:p w14:paraId="73ED024C" w14:textId="48E1911D"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77.69</w:t>
            </w:r>
            <w:r>
              <w:rPr>
                <w:rFonts w:ascii="Times New Roman" w:eastAsia="Times New Roman" w:hAnsi="Times New Roman" w:cs="Times New Roman"/>
                <w:color w:val="000000"/>
                <w:sz w:val="24"/>
                <w:szCs w:val="24"/>
                <w:lang w:val="en-IN"/>
              </w:rPr>
              <w:t xml:space="preserve"> days</w:t>
            </w:r>
          </w:p>
        </w:tc>
      </w:tr>
    </w:tbl>
    <w:p w14:paraId="053094D9" w14:textId="77777777" w:rsidR="00831E18" w:rsidRDefault="00831E18">
      <w:pPr>
        <w:spacing w:line="360" w:lineRule="auto"/>
        <w:jc w:val="both"/>
        <w:rPr>
          <w:rFonts w:ascii="Times New Roman" w:eastAsia="Times New Roman" w:hAnsi="Times New Roman" w:cs="Times New Roman"/>
          <w:b/>
          <w:i/>
          <w:sz w:val="24"/>
          <w:szCs w:val="24"/>
        </w:rPr>
      </w:pPr>
    </w:p>
    <w:p w14:paraId="33CB08E6" w14:textId="77777777" w:rsidR="00831E1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7- Debtors collection period:</w:t>
      </w:r>
    </w:p>
    <w:p w14:paraId="0F211EA6"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Trade receivable days is also an efficiency ratio which measures the number of days taken by the credit customers to pay the amount owed to the business (</w:t>
      </w:r>
      <w:r>
        <w:rPr>
          <w:rFonts w:ascii="Times New Roman" w:eastAsia="Times New Roman" w:hAnsi="Times New Roman" w:cs="Times New Roman"/>
          <w:sz w:val="24"/>
          <w:szCs w:val="24"/>
          <w:highlight w:val="white"/>
        </w:rPr>
        <w:t>McLaney, 2005)</w:t>
      </w:r>
      <w:r>
        <w:rPr>
          <w:rFonts w:ascii="Times New Roman" w:eastAsia="Times New Roman" w:hAnsi="Times New Roman" w:cs="Times New Roman"/>
          <w:sz w:val="24"/>
          <w:szCs w:val="24"/>
        </w:rPr>
        <w:t xml:space="preserve">. If the trade receivable </w:t>
      </w:r>
      <w:r>
        <w:rPr>
          <w:rFonts w:ascii="Times New Roman" w:eastAsia="Times New Roman" w:hAnsi="Times New Roman" w:cs="Times New Roman"/>
          <w:sz w:val="24"/>
          <w:szCs w:val="24"/>
        </w:rPr>
        <w:lastRenderedPageBreak/>
        <w:t xml:space="preserve">days of a firm are less, it signifies that the customers take less time to pay the amount for the items supplied by the firm to the customers, which means the company is more financially efficient. </w:t>
      </w:r>
    </w:p>
    <w:tbl>
      <w:tblPr>
        <w:tblStyle w:val="GridTable6ColourfulAccent2"/>
        <w:tblW w:w="9278" w:type="dxa"/>
        <w:tblLook w:val="04A0" w:firstRow="1" w:lastRow="0" w:firstColumn="1" w:lastColumn="0" w:noHBand="0" w:noVBand="1"/>
      </w:tblPr>
      <w:tblGrid>
        <w:gridCol w:w="5240"/>
        <w:gridCol w:w="2552"/>
        <w:gridCol w:w="1486"/>
      </w:tblGrid>
      <w:tr w:rsidR="00B11486" w:rsidRPr="00B11486" w14:paraId="1E6ECAC3" w14:textId="77777777" w:rsidTr="00B11486">
        <w:trPr>
          <w:cnfStyle w:val="100000000000" w:firstRow="1" w:lastRow="0" w:firstColumn="0" w:lastColumn="0" w:oddVBand="0" w:evenVBand="0" w:oddHBand="0"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9278" w:type="dxa"/>
            <w:gridSpan w:val="3"/>
            <w:noWrap/>
            <w:hideMark/>
          </w:tcPr>
          <w:p w14:paraId="4CDEE7C8" w14:textId="324AA0C5" w:rsidR="00B11486" w:rsidRPr="00B11486" w:rsidRDefault="00B11486" w:rsidP="00B11486">
            <w:pPr>
              <w:jc w:val="center"/>
              <w:rPr>
                <w:rFonts w:ascii="Times New Roman" w:eastAsia="Times New Roman" w:hAnsi="Times New Roman" w:cs="Times New Roman"/>
                <w:color w:val="002060"/>
                <w:sz w:val="24"/>
                <w:szCs w:val="24"/>
                <w:lang w:val="en-IN"/>
              </w:rPr>
            </w:pPr>
            <w:r w:rsidRPr="00B11486">
              <w:rPr>
                <w:rFonts w:ascii="Times New Roman" w:eastAsia="Times New Roman" w:hAnsi="Times New Roman" w:cs="Times New Roman"/>
                <w:color w:val="002060"/>
                <w:sz w:val="24"/>
                <w:szCs w:val="24"/>
                <w:lang w:val="en-IN"/>
              </w:rPr>
              <w:t>Calculation of debtor’s collection period</w:t>
            </w:r>
          </w:p>
        </w:tc>
      </w:tr>
      <w:tr w:rsidR="00B11486" w:rsidRPr="00B11486" w14:paraId="739004B1" w14:textId="77777777" w:rsidTr="00B11486">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5240" w:type="dxa"/>
            <w:noWrap/>
            <w:hideMark/>
          </w:tcPr>
          <w:p w14:paraId="1B654BEC" w14:textId="77777777" w:rsidR="00B11486" w:rsidRPr="00B11486" w:rsidRDefault="00B11486" w:rsidP="00B11486">
            <w:pPr>
              <w:jc w:val="center"/>
              <w:rPr>
                <w:rFonts w:ascii="Times New Roman" w:eastAsia="Times New Roman" w:hAnsi="Times New Roman" w:cs="Times New Roman"/>
                <w:color w:val="002060"/>
                <w:sz w:val="24"/>
                <w:szCs w:val="24"/>
                <w:lang w:val="en-IN"/>
              </w:rPr>
            </w:pPr>
            <w:r w:rsidRPr="00B11486">
              <w:rPr>
                <w:rFonts w:ascii="Times New Roman" w:eastAsia="Times New Roman" w:hAnsi="Times New Roman" w:cs="Times New Roman"/>
                <w:color w:val="002060"/>
                <w:sz w:val="24"/>
                <w:szCs w:val="24"/>
                <w:lang w:val="en-IN"/>
              </w:rPr>
              <w:t>Particulars</w:t>
            </w:r>
          </w:p>
        </w:tc>
        <w:tc>
          <w:tcPr>
            <w:tcW w:w="2552" w:type="dxa"/>
            <w:noWrap/>
            <w:hideMark/>
          </w:tcPr>
          <w:p w14:paraId="181E4F3D"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2022</w:t>
            </w:r>
          </w:p>
        </w:tc>
        <w:tc>
          <w:tcPr>
            <w:tcW w:w="1486" w:type="dxa"/>
            <w:noWrap/>
            <w:hideMark/>
          </w:tcPr>
          <w:p w14:paraId="5DD29AF8"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2021</w:t>
            </w:r>
          </w:p>
        </w:tc>
      </w:tr>
      <w:tr w:rsidR="00B11486" w:rsidRPr="00B11486" w14:paraId="0A3E4547" w14:textId="77777777" w:rsidTr="00B11486">
        <w:trPr>
          <w:trHeight w:val="404"/>
        </w:trPr>
        <w:tc>
          <w:tcPr>
            <w:cnfStyle w:val="001000000000" w:firstRow="0" w:lastRow="0" w:firstColumn="1" w:lastColumn="0" w:oddVBand="0" w:evenVBand="0" w:oddHBand="0" w:evenHBand="0" w:firstRowFirstColumn="0" w:firstRowLastColumn="0" w:lastRowFirstColumn="0" w:lastRowLastColumn="0"/>
            <w:tcW w:w="5240" w:type="dxa"/>
            <w:noWrap/>
            <w:hideMark/>
          </w:tcPr>
          <w:p w14:paraId="7710EA04" w14:textId="77777777" w:rsidR="00B11486" w:rsidRPr="00B11486" w:rsidRDefault="00B11486" w:rsidP="00B11486">
            <w:pPr>
              <w:jc w:val="center"/>
              <w:rPr>
                <w:rFonts w:ascii="Times New Roman" w:eastAsia="Times New Roman" w:hAnsi="Times New Roman" w:cs="Times New Roman"/>
                <w:b w:val="0"/>
                <w:bCs w:val="0"/>
                <w:color w:val="002060"/>
                <w:sz w:val="24"/>
                <w:szCs w:val="24"/>
                <w:lang w:val="en-IN"/>
              </w:rPr>
            </w:pPr>
            <w:r w:rsidRPr="00B11486">
              <w:rPr>
                <w:rFonts w:ascii="Times New Roman" w:eastAsia="Times New Roman" w:hAnsi="Times New Roman" w:cs="Times New Roman"/>
                <w:b w:val="0"/>
                <w:bCs w:val="0"/>
                <w:color w:val="002060"/>
                <w:sz w:val="24"/>
                <w:szCs w:val="24"/>
                <w:lang w:val="en-IN"/>
              </w:rPr>
              <w:t>Trade receivables</w:t>
            </w:r>
          </w:p>
        </w:tc>
        <w:tc>
          <w:tcPr>
            <w:tcW w:w="2552" w:type="dxa"/>
            <w:noWrap/>
            <w:hideMark/>
          </w:tcPr>
          <w:p w14:paraId="5EEE950F" w14:textId="77777777"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2060"/>
                <w:sz w:val="24"/>
                <w:szCs w:val="24"/>
                <w:lang w:val="en-IN"/>
              </w:rPr>
            </w:pPr>
            <w:r w:rsidRPr="00B11486">
              <w:rPr>
                <w:rFonts w:ascii="Times New Roman" w:eastAsia="Times New Roman" w:hAnsi="Times New Roman" w:cs="Times New Roman"/>
                <w:color w:val="002060"/>
                <w:sz w:val="24"/>
                <w:szCs w:val="24"/>
                <w:lang w:val="en-IN"/>
              </w:rPr>
              <w:t>1,249</w:t>
            </w:r>
          </w:p>
        </w:tc>
        <w:tc>
          <w:tcPr>
            <w:tcW w:w="1486" w:type="dxa"/>
            <w:noWrap/>
            <w:hideMark/>
          </w:tcPr>
          <w:p w14:paraId="01D9592A" w14:textId="77777777"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2060"/>
                <w:sz w:val="24"/>
                <w:szCs w:val="24"/>
                <w:lang w:val="en-IN"/>
              </w:rPr>
            </w:pPr>
            <w:r w:rsidRPr="00B11486">
              <w:rPr>
                <w:rFonts w:ascii="Times New Roman" w:eastAsia="Times New Roman" w:hAnsi="Times New Roman" w:cs="Times New Roman"/>
                <w:color w:val="002060"/>
                <w:sz w:val="24"/>
                <w:szCs w:val="24"/>
                <w:lang w:val="en-IN"/>
              </w:rPr>
              <w:t>1,287</w:t>
            </w:r>
          </w:p>
        </w:tc>
      </w:tr>
      <w:tr w:rsidR="00B11486" w:rsidRPr="00B11486" w14:paraId="37CD7C2F" w14:textId="77777777" w:rsidTr="00B11486">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5240" w:type="dxa"/>
            <w:noWrap/>
            <w:hideMark/>
          </w:tcPr>
          <w:p w14:paraId="11F45DEF" w14:textId="77777777" w:rsidR="00B11486" w:rsidRPr="00B11486" w:rsidRDefault="00B11486" w:rsidP="00B11486">
            <w:pPr>
              <w:jc w:val="center"/>
              <w:rPr>
                <w:rFonts w:ascii="Times New Roman" w:eastAsia="Times New Roman" w:hAnsi="Times New Roman" w:cs="Times New Roman"/>
                <w:b w:val="0"/>
                <w:bCs w:val="0"/>
                <w:color w:val="002060"/>
                <w:sz w:val="24"/>
                <w:szCs w:val="24"/>
                <w:lang w:val="en-IN"/>
              </w:rPr>
            </w:pPr>
            <w:r w:rsidRPr="00B11486">
              <w:rPr>
                <w:rFonts w:ascii="Times New Roman" w:eastAsia="Times New Roman" w:hAnsi="Times New Roman" w:cs="Times New Roman"/>
                <w:b w:val="0"/>
                <w:bCs w:val="0"/>
                <w:color w:val="002060"/>
                <w:sz w:val="24"/>
                <w:szCs w:val="24"/>
                <w:lang w:val="en-IN"/>
              </w:rPr>
              <w:t>credit sales</w:t>
            </w:r>
          </w:p>
        </w:tc>
        <w:tc>
          <w:tcPr>
            <w:tcW w:w="2552" w:type="dxa"/>
            <w:noWrap/>
            <w:hideMark/>
          </w:tcPr>
          <w:p w14:paraId="66C45994"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2060"/>
                <w:sz w:val="24"/>
                <w:szCs w:val="24"/>
                <w:lang w:val="en-IN"/>
              </w:rPr>
            </w:pPr>
            <w:r w:rsidRPr="00B11486">
              <w:rPr>
                <w:rFonts w:ascii="Times New Roman" w:eastAsia="Times New Roman" w:hAnsi="Times New Roman" w:cs="Times New Roman"/>
                <w:color w:val="002060"/>
                <w:sz w:val="24"/>
                <w:szCs w:val="24"/>
                <w:lang w:val="en-IN"/>
              </w:rPr>
              <w:t>6,738</w:t>
            </w:r>
          </w:p>
        </w:tc>
        <w:tc>
          <w:tcPr>
            <w:tcW w:w="1486" w:type="dxa"/>
            <w:noWrap/>
            <w:hideMark/>
          </w:tcPr>
          <w:p w14:paraId="15AD6377"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2060"/>
                <w:sz w:val="24"/>
                <w:szCs w:val="24"/>
                <w:lang w:val="en-IN"/>
              </w:rPr>
            </w:pPr>
            <w:r w:rsidRPr="00B11486">
              <w:rPr>
                <w:rFonts w:ascii="Times New Roman" w:eastAsia="Times New Roman" w:hAnsi="Times New Roman" w:cs="Times New Roman"/>
                <w:color w:val="002060"/>
                <w:sz w:val="24"/>
                <w:szCs w:val="24"/>
                <w:lang w:val="en-IN"/>
              </w:rPr>
              <w:t>6,441</w:t>
            </w:r>
          </w:p>
        </w:tc>
      </w:tr>
      <w:tr w:rsidR="00B11486" w:rsidRPr="00B11486" w14:paraId="6F13DA32" w14:textId="77777777" w:rsidTr="00B11486">
        <w:trPr>
          <w:trHeight w:val="404"/>
        </w:trPr>
        <w:tc>
          <w:tcPr>
            <w:cnfStyle w:val="001000000000" w:firstRow="0" w:lastRow="0" w:firstColumn="1" w:lastColumn="0" w:oddVBand="0" w:evenVBand="0" w:oddHBand="0" w:evenHBand="0" w:firstRowFirstColumn="0" w:firstRowLastColumn="0" w:lastRowFirstColumn="0" w:lastRowLastColumn="0"/>
            <w:tcW w:w="5240" w:type="dxa"/>
            <w:noWrap/>
            <w:hideMark/>
          </w:tcPr>
          <w:p w14:paraId="6121FA81" w14:textId="77777777" w:rsidR="00B11486" w:rsidRPr="00B11486" w:rsidRDefault="00B11486" w:rsidP="00B11486">
            <w:pPr>
              <w:jc w:val="center"/>
              <w:rPr>
                <w:rFonts w:ascii="Times New Roman" w:eastAsia="Times New Roman" w:hAnsi="Times New Roman" w:cs="Times New Roman"/>
                <w:b w:val="0"/>
                <w:bCs w:val="0"/>
                <w:color w:val="002060"/>
                <w:sz w:val="24"/>
                <w:szCs w:val="24"/>
                <w:lang w:val="en-IN"/>
              </w:rPr>
            </w:pPr>
            <w:r w:rsidRPr="00B11486">
              <w:rPr>
                <w:rFonts w:ascii="Times New Roman" w:eastAsia="Times New Roman" w:hAnsi="Times New Roman" w:cs="Times New Roman"/>
                <w:b w:val="0"/>
                <w:bCs w:val="0"/>
                <w:color w:val="002060"/>
                <w:sz w:val="24"/>
                <w:szCs w:val="24"/>
                <w:lang w:val="en-IN"/>
              </w:rPr>
              <w:t>Debtors collection period= (Trade receivables/annual credit sales)*365</w:t>
            </w:r>
          </w:p>
        </w:tc>
        <w:tc>
          <w:tcPr>
            <w:tcW w:w="2552" w:type="dxa"/>
            <w:noWrap/>
            <w:hideMark/>
          </w:tcPr>
          <w:p w14:paraId="6F940220" w14:textId="208A37D0"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2060"/>
                <w:sz w:val="24"/>
                <w:szCs w:val="24"/>
                <w:lang w:val="en-IN"/>
              </w:rPr>
            </w:pPr>
            <w:r w:rsidRPr="00B11486">
              <w:rPr>
                <w:rFonts w:ascii="Times New Roman" w:eastAsia="Times New Roman" w:hAnsi="Times New Roman" w:cs="Times New Roman"/>
                <w:color w:val="002060"/>
                <w:sz w:val="24"/>
                <w:szCs w:val="24"/>
                <w:lang w:val="en-IN"/>
              </w:rPr>
              <w:t>67.66</w:t>
            </w:r>
            <w:r>
              <w:rPr>
                <w:rFonts w:ascii="Times New Roman" w:eastAsia="Times New Roman" w:hAnsi="Times New Roman" w:cs="Times New Roman"/>
                <w:color w:val="002060"/>
                <w:sz w:val="24"/>
                <w:szCs w:val="24"/>
                <w:lang w:val="en-IN"/>
              </w:rPr>
              <w:t xml:space="preserve"> days</w:t>
            </w:r>
          </w:p>
        </w:tc>
        <w:tc>
          <w:tcPr>
            <w:tcW w:w="1486" w:type="dxa"/>
            <w:noWrap/>
            <w:hideMark/>
          </w:tcPr>
          <w:p w14:paraId="1C22689C" w14:textId="3FF03CB9"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2060"/>
                <w:sz w:val="24"/>
                <w:szCs w:val="24"/>
                <w:lang w:val="en-IN"/>
              </w:rPr>
            </w:pPr>
            <w:r w:rsidRPr="00B11486">
              <w:rPr>
                <w:rFonts w:ascii="Times New Roman" w:eastAsia="Times New Roman" w:hAnsi="Times New Roman" w:cs="Times New Roman"/>
                <w:color w:val="002060"/>
                <w:sz w:val="24"/>
                <w:szCs w:val="24"/>
                <w:lang w:val="en-IN"/>
              </w:rPr>
              <w:t>72.93</w:t>
            </w:r>
            <w:r>
              <w:rPr>
                <w:rFonts w:ascii="Times New Roman" w:eastAsia="Times New Roman" w:hAnsi="Times New Roman" w:cs="Times New Roman"/>
                <w:color w:val="002060"/>
                <w:sz w:val="24"/>
                <w:szCs w:val="24"/>
                <w:lang w:val="en-IN"/>
              </w:rPr>
              <w:t xml:space="preserve"> days</w:t>
            </w:r>
          </w:p>
        </w:tc>
      </w:tr>
    </w:tbl>
    <w:p w14:paraId="41738335" w14:textId="77777777" w:rsidR="00831E18" w:rsidRDefault="00831E18">
      <w:pPr>
        <w:spacing w:line="360" w:lineRule="auto"/>
        <w:jc w:val="both"/>
        <w:rPr>
          <w:rFonts w:ascii="Times New Roman" w:eastAsia="Times New Roman" w:hAnsi="Times New Roman" w:cs="Times New Roman"/>
          <w:b/>
          <w:i/>
          <w:sz w:val="24"/>
          <w:szCs w:val="24"/>
        </w:rPr>
      </w:pPr>
    </w:p>
    <w:p w14:paraId="077D6A30" w14:textId="77777777" w:rsidR="00831E1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8- Current ratio:</w:t>
      </w:r>
    </w:p>
    <w:p w14:paraId="715F766C"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 ratio is the ratio of current assets and current liabilities available to a company during the reported period (McLaney, 2005). This ratio represents the ability of the business to pay off its short-term financial obligations using its liquid assets. A current ratio more than 1 signifies better liquidity position of the business. </w:t>
      </w:r>
    </w:p>
    <w:tbl>
      <w:tblPr>
        <w:tblStyle w:val="ListTable7ColourfulAccent3"/>
        <w:tblW w:w="9239" w:type="dxa"/>
        <w:tblLook w:val="04A0" w:firstRow="1" w:lastRow="0" w:firstColumn="1" w:lastColumn="0" w:noHBand="0" w:noVBand="1"/>
      </w:tblPr>
      <w:tblGrid>
        <w:gridCol w:w="4364"/>
        <w:gridCol w:w="3926"/>
        <w:gridCol w:w="949"/>
      </w:tblGrid>
      <w:tr w:rsidR="00B11486" w:rsidRPr="00B11486" w14:paraId="5E858DC9" w14:textId="77777777" w:rsidTr="00B11486">
        <w:trPr>
          <w:cnfStyle w:val="100000000000" w:firstRow="1" w:lastRow="0" w:firstColumn="0" w:lastColumn="0" w:oddVBand="0" w:evenVBand="0" w:oddHBand="0" w:evenHBand="0" w:firstRowFirstColumn="0" w:firstRowLastColumn="0" w:lastRowFirstColumn="0" w:lastRowLastColumn="0"/>
          <w:trHeight w:val="776"/>
        </w:trPr>
        <w:tc>
          <w:tcPr>
            <w:cnfStyle w:val="001000000100" w:firstRow="0" w:lastRow="0" w:firstColumn="1" w:lastColumn="0" w:oddVBand="0" w:evenVBand="0" w:oddHBand="0" w:evenHBand="0" w:firstRowFirstColumn="1" w:firstRowLastColumn="0" w:lastRowFirstColumn="0" w:lastRowLastColumn="0"/>
            <w:tcW w:w="9239" w:type="dxa"/>
            <w:gridSpan w:val="3"/>
            <w:tcBorders>
              <w:top w:val="single" w:sz="4" w:space="0" w:color="auto"/>
              <w:left w:val="single" w:sz="4" w:space="0" w:color="auto"/>
              <w:right w:val="single" w:sz="4" w:space="0" w:color="auto"/>
            </w:tcBorders>
            <w:noWrap/>
            <w:hideMark/>
          </w:tcPr>
          <w:p w14:paraId="23E9E1BB" w14:textId="77777777" w:rsidR="00B11486" w:rsidRPr="00B11486" w:rsidRDefault="00B11486" w:rsidP="00B11486">
            <w:pPr>
              <w:jc w:val="center"/>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Calculation of current ratio</w:t>
            </w:r>
          </w:p>
        </w:tc>
      </w:tr>
      <w:tr w:rsidR="00B11486" w:rsidRPr="00B11486" w14:paraId="6B94B48B" w14:textId="77777777" w:rsidTr="00B11486">
        <w:trPr>
          <w:cnfStyle w:val="000000100000" w:firstRow="0" w:lastRow="0" w:firstColumn="0" w:lastColumn="0" w:oddVBand="0" w:evenVBand="0" w:oddHBand="1" w:evenHBand="0" w:firstRowFirstColumn="0" w:firstRowLastColumn="0" w:lastRowFirstColumn="0" w:lastRowLastColumn="0"/>
          <w:trHeight w:val="776"/>
        </w:trPr>
        <w:tc>
          <w:tcPr>
            <w:cnfStyle w:val="001000000000" w:firstRow="0" w:lastRow="0" w:firstColumn="1" w:lastColumn="0" w:oddVBand="0" w:evenVBand="0" w:oddHBand="0" w:evenHBand="0" w:firstRowFirstColumn="0" w:firstRowLastColumn="0" w:lastRowFirstColumn="0" w:lastRowLastColumn="0"/>
            <w:tcW w:w="4364" w:type="dxa"/>
            <w:tcBorders>
              <w:left w:val="single" w:sz="4" w:space="0" w:color="auto"/>
            </w:tcBorders>
            <w:noWrap/>
            <w:hideMark/>
          </w:tcPr>
          <w:p w14:paraId="449D4377" w14:textId="77777777" w:rsidR="00B11486" w:rsidRPr="00B11486" w:rsidRDefault="00B11486" w:rsidP="00B11486">
            <w:pPr>
              <w:jc w:val="center"/>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Particulars</w:t>
            </w:r>
          </w:p>
        </w:tc>
        <w:tc>
          <w:tcPr>
            <w:tcW w:w="3926" w:type="dxa"/>
            <w:noWrap/>
            <w:hideMark/>
          </w:tcPr>
          <w:p w14:paraId="60321833"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2022</w:t>
            </w:r>
          </w:p>
        </w:tc>
        <w:tc>
          <w:tcPr>
            <w:tcW w:w="947" w:type="dxa"/>
            <w:tcBorders>
              <w:right w:val="single" w:sz="4" w:space="0" w:color="auto"/>
            </w:tcBorders>
            <w:noWrap/>
            <w:hideMark/>
          </w:tcPr>
          <w:p w14:paraId="7CD752E9"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2021</w:t>
            </w:r>
          </w:p>
        </w:tc>
      </w:tr>
      <w:tr w:rsidR="00B11486" w:rsidRPr="00B11486" w14:paraId="002E9F7B" w14:textId="77777777" w:rsidTr="00B11486">
        <w:trPr>
          <w:trHeight w:val="776"/>
        </w:trPr>
        <w:tc>
          <w:tcPr>
            <w:cnfStyle w:val="001000000000" w:firstRow="0" w:lastRow="0" w:firstColumn="1" w:lastColumn="0" w:oddVBand="0" w:evenVBand="0" w:oddHBand="0" w:evenHBand="0" w:firstRowFirstColumn="0" w:firstRowLastColumn="0" w:lastRowFirstColumn="0" w:lastRowLastColumn="0"/>
            <w:tcW w:w="4364" w:type="dxa"/>
            <w:tcBorders>
              <w:left w:val="single" w:sz="4" w:space="0" w:color="auto"/>
            </w:tcBorders>
            <w:noWrap/>
            <w:hideMark/>
          </w:tcPr>
          <w:p w14:paraId="42DF3B19" w14:textId="77777777" w:rsidR="00B11486" w:rsidRPr="00B11486" w:rsidRDefault="00B11486" w:rsidP="00B11486">
            <w:pPr>
              <w:jc w:val="center"/>
              <w:rPr>
                <w:rFonts w:ascii="Times New Roman" w:eastAsia="Times New Roman" w:hAnsi="Times New Roman" w:cs="Times New Roman"/>
                <w:i w:val="0"/>
                <w:iCs w:val="0"/>
                <w:color w:val="000000"/>
                <w:sz w:val="24"/>
                <w:szCs w:val="24"/>
                <w:lang w:val="en-IN"/>
              </w:rPr>
            </w:pPr>
            <w:r w:rsidRPr="00B11486">
              <w:rPr>
                <w:rFonts w:ascii="Times New Roman" w:eastAsia="Times New Roman" w:hAnsi="Times New Roman" w:cs="Times New Roman"/>
                <w:i w:val="0"/>
                <w:iCs w:val="0"/>
                <w:color w:val="000000"/>
                <w:sz w:val="24"/>
                <w:szCs w:val="24"/>
                <w:lang w:val="en-IN"/>
              </w:rPr>
              <w:t>Current asset</w:t>
            </w:r>
          </w:p>
        </w:tc>
        <w:tc>
          <w:tcPr>
            <w:tcW w:w="3926" w:type="dxa"/>
            <w:noWrap/>
            <w:hideMark/>
          </w:tcPr>
          <w:p w14:paraId="08EAF8A4" w14:textId="77777777"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2,303</w:t>
            </w:r>
          </w:p>
        </w:tc>
        <w:tc>
          <w:tcPr>
            <w:tcW w:w="947" w:type="dxa"/>
            <w:tcBorders>
              <w:right w:val="single" w:sz="4" w:space="0" w:color="auto"/>
            </w:tcBorders>
            <w:noWrap/>
            <w:hideMark/>
          </w:tcPr>
          <w:p w14:paraId="395154CA" w14:textId="77777777"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2,355</w:t>
            </w:r>
          </w:p>
        </w:tc>
      </w:tr>
      <w:tr w:rsidR="00B11486" w:rsidRPr="00B11486" w14:paraId="1C709E02" w14:textId="77777777" w:rsidTr="00B11486">
        <w:trPr>
          <w:cnfStyle w:val="000000100000" w:firstRow="0" w:lastRow="0" w:firstColumn="0" w:lastColumn="0" w:oddVBand="0" w:evenVBand="0" w:oddHBand="1" w:evenHBand="0" w:firstRowFirstColumn="0" w:firstRowLastColumn="0" w:lastRowFirstColumn="0" w:lastRowLastColumn="0"/>
          <w:trHeight w:val="776"/>
        </w:trPr>
        <w:tc>
          <w:tcPr>
            <w:cnfStyle w:val="001000000000" w:firstRow="0" w:lastRow="0" w:firstColumn="1" w:lastColumn="0" w:oddVBand="0" w:evenVBand="0" w:oddHBand="0" w:evenHBand="0" w:firstRowFirstColumn="0" w:firstRowLastColumn="0" w:lastRowFirstColumn="0" w:lastRowLastColumn="0"/>
            <w:tcW w:w="4364" w:type="dxa"/>
            <w:tcBorders>
              <w:left w:val="single" w:sz="4" w:space="0" w:color="auto"/>
            </w:tcBorders>
            <w:noWrap/>
            <w:hideMark/>
          </w:tcPr>
          <w:p w14:paraId="17A8D9D9" w14:textId="77777777" w:rsidR="00B11486" w:rsidRPr="00B11486" w:rsidRDefault="00B11486" w:rsidP="00B11486">
            <w:pPr>
              <w:jc w:val="center"/>
              <w:rPr>
                <w:rFonts w:ascii="Times New Roman" w:eastAsia="Times New Roman" w:hAnsi="Times New Roman" w:cs="Times New Roman"/>
                <w:i w:val="0"/>
                <w:iCs w:val="0"/>
                <w:color w:val="000000"/>
                <w:sz w:val="24"/>
                <w:szCs w:val="24"/>
                <w:lang w:val="en-IN"/>
              </w:rPr>
            </w:pPr>
            <w:r w:rsidRPr="00B11486">
              <w:rPr>
                <w:rFonts w:ascii="Times New Roman" w:eastAsia="Times New Roman" w:hAnsi="Times New Roman" w:cs="Times New Roman"/>
                <w:i w:val="0"/>
                <w:iCs w:val="0"/>
                <w:color w:val="000000"/>
                <w:sz w:val="24"/>
                <w:szCs w:val="24"/>
                <w:lang w:val="en-IN"/>
              </w:rPr>
              <w:t>Current liabilities</w:t>
            </w:r>
          </w:p>
        </w:tc>
        <w:tc>
          <w:tcPr>
            <w:tcW w:w="3926" w:type="dxa"/>
            <w:noWrap/>
            <w:hideMark/>
          </w:tcPr>
          <w:p w14:paraId="43BA1B19"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2511</w:t>
            </w:r>
          </w:p>
        </w:tc>
        <w:tc>
          <w:tcPr>
            <w:tcW w:w="947" w:type="dxa"/>
            <w:tcBorders>
              <w:right w:val="single" w:sz="4" w:space="0" w:color="auto"/>
            </w:tcBorders>
            <w:noWrap/>
            <w:hideMark/>
          </w:tcPr>
          <w:p w14:paraId="55AE57F1"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3046</w:t>
            </w:r>
          </w:p>
        </w:tc>
      </w:tr>
      <w:tr w:rsidR="00B11486" w:rsidRPr="00B11486" w14:paraId="05047489" w14:textId="77777777" w:rsidTr="00B11486">
        <w:trPr>
          <w:trHeight w:val="1145"/>
        </w:trPr>
        <w:tc>
          <w:tcPr>
            <w:cnfStyle w:val="001000000000" w:firstRow="0" w:lastRow="0" w:firstColumn="1" w:lastColumn="0" w:oddVBand="0" w:evenVBand="0" w:oddHBand="0" w:evenHBand="0" w:firstRowFirstColumn="0" w:firstRowLastColumn="0" w:lastRowFirstColumn="0" w:lastRowLastColumn="0"/>
            <w:tcW w:w="4364" w:type="dxa"/>
            <w:tcBorders>
              <w:left w:val="single" w:sz="4" w:space="0" w:color="auto"/>
              <w:bottom w:val="single" w:sz="4" w:space="0" w:color="auto"/>
            </w:tcBorders>
            <w:noWrap/>
            <w:hideMark/>
          </w:tcPr>
          <w:p w14:paraId="276A63F5" w14:textId="77777777" w:rsidR="00B11486" w:rsidRPr="00B11486" w:rsidRDefault="00B11486" w:rsidP="00B11486">
            <w:pPr>
              <w:jc w:val="center"/>
              <w:rPr>
                <w:rFonts w:ascii="Times New Roman" w:eastAsia="Times New Roman" w:hAnsi="Times New Roman" w:cs="Times New Roman"/>
                <w:i w:val="0"/>
                <w:iCs w:val="0"/>
                <w:color w:val="000000"/>
                <w:sz w:val="24"/>
                <w:szCs w:val="24"/>
                <w:lang w:val="en-IN"/>
              </w:rPr>
            </w:pPr>
            <w:r w:rsidRPr="00B11486">
              <w:rPr>
                <w:rFonts w:ascii="Times New Roman" w:eastAsia="Times New Roman" w:hAnsi="Times New Roman" w:cs="Times New Roman"/>
                <w:i w:val="0"/>
                <w:iCs w:val="0"/>
                <w:color w:val="000000"/>
                <w:sz w:val="24"/>
                <w:szCs w:val="24"/>
                <w:lang w:val="en-IN"/>
              </w:rPr>
              <w:t>Current ratio= current asset/ current liabilities</w:t>
            </w:r>
          </w:p>
        </w:tc>
        <w:tc>
          <w:tcPr>
            <w:tcW w:w="3926" w:type="dxa"/>
            <w:tcBorders>
              <w:bottom w:val="single" w:sz="4" w:space="0" w:color="auto"/>
            </w:tcBorders>
            <w:noWrap/>
            <w:hideMark/>
          </w:tcPr>
          <w:p w14:paraId="37896E71" w14:textId="77777777"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0.92</w:t>
            </w:r>
          </w:p>
        </w:tc>
        <w:tc>
          <w:tcPr>
            <w:tcW w:w="947" w:type="dxa"/>
            <w:tcBorders>
              <w:bottom w:val="single" w:sz="4" w:space="0" w:color="auto"/>
              <w:right w:val="single" w:sz="4" w:space="0" w:color="auto"/>
            </w:tcBorders>
            <w:noWrap/>
            <w:hideMark/>
          </w:tcPr>
          <w:p w14:paraId="2E5EC6FC" w14:textId="77777777" w:rsidR="00B11486" w:rsidRPr="00B11486" w:rsidRDefault="00B11486" w:rsidP="00B1148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0.77</w:t>
            </w:r>
          </w:p>
        </w:tc>
      </w:tr>
    </w:tbl>
    <w:p w14:paraId="764EF5E8" w14:textId="77777777" w:rsidR="00831E18" w:rsidRPr="00B11486" w:rsidRDefault="00831E18">
      <w:pPr>
        <w:spacing w:line="360" w:lineRule="auto"/>
        <w:jc w:val="both"/>
        <w:rPr>
          <w:rFonts w:ascii="Times New Roman" w:eastAsia="Times New Roman" w:hAnsi="Times New Roman" w:cs="Times New Roman"/>
          <w:b/>
          <w:i/>
          <w:sz w:val="24"/>
          <w:szCs w:val="24"/>
        </w:rPr>
      </w:pPr>
    </w:p>
    <w:p w14:paraId="4E3CBC0B" w14:textId="77777777" w:rsidR="00831E18" w:rsidRPr="00B11486" w:rsidRDefault="00000000">
      <w:pPr>
        <w:spacing w:line="360" w:lineRule="auto"/>
        <w:jc w:val="both"/>
        <w:rPr>
          <w:rFonts w:ascii="Times New Roman" w:eastAsia="Times New Roman" w:hAnsi="Times New Roman" w:cs="Times New Roman"/>
          <w:b/>
          <w:i/>
          <w:sz w:val="24"/>
          <w:szCs w:val="24"/>
        </w:rPr>
      </w:pPr>
      <w:r w:rsidRPr="00B11486">
        <w:rPr>
          <w:rFonts w:ascii="Times New Roman" w:eastAsia="Times New Roman" w:hAnsi="Times New Roman" w:cs="Times New Roman"/>
          <w:b/>
          <w:i/>
          <w:sz w:val="24"/>
          <w:szCs w:val="24"/>
        </w:rPr>
        <w:t>9- Gearing ratio:</w:t>
      </w:r>
    </w:p>
    <w:p w14:paraId="0B06C818" w14:textId="77777777" w:rsidR="00831E18" w:rsidRPr="00B11486" w:rsidRDefault="00000000">
      <w:pPr>
        <w:spacing w:line="360" w:lineRule="auto"/>
        <w:jc w:val="both"/>
        <w:rPr>
          <w:rFonts w:ascii="Times New Roman" w:eastAsia="Times New Roman" w:hAnsi="Times New Roman" w:cs="Times New Roman"/>
          <w:sz w:val="24"/>
          <w:szCs w:val="24"/>
        </w:rPr>
      </w:pPr>
      <w:r w:rsidRPr="00B11486">
        <w:rPr>
          <w:rFonts w:ascii="Times New Roman" w:eastAsia="Times New Roman" w:hAnsi="Times New Roman" w:cs="Times New Roman"/>
          <w:sz w:val="24"/>
          <w:szCs w:val="24"/>
        </w:rPr>
        <w:t xml:space="preserve">The proportion of equity that is financed by the long-term debts of the firm is expressed by the gearing ratio. If this ratio is larger, it implies that the financial leverage of the company is greater as the majority of the company’s equity is financed by the debts as debt financing (CFI Team, 2022). </w:t>
      </w:r>
    </w:p>
    <w:tbl>
      <w:tblPr>
        <w:tblStyle w:val="ListTable3-Accent4"/>
        <w:tblW w:w="9325" w:type="dxa"/>
        <w:tblLook w:val="04A0" w:firstRow="1" w:lastRow="0" w:firstColumn="1" w:lastColumn="0" w:noHBand="0" w:noVBand="1"/>
      </w:tblPr>
      <w:tblGrid>
        <w:gridCol w:w="6408"/>
        <w:gridCol w:w="1527"/>
        <w:gridCol w:w="1390"/>
      </w:tblGrid>
      <w:tr w:rsidR="00B11486" w:rsidRPr="00B11486" w14:paraId="540E3B1F" w14:textId="77777777" w:rsidTr="00B11486">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9325" w:type="dxa"/>
            <w:gridSpan w:val="3"/>
            <w:noWrap/>
            <w:hideMark/>
          </w:tcPr>
          <w:p w14:paraId="7B78602B" w14:textId="77777777" w:rsidR="00B11486" w:rsidRPr="00B11486" w:rsidRDefault="00B11486" w:rsidP="00B11486">
            <w:pPr>
              <w:jc w:val="center"/>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lastRenderedPageBreak/>
              <w:t>Calculation or gearing ratio</w:t>
            </w:r>
          </w:p>
        </w:tc>
      </w:tr>
      <w:tr w:rsidR="00B11486" w:rsidRPr="00B11486" w14:paraId="16721828" w14:textId="77777777" w:rsidTr="00B11486">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6408" w:type="dxa"/>
            <w:noWrap/>
            <w:hideMark/>
          </w:tcPr>
          <w:p w14:paraId="40FEE483" w14:textId="77777777" w:rsidR="00B11486" w:rsidRPr="00B11486" w:rsidRDefault="00B11486" w:rsidP="00B11486">
            <w:pPr>
              <w:jc w:val="center"/>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Particulars</w:t>
            </w:r>
          </w:p>
        </w:tc>
        <w:tc>
          <w:tcPr>
            <w:tcW w:w="1527" w:type="dxa"/>
            <w:noWrap/>
            <w:hideMark/>
          </w:tcPr>
          <w:p w14:paraId="0D913DAD"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2022</w:t>
            </w:r>
          </w:p>
        </w:tc>
        <w:tc>
          <w:tcPr>
            <w:tcW w:w="1389" w:type="dxa"/>
            <w:noWrap/>
            <w:hideMark/>
          </w:tcPr>
          <w:p w14:paraId="17F7BF49" w14:textId="77777777" w:rsidR="00B11486" w:rsidRPr="00B11486" w:rsidRDefault="00B11486" w:rsidP="00B1148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2021</w:t>
            </w:r>
          </w:p>
        </w:tc>
      </w:tr>
      <w:tr w:rsidR="00B11486" w:rsidRPr="00B11486" w14:paraId="097D4576" w14:textId="77777777" w:rsidTr="00B11486">
        <w:trPr>
          <w:trHeight w:val="500"/>
        </w:trPr>
        <w:tc>
          <w:tcPr>
            <w:cnfStyle w:val="001000000000" w:firstRow="0" w:lastRow="0" w:firstColumn="1" w:lastColumn="0" w:oddVBand="0" w:evenVBand="0" w:oddHBand="0" w:evenHBand="0" w:firstRowFirstColumn="0" w:firstRowLastColumn="0" w:lastRowFirstColumn="0" w:lastRowLastColumn="0"/>
            <w:tcW w:w="6408" w:type="dxa"/>
            <w:noWrap/>
            <w:hideMark/>
          </w:tcPr>
          <w:p w14:paraId="321578B2" w14:textId="77777777" w:rsidR="00B11486" w:rsidRPr="00B11486" w:rsidRDefault="00B11486" w:rsidP="00B11486">
            <w:pPr>
              <w:jc w:val="center"/>
              <w:rPr>
                <w:rFonts w:ascii="Times New Roman" w:eastAsia="Times New Roman" w:hAnsi="Times New Roman" w:cs="Times New Roman"/>
                <w:b w:val="0"/>
                <w:bCs w:val="0"/>
                <w:color w:val="000000"/>
                <w:sz w:val="24"/>
                <w:szCs w:val="24"/>
                <w:lang w:val="en-IN"/>
              </w:rPr>
            </w:pPr>
            <w:r w:rsidRPr="00B11486">
              <w:rPr>
                <w:rFonts w:ascii="Times New Roman" w:eastAsia="Times New Roman" w:hAnsi="Times New Roman" w:cs="Times New Roman"/>
                <w:b w:val="0"/>
                <w:bCs w:val="0"/>
                <w:color w:val="000000"/>
                <w:sz w:val="24"/>
                <w:szCs w:val="24"/>
                <w:lang w:val="en-IN"/>
              </w:rPr>
              <w:t>Loans and borrowings</w:t>
            </w:r>
          </w:p>
        </w:tc>
        <w:tc>
          <w:tcPr>
            <w:tcW w:w="1527" w:type="dxa"/>
            <w:noWrap/>
            <w:hideMark/>
          </w:tcPr>
          <w:p w14:paraId="7CC4070C" w14:textId="77777777" w:rsidR="00B11486" w:rsidRPr="00B11486" w:rsidRDefault="00B11486" w:rsidP="00B114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4137</w:t>
            </w:r>
          </w:p>
        </w:tc>
        <w:tc>
          <w:tcPr>
            <w:tcW w:w="1389" w:type="dxa"/>
            <w:noWrap/>
            <w:hideMark/>
          </w:tcPr>
          <w:p w14:paraId="074F5505" w14:textId="77777777" w:rsidR="00B11486" w:rsidRPr="00B11486" w:rsidRDefault="00B11486" w:rsidP="00B114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4129</w:t>
            </w:r>
          </w:p>
        </w:tc>
      </w:tr>
      <w:tr w:rsidR="00B11486" w:rsidRPr="00B11486" w14:paraId="6309B9DE" w14:textId="77777777" w:rsidTr="00B11486">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6408" w:type="dxa"/>
            <w:noWrap/>
            <w:hideMark/>
          </w:tcPr>
          <w:p w14:paraId="25DE6C87" w14:textId="77777777" w:rsidR="00B11486" w:rsidRPr="00B11486" w:rsidRDefault="00B11486" w:rsidP="00B11486">
            <w:pPr>
              <w:jc w:val="center"/>
              <w:rPr>
                <w:rFonts w:ascii="Times New Roman" w:eastAsia="Times New Roman" w:hAnsi="Times New Roman" w:cs="Times New Roman"/>
                <w:b w:val="0"/>
                <w:bCs w:val="0"/>
                <w:color w:val="000000"/>
                <w:sz w:val="24"/>
                <w:szCs w:val="24"/>
                <w:lang w:val="en-IN"/>
              </w:rPr>
            </w:pPr>
            <w:r w:rsidRPr="00B11486">
              <w:rPr>
                <w:rFonts w:ascii="Times New Roman" w:eastAsia="Times New Roman" w:hAnsi="Times New Roman" w:cs="Times New Roman"/>
                <w:b w:val="0"/>
                <w:bCs w:val="0"/>
                <w:color w:val="000000"/>
                <w:sz w:val="24"/>
                <w:szCs w:val="24"/>
                <w:lang w:val="en-IN"/>
              </w:rPr>
              <w:t>Shareholder's equity</w:t>
            </w:r>
          </w:p>
        </w:tc>
        <w:tc>
          <w:tcPr>
            <w:tcW w:w="1527" w:type="dxa"/>
            <w:noWrap/>
            <w:hideMark/>
          </w:tcPr>
          <w:p w14:paraId="60F63468" w14:textId="77777777" w:rsidR="00B11486" w:rsidRPr="00B11486" w:rsidRDefault="00B11486" w:rsidP="00B114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3,088</w:t>
            </w:r>
          </w:p>
        </w:tc>
        <w:tc>
          <w:tcPr>
            <w:tcW w:w="1389" w:type="dxa"/>
            <w:noWrap/>
            <w:hideMark/>
          </w:tcPr>
          <w:p w14:paraId="604570EA" w14:textId="77777777" w:rsidR="00B11486" w:rsidRPr="00B11486" w:rsidRDefault="00B11486" w:rsidP="00B114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2,912</w:t>
            </w:r>
          </w:p>
        </w:tc>
      </w:tr>
      <w:tr w:rsidR="00B11486" w:rsidRPr="00B11486" w14:paraId="303553A0" w14:textId="77777777" w:rsidTr="00B11486">
        <w:trPr>
          <w:trHeight w:val="500"/>
        </w:trPr>
        <w:tc>
          <w:tcPr>
            <w:cnfStyle w:val="001000000000" w:firstRow="0" w:lastRow="0" w:firstColumn="1" w:lastColumn="0" w:oddVBand="0" w:evenVBand="0" w:oddHBand="0" w:evenHBand="0" w:firstRowFirstColumn="0" w:firstRowLastColumn="0" w:lastRowFirstColumn="0" w:lastRowLastColumn="0"/>
            <w:tcW w:w="6408" w:type="dxa"/>
            <w:noWrap/>
            <w:hideMark/>
          </w:tcPr>
          <w:p w14:paraId="072C52F7" w14:textId="77777777" w:rsidR="00B11486" w:rsidRPr="00B11486" w:rsidRDefault="00B11486" w:rsidP="00B11486">
            <w:pPr>
              <w:jc w:val="center"/>
              <w:rPr>
                <w:rFonts w:ascii="Times New Roman" w:eastAsia="Times New Roman" w:hAnsi="Times New Roman" w:cs="Times New Roman"/>
                <w:b w:val="0"/>
                <w:bCs w:val="0"/>
                <w:color w:val="000000"/>
                <w:sz w:val="24"/>
                <w:szCs w:val="24"/>
                <w:lang w:val="en-IN"/>
              </w:rPr>
            </w:pPr>
            <w:r w:rsidRPr="00B11486">
              <w:rPr>
                <w:rFonts w:ascii="Times New Roman" w:eastAsia="Times New Roman" w:hAnsi="Times New Roman" w:cs="Times New Roman"/>
                <w:b w:val="0"/>
                <w:bCs w:val="0"/>
                <w:color w:val="000000"/>
                <w:sz w:val="24"/>
                <w:szCs w:val="24"/>
                <w:lang w:val="en-IN"/>
              </w:rPr>
              <w:t>Gearing ratio= loans and borrowings/shareholder equity</w:t>
            </w:r>
          </w:p>
        </w:tc>
        <w:tc>
          <w:tcPr>
            <w:tcW w:w="1527" w:type="dxa"/>
            <w:noWrap/>
            <w:hideMark/>
          </w:tcPr>
          <w:p w14:paraId="4A7794FD" w14:textId="77777777" w:rsidR="00B11486" w:rsidRPr="00B11486" w:rsidRDefault="00B11486" w:rsidP="00B114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1.420673077</w:t>
            </w:r>
          </w:p>
        </w:tc>
        <w:tc>
          <w:tcPr>
            <w:tcW w:w="1389" w:type="dxa"/>
            <w:noWrap/>
            <w:hideMark/>
          </w:tcPr>
          <w:p w14:paraId="689B7DC8" w14:textId="77777777" w:rsidR="00B11486" w:rsidRPr="00B11486" w:rsidRDefault="00B11486" w:rsidP="00B114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1.41792582</w:t>
            </w:r>
          </w:p>
        </w:tc>
      </w:tr>
    </w:tbl>
    <w:p w14:paraId="3B90E75D" w14:textId="77777777" w:rsidR="00831E18" w:rsidRDefault="00831E18">
      <w:pPr>
        <w:spacing w:line="360" w:lineRule="auto"/>
        <w:jc w:val="both"/>
        <w:rPr>
          <w:rFonts w:ascii="Times New Roman" w:eastAsia="Times New Roman" w:hAnsi="Times New Roman" w:cs="Times New Roman"/>
          <w:b/>
          <w:i/>
          <w:sz w:val="24"/>
          <w:szCs w:val="24"/>
        </w:rPr>
      </w:pPr>
    </w:p>
    <w:p w14:paraId="4108BCA4" w14:textId="77777777" w:rsidR="00831E1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10- Interest cover:</w:t>
      </w:r>
    </w:p>
    <w:p w14:paraId="0739C1F6" w14:textId="77777777"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cover ratio evaluates the number of times the payment for current interests can be covered by the business using the evaluated profit. A higher interest cover ratio signifies better financial health of the business (</w:t>
      </w:r>
      <w:r>
        <w:rPr>
          <w:rFonts w:ascii="Times New Roman" w:eastAsia="Times New Roman" w:hAnsi="Times New Roman" w:cs="Times New Roman"/>
          <w:sz w:val="24"/>
          <w:szCs w:val="24"/>
          <w:highlight w:val="white"/>
        </w:rPr>
        <w:t>GoCardless, 2020)</w:t>
      </w:r>
      <w:r>
        <w:rPr>
          <w:rFonts w:ascii="Times New Roman" w:eastAsia="Times New Roman" w:hAnsi="Times New Roman" w:cs="Times New Roman"/>
          <w:sz w:val="24"/>
          <w:szCs w:val="24"/>
        </w:rPr>
        <w:t xml:space="preserve">.   </w:t>
      </w:r>
    </w:p>
    <w:tbl>
      <w:tblPr>
        <w:tblStyle w:val="GridTable5Dark-Accent6"/>
        <w:tblW w:w="9351"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24"/>
        <w:gridCol w:w="2268"/>
        <w:gridCol w:w="1559"/>
      </w:tblGrid>
      <w:tr w:rsidR="00B11486" w:rsidRPr="00B11486" w14:paraId="4017C83C" w14:textId="77777777" w:rsidTr="00B11486">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9351" w:type="dxa"/>
            <w:gridSpan w:val="3"/>
            <w:tcBorders>
              <w:top w:val="none" w:sz="0" w:space="0" w:color="auto"/>
              <w:left w:val="none" w:sz="0" w:space="0" w:color="auto"/>
              <w:right w:val="none" w:sz="0" w:space="0" w:color="auto"/>
            </w:tcBorders>
            <w:noWrap/>
            <w:hideMark/>
          </w:tcPr>
          <w:p w14:paraId="4D8D4834" w14:textId="77777777" w:rsidR="00B11486" w:rsidRPr="00B11486" w:rsidRDefault="00B11486" w:rsidP="00B11486">
            <w:pPr>
              <w:spacing w:line="360" w:lineRule="auto"/>
              <w:jc w:val="center"/>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Calculation of interest cover</w:t>
            </w:r>
          </w:p>
        </w:tc>
      </w:tr>
      <w:tr w:rsidR="00B11486" w:rsidRPr="00B11486" w14:paraId="76521618" w14:textId="77777777" w:rsidTr="00B11486">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5524" w:type="dxa"/>
            <w:tcBorders>
              <w:left w:val="none" w:sz="0" w:space="0" w:color="auto"/>
            </w:tcBorders>
            <w:noWrap/>
            <w:hideMark/>
          </w:tcPr>
          <w:p w14:paraId="6B697B5D" w14:textId="77777777" w:rsidR="00B11486" w:rsidRPr="00B11486" w:rsidRDefault="00B11486" w:rsidP="00B11486">
            <w:pPr>
              <w:spacing w:line="360" w:lineRule="auto"/>
              <w:jc w:val="center"/>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Particulars</w:t>
            </w:r>
          </w:p>
        </w:tc>
        <w:tc>
          <w:tcPr>
            <w:tcW w:w="2268" w:type="dxa"/>
            <w:noWrap/>
            <w:hideMark/>
          </w:tcPr>
          <w:p w14:paraId="48AE8942" w14:textId="77777777" w:rsidR="00B11486" w:rsidRPr="00B11486" w:rsidRDefault="00B11486" w:rsidP="00B114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2022</w:t>
            </w:r>
          </w:p>
        </w:tc>
        <w:tc>
          <w:tcPr>
            <w:tcW w:w="1559" w:type="dxa"/>
            <w:noWrap/>
            <w:hideMark/>
          </w:tcPr>
          <w:p w14:paraId="6AD48729" w14:textId="77777777" w:rsidR="00B11486" w:rsidRPr="00B11486" w:rsidRDefault="00B11486" w:rsidP="00B114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B11486">
              <w:rPr>
                <w:rFonts w:ascii="Times New Roman" w:eastAsia="Times New Roman" w:hAnsi="Times New Roman" w:cs="Times New Roman"/>
                <w:b/>
                <w:bCs/>
                <w:color w:val="000000"/>
                <w:sz w:val="24"/>
                <w:szCs w:val="24"/>
                <w:lang w:val="en-IN"/>
              </w:rPr>
              <w:t>2021</w:t>
            </w:r>
          </w:p>
        </w:tc>
      </w:tr>
      <w:tr w:rsidR="00B11486" w:rsidRPr="00B11486" w14:paraId="24AA1EF6" w14:textId="77777777" w:rsidTr="00B11486">
        <w:trPr>
          <w:trHeight w:val="285"/>
        </w:trPr>
        <w:tc>
          <w:tcPr>
            <w:cnfStyle w:val="001000000000" w:firstRow="0" w:lastRow="0" w:firstColumn="1" w:lastColumn="0" w:oddVBand="0" w:evenVBand="0" w:oddHBand="0" w:evenHBand="0" w:firstRowFirstColumn="0" w:firstRowLastColumn="0" w:lastRowFirstColumn="0" w:lastRowLastColumn="0"/>
            <w:tcW w:w="5524" w:type="dxa"/>
            <w:tcBorders>
              <w:left w:val="none" w:sz="0" w:space="0" w:color="auto"/>
            </w:tcBorders>
            <w:noWrap/>
            <w:hideMark/>
          </w:tcPr>
          <w:p w14:paraId="46268DA1" w14:textId="27680A1D" w:rsidR="00B11486" w:rsidRPr="00B11486" w:rsidRDefault="00B11486" w:rsidP="00B11486">
            <w:pPr>
              <w:spacing w:line="360" w:lineRule="auto"/>
              <w:jc w:val="center"/>
              <w:rPr>
                <w:rFonts w:ascii="Times New Roman" w:eastAsia="Times New Roman" w:hAnsi="Times New Roman" w:cs="Times New Roman"/>
                <w:b w:val="0"/>
                <w:bCs w:val="0"/>
                <w:color w:val="000000"/>
                <w:sz w:val="24"/>
                <w:szCs w:val="24"/>
                <w:lang w:val="en-IN"/>
              </w:rPr>
            </w:pPr>
            <w:r w:rsidRPr="00B11486">
              <w:rPr>
                <w:rFonts w:ascii="Times New Roman" w:eastAsia="Times New Roman" w:hAnsi="Times New Roman" w:cs="Times New Roman"/>
                <w:b w:val="0"/>
                <w:bCs w:val="0"/>
                <w:color w:val="000000"/>
                <w:sz w:val="24"/>
                <w:szCs w:val="24"/>
                <w:lang w:val="en-IN"/>
              </w:rPr>
              <w:t>Earnings before interest and taxes (EBIT)</w:t>
            </w:r>
          </w:p>
        </w:tc>
        <w:tc>
          <w:tcPr>
            <w:tcW w:w="2268" w:type="dxa"/>
            <w:noWrap/>
            <w:hideMark/>
          </w:tcPr>
          <w:p w14:paraId="50143D84" w14:textId="77777777" w:rsidR="00B11486" w:rsidRPr="00B11486" w:rsidRDefault="00B11486" w:rsidP="00B114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805</w:t>
            </w:r>
          </w:p>
        </w:tc>
        <w:tc>
          <w:tcPr>
            <w:tcW w:w="1559" w:type="dxa"/>
            <w:noWrap/>
            <w:hideMark/>
          </w:tcPr>
          <w:p w14:paraId="3388DD9A" w14:textId="77777777" w:rsidR="00B11486" w:rsidRPr="00B11486" w:rsidRDefault="00B11486" w:rsidP="00B114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699</w:t>
            </w:r>
          </w:p>
        </w:tc>
      </w:tr>
      <w:tr w:rsidR="00B11486" w:rsidRPr="00B11486" w14:paraId="652A6074" w14:textId="77777777" w:rsidTr="00B11486">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5524" w:type="dxa"/>
            <w:tcBorders>
              <w:left w:val="none" w:sz="0" w:space="0" w:color="auto"/>
            </w:tcBorders>
            <w:noWrap/>
            <w:hideMark/>
          </w:tcPr>
          <w:p w14:paraId="2D7277D2" w14:textId="77777777" w:rsidR="00B11486" w:rsidRPr="00B11486" w:rsidRDefault="00B11486" w:rsidP="00B11486">
            <w:pPr>
              <w:spacing w:line="360" w:lineRule="auto"/>
              <w:jc w:val="center"/>
              <w:rPr>
                <w:rFonts w:ascii="Times New Roman" w:eastAsia="Times New Roman" w:hAnsi="Times New Roman" w:cs="Times New Roman"/>
                <w:b w:val="0"/>
                <w:bCs w:val="0"/>
                <w:color w:val="000000"/>
                <w:sz w:val="24"/>
                <w:szCs w:val="24"/>
                <w:lang w:val="en-IN"/>
              </w:rPr>
            </w:pPr>
            <w:r w:rsidRPr="00B11486">
              <w:rPr>
                <w:rFonts w:ascii="Times New Roman" w:eastAsia="Times New Roman" w:hAnsi="Times New Roman" w:cs="Times New Roman"/>
                <w:b w:val="0"/>
                <w:bCs w:val="0"/>
                <w:color w:val="000000"/>
                <w:sz w:val="24"/>
                <w:szCs w:val="24"/>
                <w:lang w:val="en-IN"/>
              </w:rPr>
              <w:t>Interest expenses</w:t>
            </w:r>
          </w:p>
        </w:tc>
        <w:tc>
          <w:tcPr>
            <w:tcW w:w="2268" w:type="dxa"/>
            <w:noWrap/>
            <w:hideMark/>
          </w:tcPr>
          <w:p w14:paraId="1B6B6C76" w14:textId="77777777" w:rsidR="00B11486" w:rsidRPr="00B11486" w:rsidRDefault="00B11486" w:rsidP="00B114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226</w:t>
            </w:r>
          </w:p>
        </w:tc>
        <w:tc>
          <w:tcPr>
            <w:tcW w:w="1559" w:type="dxa"/>
            <w:noWrap/>
            <w:hideMark/>
          </w:tcPr>
          <w:p w14:paraId="032CB50D" w14:textId="77777777" w:rsidR="00B11486" w:rsidRPr="00B11486" w:rsidRDefault="00B11486" w:rsidP="00B114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181</w:t>
            </w:r>
          </w:p>
        </w:tc>
      </w:tr>
      <w:tr w:rsidR="00B11486" w:rsidRPr="00B11486" w14:paraId="793D598E" w14:textId="77777777" w:rsidTr="00B11486">
        <w:trPr>
          <w:trHeight w:val="285"/>
        </w:trPr>
        <w:tc>
          <w:tcPr>
            <w:cnfStyle w:val="001000000000" w:firstRow="0" w:lastRow="0" w:firstColumn="1" w:lastColumn="0" w:oddVBand="0" w:evenVBand="0" w:oddHBand="0" w:evenHBand="0" w:firstRowFirstColumn="0" w:firstRowLastColumn="0" w:lastRowFirstColumn="0" w:lastRowLastColumn="0"/>
            <w:tcW w:w="5524" w:type="dxa"/>
            <w:tcBorders>
              <w:left w:val="none" w:sz="0" w:space="0" w:color="auto"/>
              <w:bottom w:val="none" w:sz="0" w:space="0" w:color="auto"/>
            </w:tcBorders>
            <w:noWrap/>
            <w:hideMark/>
          </w:tcPr>
          <w:p w14:paraId="25C32CD8" w14:textId="77777777" w:rsidR="00B11486" w:rsidRPr="00B11486" w:rsidRDefault="00B11486" w:rsidP="00B11486">
            <w:pPr>
              <w:spacing w:line="360" w:lineRule="auto"/>
              <w:jc w:val="center"/>
              <w:rPr>
                <w:rFonts w:ascii="Times New Roman" w:eastAsia="Times New Roman" w:hAnsi="Times New Roman" w:cs="Times New Roman"/>
                <w:b w:val="0"/>
                <w:bCs w:val="0"/>
                <w:color w:val="000000"/>
                <w:sz w:val="24"/>
                <w:szCs w:val="24"/>
                <w:lang w:val="en-IN"/>
              </w:rPr>
            </w:pPr>
            <w:r w:rsidRPr="00B11486">
              <w:rPr>
                <w:rFonts w:ascii="Times New Roman" w:eastAsia="Times New Roman" w:hAnsi="Times New Roman" w:cs="Times New Roman"/>
                <w:b w:val="0"/>
                <w:bCs w:val="0"/>
                <w:color w:val="000000"/>
                <w:sz w:val="24"/>
                <w:szCs w:val="24"/>
                <w:lang w:val="en-IN"/>
              </w:rPr>
              <w:t>Interest cover= EBIT/Interest expenses</w:t>
            </w:r>
          </w:p>
        </w:tc>
        <w:tc>
          <w:tcPr>
            <w:tcW w:w="2268" w:type="dxa"/>
            <w:noWrap/>
            <w:hideMark/>
          </w:tcPr>
          <w:p w14:paraId="4B9C17C2" w14:textId="77777777" w:rsidR="00B11486" w:rsidRPr="00B11486" w:rsidRDefault="00B11486" w:rsidP="00B114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3.56</w:t>
            </w:r>
          </w:p>
        </w:tc>
        <w:tc>
          <w:tcPr>
            <w:tcW w:w="1559" w:type="dxa"/>
            <w:noWrap/>
            <w:hideMark/>
          </w:tcPr>
          <w:p w14:paraId="3E485DA5" w14:textId="77777777" w:rsidR="00B11486" w:rsidRPr="00B11486" w:rsidRDefault="00B11486" w:rsidP="00B114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B11486">
              <w:rPr>
                <w:rFonts w:ascii="Times New Roman" w:eastAsia="Times New Roman" w:hAnsi="Times New Roman" w:cs="Times New Roman"/>
                <w:color w:val="000000"/>
                <w:sz w:val="24"/>
                <w:szCs w:val="24"/>
                <w:lang w:val="en-IN"/>
              </w:rPr>
              <w:t>3.86</w:t>
            </w:r>
          </w:p>
        </w:tc>
      </w:tr>
    </w:tbl>
    <w:p w14:paraId="4DD2C0CD" w14:textId="77777777" w:rsidR="00831E18" w:rsidRDefault="00831E18">
      <w:pPr>
        <w:spacing w:line="360" w:lineRule="auto"/>
        <w:jc w:val="both"/>
        <w:rPr>
          <w:rFonts w:ascii="Times New Roman" w:eastAsia="Times New Roman" w:hAnsi="Times New Roman" w:cs="Times New Roman"/>
          <w:b/>
          <w:i/>
          <w:sz w:val="24"/>
          <w:szCs w:val="24"/>
        </w:rPr>
      </w:pPr>
    </w:p>
    <w:p w14:paraId="293B486C" w14:textId="77777777" w:rsidR="00831E1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 Assessment of the company’s financial performance and position</w:t>
      </w:r>
    </w:p>
    <w:p w14:paraId="613AFC65" w14:textId="5F889116" w:rsidR="00831E18" w:rsidRPr="00B1148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performance of Sweets plc can be assessed using the profitability ratios. The net profit margin in 2022 is higher than the net profit margin of 2021, which means the company has performed better. Also, the ROCE ratio is higher, entailing that the capital has been used more effectively by Sweets plc in 2022. The company also makes good use of the shareholder’s equity to generate higher net profit in 2022 as shown by ROE ratio. The utilization of assets has also increased in 2022, because the assets turnover ratio is higher in 2022. The EPS ratio is greater in 2022, resembling that the company makes more profit by selling its shares. Liquidity and efficiency ratios interpret about the financial health of the business. The current ratio has increased in 2022, which refers to better liquidity of Sweets plc that the company can now deal with the short-term obligations more efficiently. However, the current ratio should be more than 1. The company has not improved its position to pay the interests. The trade receivables days have fallen which means the company now manages to collect the owed payments from its customers in less </w:t>
      </w:r>
      <w:r>
        <w:rPr>
          <w:rFonts w:ascii="Times New Roman" w:eastAsia="Times New Roman" w:hAnsi="Times New Roman" w:cs="Times New Roman"/>
          <w:sz w:val="24"/>
          <w:szCs w:val="24"/>
        </w:rPr>
        <w:lastRenderedPageBreak/>
        <w:t xml:space="preserve">time. However, the stock holding days have increased which means the company takes more time to sell its old inventory. Gearing ratio in 2022 is also higher which means that the company has become more financially leveraged in 2022.    </w:t>
      </w:r>
    </w:p>
    <w:p w14:paraId="2EF1A54E" w14:textId="6D129364" w:rsidR="00831E18" w:rsidRDefault="00000000" w:rsidP="00C619E4">
      <w:pPr>
        <w:pStyle w:val="Heading1"/>
        <w:jc w:val="center"/>
      </w:pPr>
      <w:r>
        <w:t>Conclusion</w:t>
      </w:r>
    </w:p>
    <w:p w14:paraId="075F696C" w14:textId="20C27879" w:rsidR="00831E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assessment has discussed how accounting fundamentals are used by the businesses for various purposes. In financial reporting, interpretation of financial statements and evaluation of the performance and health of the business, accounting fundamentals are necessary. To maintain the transparency and accuracy of the company’s financial statements, full </w:t>
      </w:r>
      <w:r w:rsidR="00B11486">
        <w:rPr>
          <w:rFonts w:ascii="Times New Roman" w:eastAsia="Times New Roman" w:hAnsi="Times New Roman" w:cs="Times New Roman"/>
          <w:sz w:val="24"/>
          <w:szCs w:val="24"/>
        </w:rPr>
        <w:t>disclosure</w:t>
      </w:r>
      <w:r>
        <w:rPr>
          <w:rFonts w:ascii="Times New Roman" w:eastAsia="Times New Roman" w:hAnsi="Times New Roman" w:cs="Times New Roman"/>
          <w:sz w:val="24"/>
          <w:szCs w:val="24"/>
        </w:rPr>
        <w:t xml:space="preserve"> of financial information and regulatory compliance are required. Also, the information attached in financial reports are used by the stakeholders of the business for decision-making. Here, the scenarios of Wales plc and </w:t>
      </w:r>
      <w:r w:rsidR="00B11486">
        <w:rPr>
          <w:rFonts w:ascii="Times New Roman" w:eastAsia="Times New Roman" w:hAnsi="Times New Roman" w:cs="Times New Roman"/>
          <w:sz w:val="24"/>
          <w:szCs w:val="24"/>
        </w:rPr>
        <w:t>sweets</w:t>
      </w:r>
      <w:r>
        <w:rPr>
          <w:rFonts w:ascii="Times New Roman" w:eastAsia="Times New Roman" w:hAnsi="Times New Roman" w:cs="Times New Roman"/>
          <w:sz w:val="24"/>
          <w:szCs w:val="24"/>
        </w:rPr>
        <w:t xml:space="preserve"> plc have been considered. </w:t>
      </w:r>
    </w:p>
    <w:p w14:paraId="725BFDAB" w14:textId="77777777" w:rsidR="00831E18" w:rsidRDefault="00831E18">
      <w:pPr>
        <w:spacing w:line="360" w:lineRule="auto"/>
        <w:jc w:val="both"/>
        <w:rPr>
          <w:rFonts w:ascii="Times New Roman" w:eastAsia="Times New Roman" w:hAnsi="Times New Roman" w:cs="Times New Roman"/>
          <w:b/>
          <w:sz w:val="24"/>
          <w:szCs w:val="24"/>
        </w:rPr>
      </w:pPr>
    </w:p>
    <w:p w14:paraId="4E1F741E" w14:textId="77777777" w:rsidR="00831E18" w:rsidRDefault="00831E18">
      <w:pPr>
        <w:spacing w:line="360" w:lineRule="auto"/>
        <w:jc w:val="both"/>
        <w:rPr>
          <w:rFonts w:ascii="Times New Roman" w:eastAsia="Times New Roman" w:hAnsi="Times New Roman" w:cs="Times New Roman"/>
          <w:b/>
          <w:sz w:val="24"/>
          <w:szCs w:val="24"/>
        </w:rPr>
      </w:pPr>
    </w:p>
    <w:p w14:paraId="27B68B6D" w14:textId="77777777" w:rsidR="00831E18" w:rsidRDefault="00000000">
      <w:pPr>
        <w:spacing w:line="360" w:lineRule="auto"/>
        <w:jc w:val="both"/>
        <w:rPr>
          <w:rFonts w:ascii="Times New Roman" w:eastAsia="Times New Roman" w:hAnsi="Times New Roman" w:cs="Times New Roman"/>
          <w:b/>
          <w:sz w:val="24"/>
          <w:szCs w:val="24"/>
        </w:rPr>
      </w:pPr>
      <w:r>
        <w:br w:type="page"/>
      </w:r>
    </w:p>
    <w:p w14:paraId="210F96FD" w14:textId="77777777" w:rsidR="00831E18" w:rsidRDefault="00000000" w:rsidP="00C619E4">
      <w:pPr>
        <w:pStyle w:val="Heading1"/>
        <w:jc w:val="center"/>
      </w:pPr>
      <w:r>
        <w:lastRenderedPageBreak/>
        <w:t>References</w:t>
      </w:r>
    </w:p>
    <w:p w14:paraId="05290D61" w14:textId="77777777" w:rsidR="00B11486" w:rsidRDefault="00B11486">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ACCA. (2023). </w:t>
      </w:r>
      <w:r>
        <w:rPr>
          <w:rFonts w:ascii="Times New Roman" w:eastAsia="Times New Roman" w:hAnsi="Times New Roman" w:cs="Times New Roman"/>
          <w:i/>
          <w:sz w:val="24"/>
          <w:szCs w:val="24"/>
          <w:highlight w:val="white"/>
        </w:rPr>
        <w:t>Chapter 6: Accruals and prepayments</w:t>
      </w:r>
      <w:r>
        <w:rPr>
          <w:rFonts w:ascii="Times New Roman" w:eastAsia="Times New Roman" w:hAnsi="Times New Roman" w:cs="Times New Roman"/>
          <w:sz w:val="24"/>
          <w:szCs w:val="24"/>
          <w:highlight w:val="white"/>
        </w:rPr>
        <w:t>. [online] Available at: https://kfknowledgebank.kaplan.co.uk/acca/chapter-6-accruals-and-prepaymentsv2 [Accessed 27 Nov. 2023].</w:t>
      </w:r>
    </w:p>
    <w:p w14:paraId="12F2FAF4" w14:textId="77777777" w:rsidR="00B11486" w:rsidRDefault="00B1148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Al-Qudah, A.A., (2016). The relationship between each of (return on equity &amp; return on asset) and annual return in the Abu Dhabi Securities Exchange (ADX): Evidence from the United Arab Emirates. </w:t>
      </w:r>
      <w:r>
        <w:rPr>
          <w:rFonts w:ascii="Times New Roman" w:eastAsia="Times New Roman" w:hAnsi="Times New Roman" w:cs="Times New Roman"/>
          <w:i/>
          <w:sz w:val="24"/>
          <w:szCs w:val="24"/>
          <w:highlight w:val="white"/>
        </w:rPr>
        <w:t>Research Journal of Finance and Accounting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(24), pp.100-109.</w:t>
      </w:r>
      <w:r>
        <w:rPr>
          <w:rFonts w:ascii="Times New Roman" w:eastAsia="Times New Roman" w:hAnsi="Times New Roman" w:cs="Times New Roman"/>
          <w:sz w:val="24"/>
          <w:szCs w:val="24"/>
        </w:rPr>
        <w:t xml:space="preserve"> </w:t>
      </w:r>
      <w:hyperlink r:id="rId6">
        <w:r>
          <w:rPr>
            <w:rFonts w:ascii="Times New Roman" w:eastAsia="Times New Roman" w:hAnsi="Times New Roman" w:cs="Times New Roman"/>
            <w:color w:val="1155CC"/>
            <w:sz w:val="24"/>
            <w:szCs w:val="24"/>
            <w:u w:val="single"/>
          </w:rPr>
          <w:t>https://core.ac.uk/download/pdf/234631901.pdf</w:t>
        </w:r>
      </w:hyperlink>
      <w:r>
        <w:rPr>
          <w:rFonts w:ascii="Times New Roman" w:eastAsia="Times New Roman" w:hAnsi="Times New Roman" w:cs="Times New Roman"/>
          <w:sz w:val="24"/>
          <w:szCs w:val="24"/>
        </w:rPr>
        <w:t>.</w:t>
      </w:r>
    </w:p>
    <w:p w14:paraId="0E921A1E" w14:textId="77777777" w:rsidR="00B11486" w:rsidRDefault="00B1148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Barker, R., Lennard, A., Penman, S. and Teixeira, A., (2022). Accounting for intangible assets: suggested solutions. </w:t>
      </w:r>
      <w:r>
        <w:rPr>
          <w:rFonts w:ascii="Times New Roman" w:eastAsia="Times New Roman" w:hAnsi="Times New Roman" w:cs="Times New Roman"/>
          <w:i/>
          <w:sz w:val="24"/>
          <w:szCs w:val="24"/>
          <w:highlight w:val="white"/>
        </w:rPr>
        <w:t>Accounting and Business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52</w:t>
      </w:r>
      <w:r>
        <w:rPr>
          <w:rFonts w:ascii="Times New Roman" w:eastAsia="Times New Roman" w:hAnsi="Times New Roman" w:cs="Times New Roman"/>
          <w:sz w:val="24"/>
          <w:szCs w:val="24"/>
          <w:highlight w:val="white"/>
        </w:rPr>
        <w:t xml:space="preserve">(6), pp.601-630. </w:t>
      </w:r>
      <w:hyperlink r:id="rId7">
        <w:r>
          <w:rPr>
            <w:rFonts w:ascii="Times New Roman" w:eastAsia="Times New Roman" w:hAnsi="Times New Roman" w:cs="Times New Roman"/>
            <w:color w:val="1155CC"/>
            <w:sz w:val="24"/>
            <w:szCs w:val="24"/>
            <w:highlight w:val="white"/>
            <w:u w:val="single"/>
          </w:rPr>
          <w:t>https://www.tandfonline.com/doi/pdf/10.1080/00014788.2021.1938963</w:t>
        </w:r>
      </w:hyperlink>
      <w:r>
        <w:rPr>
          <w:rFonts w:ascii="Times New Roman" w:eastAsia="Times New Roman" w:hAnsi="Times New Roman" w:cs="Times New Roman"/>
          <w:sz w:val="24"/>
          <w:szCs w:val="24"/>
          <w:highlight w:val="white"/>
        </w:rPr>
        <w:t>.</w:t>
      </w:r>
    </w:p>
    <w:p w14:paraId="1600BBAE" w14:textId="77777777" w:rsidR="00B11486" w:rsidRDefault="00B1148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CFI Team (2022). </w:t>
      </w:r>
      <w:r>
        <w:rPr>
          <w:rFonts w:ascii="Times New Roman" w:eastAsia="Times New Roman" w:hAnsi="Times New Roman" w:cs="Times New Roman"/>
          <w:i/>
          <w:sz w:val="24"/>
          <w:szCs w:val="24"/>
        </w:rPr>
        <w:t>Debt to Equity Ratio</w:t>
      </w:r>
      <w:r>
        <w:rPr>
          <w:rFonts w:ascii="Times New Roman" w:eastAsia="Times New Roman" w:hAnsi="Times New Roman" w:cs="Times New Roman"/>
          <w:sz w:val="24"/>
          <w:szCs w:val="24"/>
        </w:rPr>
        <w:t>. [online] Corporate Finance Institute. Available at: https://corporatefinanceinstitute.com/resources/commercial-lending/debt-to-equity-ratio-formula/ [Accessed 13 Nov. 2023].</w:t>
      </w:r>
    </w:p>
    <w:p w14:paraId="352CC054" w14:textId="77777777" w:rsidR="00B11486" w:rsidRDefault="00B1148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Forage (2023). </w:t>
      </w:r>
      <w:r>
        <w:rPr>
          <w:rFonts w:ascii="Times New Roman" w:eastAsia="Times New Roman" w:hAnsi="Times New Roman" w:cs="Times New Roman"/>
          <w:i/>
          <w:sz w:val="24"/>
          <w:szCs w:val="24"/>
        </w:rPr>
        <w:t>Asset Turnover Ratio: Definition and Formula</w:t>
      </w:r>
      <w:r>
        <w:rPr>
          <w:rFonts w:ascii="Times New Roman" w:eastAsia="Times New Roman" w:hAnsi="Times New Roman" w:cs="Times New Roman"/>
          <w:sz w:val="24"/>
          <w:szCs w:val="24"/>
        </w:rPr>
        <w:t>. [online] Forage. Available at: https://www.theforage.com/skills/asset-turnover-ratio [Accessed 27 Nov. 2023].</w:t>
      </w:r>
    </w:p>
    <w:p w14:paraId="10DB2040" w14:textId="77777777" w:rsidR="00B11486" w:rsidRDefault="00B11486">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GoCardless (2020). </w:t>
      </w:r>
      <w:r>
        <w:rPr>
          <w:rFonts w:ascii="Times New Roman" w:eastAsia="Times New Roman" w:hAnsi="Times New Roman" w:cs="Times New Roman"/>
          <w:i/>
          <w:sz w:val="24"/>
          <w:szCs w:val="24"/>
          <w:highlight w:val="white"/>
        </w:rPr>
        <w:t>What Is the Interest Coverage Ratio?</w:t>
      </w:r>
      <w:r>
        <w:rPr>
          <w:rFonts w:ascii="Times New Roman" w:eastAsia="Times New Roman" w:hAnsi="Times New Roman" w:cs="Times New Roman"/>
          <w:sz w:val="24"/>
          <w:szCs w:val="24"/>
          <w:highlight w:val="white"/>
        </w:rPr>
        <w:t xml:space="preserve"> [online] gocardless.com. Available at: https://gocardless.com/guides/posts/interest-coverage-ratio/ [Accessed 27 Nov. 2023].</w:t>
      </w:r>
    </w:p>
    <w:p w14:paraId="4170E089" w14:textId="77777777" w:rsidR="00B11486" w:rsidRDefault="00B1148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Goldstein, I. and Yang, L., (2017). Information disclosure in financial markets. </w:t>
      </w:r>
      <w:r>
        <w:rPr>
          <w:rFonts w:ascii="Times New Roman" w:eastAsia="Times New Roman" w:hAnsi="Times New Roman" w:cs="Times New Roman"/>
          <w:i/>
          <w:sz w:val="24"/>
          <w:szCs w:val="24"/>
          <w:highlight w:val="white"/>
        </w:rPr>
        <w:t>Annual Review of Financial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xml:space="preserve">, pp.101-125. </w:t>
      </w:r>
      <w:hyperlink r:id="rId8">
        <w:r>
          <w:rPr>
            <w:rFonts w:ascii="Times New Roman" w:eastAsia="Times New Roman" w:hAnsi="Times New Roman" w:cs="Times New Roman"/>
            <w:color w:val="1155CC"/>
            <w:sz w:val="24"/>
            <w:szCs w:val="24"/>
            <w:highlight w:val="white"/>
            <w:u w:val="single"/>
          </w:rPr>
          <w:t>https://www.annualreviews.org/doi/full/10.1146/annurev-financial-110716-032355</w:t>
        </w:r>
      </w:hyperlink>
      <w:r>
        <w:rPr>
          <w:rFonts w:ascii="Times New Roman" w:eastAsia="Times New Roman" w:hAnsi="Times New Roman" w:cs="Times New Roman"/>
          <w:sz w:val="24"/>
          <w:szCs w:val="24"/>
          <w:highlight w:val="white"/>
        </w:rPr>
        <w:t>.</w:t>
      </w:r>
    </w:p>
    <w:p w14:paraId="2262C4D5" w14:textId="77777777" w:rsidR="00B11486" w:rsidRDefault="00B11486">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Indeed Career Guide. (2023). </w:t>
      </w:r>
      <w:r>
        <w:rPr>
          <w:rFonts w:ascii="Times New Roman" w:eastAsia="Times New Roman" w:hAnsi="Times New Roman" w:cs="Times New Roman"/>
          <w:i/>
          <w:sz w:val="24"/>
          <w:szCs w:val="24"/>
          <w:highlight w:val="white"/>
        </w:rPr>
        <w:t>How To Calculate Earnings Per Share (With Examples) | Indeed.com</w:t>
      </w:r>
      <w:r>
        <w:rPr>
          <w:rFonts w:ascii="Times New Roman" w:eastAsia="Times New Roman" w:hAnsi="Times New Roman" w:cs="Times New Roman"/>
          <w:sz w:val="24"/>
          <w:szCs w:val="24"/>
          <w:highlight w:val="white"/>
        </w:rPr>
        <w:t>. [online] Available at: https://www.indeed.com/career-advice/career-development/how-to-calculate-earnings-per-share [Accessed 27 Nov. 2023].</w:t>
      </w:r>
    </w:p>
    <w:p w14:paraId="4225E9C8" w14:textId="77777777" w:rsidR="00B11486" w:rsidRDefault="00B1148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Kwak, J.K., (2019). Analysis of inventory turnover as a performance measure in the manufacturing industry. </w:t>
      </w:r>
      <w:r>
        <w:rPr>
          <w:rFonts w:ascii="Times New Roman" w:eastAsia="Times New Roman" w:hAnsi="Times New Roman" w:cs="Times New Roman"/>
          <w:i/>
          <w:sz w:val="24"/>
          <w:szCs w:val="24"/>
          <w:highlight w:val="white"/>
        </w:rPr>
        <w:t>Processes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 xml:space="preserve">(10), p.760. </w:t>
      </w:r>
      <w:hyperlink r:id="rId9">
        <w:r>
          <w:rPr>
            <w:rFonts w:ascii="Times New Roman" w:eastAsia="Times New Roman" w:hAnsi="Times New Roman" w:cs="Times New Roman"/>
            <w:color w:val="1155CC"/>
            <w:sz w:val="24"/>
            <w:szCs w:val="24"/>
            <w:highlight w:val="white"/>
            <w:u w:val="single"/>
          </w:rPr>
          <w:t>https://www.mdpi.com/2227-9717/7/10/760/pdf</w:t>
        </w:r>
      </w:hyperlink>
      <w:r>
        <w:rPr>
          <w:rFonts w:ascii="Times New Roman" w:eastAsia="Times New Roman" w:hAnsi="Times New Roman" w:cs="Times New Roman"/>
          <w:sz w:val="24"/>
          <w:szCs w:val="24"/>
          <w:highlight w:val="white"/>
        </w:rPr>
        <w:t>.</w:t>
      </w:r>
    </w:p>
    <w:p w14:paraId="438685A8" w14:textId="77777777" w:rsidR="00B11486" w:rsidRDefault="00B1148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Lisek, S., Luty, L. and Zioło, M., (2020). Measurement of return on capital employed in assessment of company’s condition. </w:t>
      </w:r>
      <w:r>
        <w:rPr>
          <w:rFonts w:ascii="Times New Roman" w:eastAsia="Times New Roman" w:hAnsi="Times New Roman" w:cs="Times New Roman"/>
          <w:i/>
          <w:sz w:val="24"/>
          <w:szCs w:val="24"/>
          <w:highlight w:val="white"/>
        </w:rPr>
        <w:t>Zeszyty Naukowe Małopolskiej Wyższej Szkoły Ekonomicznej w Tarnowie</w:t>
      </w:r>
      <w:r>
        <w:rPr>
          <w:rFonts w:ascii="Times New Roman" w:eastAsia="Times New Roman" w:hAnsi="Times New Roman" w:cs="Times New Roman"/>
          <w:sz w:val="24"/>
          <w:szCs w:val="24"/>
          <w:highlight w:val="white"/>
        </w:rPr>
        <w:t xml:space="preserve">, (2 (46)), pp.55-67. </w:t>
      </w:r>
      <w:hyperlink r:id="rId10">
        <w:r>
          <w:rPr>
            <w:rFonts w:ascii="Times New Roman" w:eastAsia="Times New Roman" w:hAnsi="Times New Roman" w:cs="Times New Roman"/>
            <w:color w:val="1155CC"/>
            <w:sz w:val="24"/>
            <w:szCs w:val="24"/>
            <w:highlight w:val="white"/>
            <w:u w:val="single"/>
          </w:rPr>
          <w:t>https://cejsh.icm.edu.pl/cejsh/element/bwmeta1.element.desklight-c32c53b3-5677-4573-b1b3-c2ec33b8b304/c/Lisek_Luty_Ziolo_55-67.pdf</w:t>
        </w:r>
      </w:hyperlink>
      <w:r>
        <w:rPr>
          <w:rFonts w:ascii="Times New Roman" w:eastAsia="Times New Roman" w:hAnsi="Times New Roman" w:cs="Times New Roman"/>
          <w:sz w:val="24"/>
          <w:szCs w:val="24"/>
          <w:highlight w:val="white"/>
        </w:rPr>
        <w:t xml:space="preserve">. </w:t>
      </w:r>
    </w:p>
    <w:p w14:paraId="1AC25C5E" w14:textId="77777777" w:rsidR="00B11486" w:rsidRDefault="00B11486">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Lumen Learning. (2023). </w:t>
      </w:r>
      <w:r>
        <w:rPr>
          <w:rFonts w:ascii="Times New Roman" w:eastAsia="Times New Roman" w:hAnsi="Times New Roman" w:cs="Times New Roman"/>
          <w:i/>
          <w:sz w:val="24"/>
          <w:szCs w:val="24"/>
          <w:highlight w:val="white"/>
        </w:rPr>
        <w:t>Preparing a Trial Balance | Financial Accounting</w:t>
      </w:r>
      <w:r>
        <w:rPr>
          <w:rFonts w:ascii="Times New Roman" w:eastAsia="Times New Roman" w:hAnsi="Times New Roman" w:cs="Times New Roman"/>
          <w:sz w:val="24"/>
          <w:szCs w:val="24"/>
          <w:highlight w:val="white"/>
        </w:rPr>
        <w:t>. [online] Available at: https://courses.lumenlearning.com/suny-finaccounting/chapter/preparing-a-trial-balance/ [Accessed 27 Nov. 2023].</w:t>
      </w:r>
    </w:p>
    <w:p w14:paraId="2D5E4FED" w14:textId="77777777" w:rsidR="00B11486" w:rsidRDefault="00B1148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McLaney, E. (2005). </w:t>
      </w:r>
      <w:r>
        <w:rPr>
          <w:rFonts w:ascii="Times New Roman" w:eastAsia="Times New Roman" w:hAnsi="Times New Roman" w:cs="Times New Roman"/>
          <w:i/>
          <w:sz w:val="24"/>
          <w:szCs w:val="24"/>
          <w:highlight w:val="white"/>
        </w:rPr>
        <w:t>Business finance: theory and practice</w:t>
      </w:r>
      <w:r>
        <w:rPr>
          <w:rFonts w:ascii="Times New Roman" w:eastAsia="Times New Roman" w:hAnsi="Times New Roman" w:cs="Times New Roman"/>
          <w:sz w:val="24"/>
          <w:szCs w:val="24"/>
          <w:highlight w:val="white"/>
        </w:rPr>
        <w:t>. Pearson education.</w:t>
      </w:r>
      <w:r>
        <w:rPr>
          <w:rFonts w:ascii="Times New Roman" w:eastAsia="Times New Roman" w:hAnsi="Times New Roman" w:cs="Times New Roman"/>
          <w:sz w:val="24"/>
          <w:szCs w:val="24"/>
        </w:rPr>
        <w:t xml:space="preserve"> </w:t>
      </w:r>
      <w:hyperlink r:id="rId11">
        <w:r>
          <w:rPr>
            <w:rFonts w:ascii="Times New Roman" w:eastAsia="Times New Roman" w:hAnsi="Times New Roman" w:cs="Times New Roman"/>
            <w:color w:val="1155CC"/>
            <w:sz w:val="24"/>
            <w:szCs w:val="24"/>
            <w:u w:val="single"/>
          </w:rPr>
          <w:t>http://103.62.146.201:8081/xmlui/bitstream/handle/1/6074/business%20finance.pdf?sequence=1</w:t>
        </w:r>
      </w:hyperlink>
      <w:r>
        <w:rPr>
          <w:rFonts w:ascii="Times New Roman" w:eastAsia="Times New Roman" w:hAnsi="Times New Roman" w:cs="Times New Roman"/>
          <w:sz w:val="24"/>
          <w:szCs w:val="24"/>
        </w:rPr>
        <w:t>.</w:t>
      </w:r>
    </w:p>
    <w:p w14:paraId="162CFF68" w14:textId="77777777" w:rsidR="00B11486" w:rsidRDefault="00B1148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McLaney, E. and Atrill, P., (2020). </w:t>
      </w:r>
      <w:r>
        <w:rPr>
          <w:rFonts w:ascii="Times New Roman" w:eastAsia="Times New Roman" w:hAnsi="Times New Roman" w:cs="Times New Roman"/>
          <w:i/>
          <w:sz w:val="24"/>
          <w:szCs w:val="24"/>
          <w:highlight w:val="white"/>
        </w:rPr>
        <w:t>Accounting and finance: an introduction</w:t>
      </w:r>
      <w:r>
        <w:rPr>
          <w:rFonts w:ascii="Times New Roman" w:eastAsia="Times New Roman" w:hAnsi="Times New Roman" w:cs="Times New Roman"/>
          <w:sz w:val="24"/>
          <w:szCs w:val="24"/>
          <w:highlight w:val="white"/>
        </w:rPr>
        <w:t xml:space="preserve">. Pearson. </w:t>
      </w:r>
      <w:hyperlink r:id="rId12">
        <w:r>
          <w:rPr>
            <w:rFonts w:ascii="Times New Roman" w:eastAsia="Times New Roman" w:hAnsi="Times New Roman" w:cs="Times New Roman"/>
            <w:color w:val="1155CC"/>
            <w:sz w:val="24"/>
            <w:szCs w:val="24"/>
            <w:highlight w:val="white"/>
            <w:u w:val="single"/>
          </w:rPr>
          <w:t>http://ndl.ethernet.edu.et/bitstream/123456789/935/1/81.pdf.pdf</w:t>
        </w:r>
      </w:hyperlink>
      <w:r>
        <w:rPr>
          <w:rFonts w:ascii="Times New Roman" w:eastAsia="Times New Roman" w:hAnsi="Times New Roman" w:cs="Times New Roman"/>
          <w:sz w:val="24"/>
          <w:szCs w:val="24"/>
          <w:highlight w:val="white"/>
        </w:rPr>
        <w:t>.</w:t>
      </w:r>
    </w:p>
    <w:p w14:paraId="574EF71F" w14:textId="77777777" w:rsidR="00B11486" w:rsidRDefault="00B1148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Naranjo, P., Saavedra, D. and Verdi, R.S., (2014). Financial reporting regulation and financing decisions. </w:t>
      </w:r>
      <w:r>
        <w:rPr>
          <w:rFonts w:ascii="Times New Roman" w:eastAsia="Times New Roman" w:hAnsi="Times New Roman" w:cs="Times New Roman"/>
          <w:i/>
          <w:sz w:val="24"/>
          <w:szCs w:val="24"/>
          <w:highlight w:val="white"/>
        </w:rPr>
        <w:t>Social Sciences Research Network</w:t>
      </w:r>
      <w:r>
        <w:rPr>
          <w:rFonts w:ascii="Times New Roman" w:eastAsia="Times New Roman" w:hAnsi="Times New Roman" w:cs="Times New Roman"/>
          <w:sz w:val="24"/>
          <w:szCs w:val="24"/>
          <w:highlight w:val="white"/>
        </w:rPr>
        <w:t xml:space="preserve">. </w:t>
      </w:r>
      <w:hyperlink r:id="rId13">
        <w:r>
          <w:rPr>
            <w:rFonts w:ascii="Times New Roman" w:eastAsia="Times New Roman" w:hAnsi="Times New Roman" w:cs="Times New Roman"/>
            <w:color w:val="1155CC"/>
            <w:sz w:val="24"/>
            <w:szCs w:val="24"/>
            <w:highlight w:val="white"/>
            <w:u w:val="single"/>
          </w:rPr>
          <w:t>https://www.hbs.edu/faculty/Shared%20Documents/conferences/2017-imo/Rodrigo_nsvcapstruc04052017.pdf</w:t>
        </w:r>
      </w:hyperlink>
      <w:r>
        <w:rPr>
          <w:rFonts w:ascii="Times New Roman" w:eastAsia="Times New Roman" w:hAnsi="Times New Roman" w:cs="Times New Roman"/>
          <w:sz w:val="24"/>
          <w:szCs w:val="24"/>
          <w:highlight w:val="white"/>
        </w:rPr>
        <w:t>.</w:t>
      </w:r>
    </w:p>
    <w:p w14:paraId="0B6B3EE6" w14:textId="77777777" w:rsidR="00B11486" w:rsidRDefault="00B1148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Toms, S. and Fleischman, R.K., (2015). Accounting fundamentals and accounting change: Boulton &amp; Watt and the Springfield Armory. </w:t>
      </w:r>
      <w:r>
        <w:rPr>
          <w:rFonts w:ascii="Times New Roman" w:eastAsia="Times New Roman" w:hAnsi="Times New Roman" w:cs="Times New Roman"/>
          <w:i/>
          <w:sz w:val="24"/>
          <w:szCs w:val="24"/>
          <w:highlight w:val="white"/>
        </w:rPr>
        <w:t>Accounting, organizations and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41</w:t>
      </w:r>
      <w:r>
        <w:rPr>
          <w:rFonts w:ascii="Times New Roman" w:eastAsia="Times New Roman" w:hAnsi="Times New Roman" w:cs="Times New Roman"/>
          <w:sz w:val="24"/>
          <w:szCs w:val="24"/>
          <w:highlight w:val="white"/>
        </w:rPr>
        <w:t>, pp.1-20.</w:t>
      </w:r>
      <w:r>
        <w:rPr>
          <w:rFonts w:ascii="Times New Roman" w:eastAsia="Times New Roman" w:hAnsi="Times New Roman" w:cs="Times New Roman"/>
          <w:sz w:val="24"/>
          <w:szCs w:val="24"/>
        </w:rPr>
        <w:t xml:space="preserve"> </w:t>
      </w:r>
      <w:hyperlink r:id="rId14">
        <w:r>
          <w:rPr>
            <w:rFonts w:ascii="Times New Roman" w:eastAsia="Times New Roman" w:hAnsi="Times New Roman" w:cs="Times New Roman"/>
            <w:color w:val="1155CC"/>
            <w:sz w:val="24"/>
            <w:szCs w:val="24"/>
            <w:u w:val="single"/>
          </w:rPr>
          <w:t>https://akuntansi.uad.ac.id/wp-content/uploads/AOS-2015-41.pdf</w:t>
        </w:r>
      </w:hyperlink>
      <w:r>
        <w:rPr>
          <w:rFonts w:ascii="Times New Roman" w:eastAsia="Times New Roman" w:hAnsi="Times New Roman" w:cs="Times New Roman"/>
          <w:sz w:val="24"/>
          <w:szCs w:val="24"/>
        </w:rPr>
        <w:t>.</w:t>
      </w:r>
    </w:p>
    <w:p w14:paraId="34A16DBB" w14:textId="77777777" w:rsidR="00831E18" w:rsidRDefault="00831E18">
      <w:pPr>
        <w:spacing w:line="360" w:lineRule="auto"/>
        <w:jc w:val="both"/>
        <w:rPr>
          <w:rFonts w:ascii="Times New Roman" w:eastAsia="Times New Roman" w:hAnsi="Times New Roman" w:cs="Times New Roman"/>
          <w:sz w:val="24"/>
          <w:szCs w:val="24"/>
          <w:highlight w:val="white"/>
        </w:rPr>
      </w:pPr>
    </w:p>
    <w:p w14:paraId="2FFB77CD" w14:textId="77777777" w:rsidR="00831E18" w:rsidRDefault="00831E18">
      <w:pPr>
        <w:spacing w:line="360" w:lineRule="auto"/>
        <w:jc w:val="both"/>
        <w:rPr>
          <w:rFonts w:ascii="Times New Roman" w:eastAsia="Times New Roman" w:hAnsi="Times New Roman" w:cs="Times New Roman"/>
          <w:sz w:val="24"/>
          <w:szCs w:val="24"/>
        </w:rPr>
      </w:pPr>
    </w:p>
    <w:p w14:paraId="5D2FB748" w14:textId="77777777" w:rsidR="00831E18" w:rsidRDefault="00831E18">
      <w:pPr>
        <w:jc w:val="center"/>
        <w:rPr>
          <w:rFonts w:ascii="Times New Roman" w:eastAsia="Times New Roman" w:hAnsi="Times New Roman" w:cs="Times New Roman"/>
          <w:sz w:val="24"/>
          <w:szCs w:val="24"/>
        </w:rPr>
      </w:pPr>
    </w:p>
    <w:sectPr w:rsidR="00831E18" w:rsidSect="004D752E">
      <w:headerReference w:type="default" r:id="rId15"/>
      <w:footerReference w:type="default" r:id="rId16"/>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1D561" w14:textId="77777777" w:rsidR="00EE745A" w:rsidRDefault="00EE745A">
      <w:pPr>
        <w:spacing w:line="240" w:lineRule="auto"/>
      </w:pPr>
      <w:r>
        <w:separator/>
      </w:r>
    </w:p>
  </w:endnote>
  <w:endnote w:type="continuationSeparator" w:id="0">
    <w:p w14:paraId="3965A9AB" w14:textId="77777777" w:rsidR="00EE745A" w:rsidRDefault="00EE74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83DEB" w14:textId="77777777" w:rsidR="00831E18" w:rsidRDefault="00000000">
    <w:pPr>
      <w:jc w:val="right"/>
    </w:pPr>
    <w:r>
      <w:fldChar w:fldCharType="begin"/>
    </w:r>
    <w:r>
      <w:instrText>PAGE</w:instrText>
    </w:r>
    <w:r>
      <w:fldChar w:fldCharType="separate"/>
    </w:r>
    <w:r w:rsidR="00057A2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BB11A" w14:textId="77777777" w:rsidR="00EE745A" w:rsidRDefault="00EE745A">
      <w:pPr>
        <w:spacing w:line="240" w:lineRule="auto"/>
      </w:pPr>
      <w:r>
        <w:separator/>
      </w:r>
    </w:p>
  </w:footnote>
  <w:footnote w:type="continuationSeparator" w:id="0">
    <w:p w14:paraId="625DE864" w14:textId="77777777" w:rsidR="00EE745A" w:rsidRDefault="00EE74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5A00D" w14:textId="77777777" w:rsidR="00831E18" w:rsidRDefault="00000000">
    <w:pPr>
      <w:jc w:val="right"/>
    </w:pPr>
    <w:r>
      <w:rPr>
        <w:noProof/>
      </w:rPr>
      <w:drawing>
        <wp:inline distT="114300" distB="114300" distL="114300" distR="114300" wp14:anchorId="34E9886E" wp14:editId="7E23AC6A">
          <wp:extent cx="1552575" cy="6619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52575" cy="66198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E18"/>
    <w:rsid w:val="00031C78"/>
    <w:rsid w:val="00057A29"/>
    <w:rsid w:val="002B3356"/>
    <w:rsid w:val="00486C85"/>
    <w:rsid w:val="004D752E"/>
    <w:rsid w:val="005A7803"/>
    <w:rsid w:val="00831E18"/>
    <w:rsid w:val="008A1A52"/>
    <w:rsid w:val="00A216AA"/>
    <w:rsid w:val="00B11486"/>
    <w:rsid w:val="00C619E4"/>
    <w:rsid w:val="00E058D1"/>
    <w:rsid w:val="00E3702F"/>
    <w:rsid w:val="00EE6371"/>
    <w:rsid w:val="00EE745A"/>
    <w:rsid w:val="00F1273B"/>
    <w:rsid w:val="00F770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7F558"/>
  <w15:docId w15:val="{F6FED12B-F5FE-44CE-8FA8-04C2EBAAF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11486"/>
    <w:pPr>
      <w:keepNext/>
      <w:keepLines/>
      <w:spacing w:before="520" w:after="24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GridTable4-Accent5">
    <w:name w:val="Grid Table 4 Accent 5"/>
    <w:basedOn w:val="TableNormal"/>
    <w:uiPriority w:val="49"/>
    <w:rsid w:val="00057A29"/>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6">
    <w:name w:val="Grid Table 4 Accent 6"/>
    <w:basedOn w:val="TableNormal"/>
    <w:uiPriority w:val="49"/>
    <w:rsid w:val="00E058D1"/>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3">
    <w:name w:val="Grid Table 4 Accent 3"/>
    <w:basedOn w:val="TableNormal"/>
    <w:uiPriority w:val="49"/>
    <w:rsid w:val="00E058D1"/>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2">
    <w:name w:val="Grid Table 4 Accent 2"/>
    <w:basedOn w:val="TableNormal"/>
    <w:uiPriority w:val="49"/>
    <w:rsid w:val="00B11486"/>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4">
    <w:name w:val="Grid Table 4 Accent 4"/>
    <w:basedOn w:val="TableNormal"/>
    <w:uiPriority w:val="49"/>
    <w:rsid w:val="00B11486"/>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6ColourfulAccent2">
    <w:name w:val="Grid Table 6 Colorful Accent 2"/>
    <w:basedOn w:val="TableNormal"/>
    <w:uiPriority w:val="51"/>
    <w:rsid w:val="00B11486"/>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urfulAccent6">
    <w:name w:val="Grid Table 6 Colorful Accent 6"/>
    <w:basedOn w:val="TableNormal"/>
    <w:uiPriority w:val="51"/>
    <w:rsid w:val="00B11486"/>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6ColourfulAccent5">
    <w:name w:val="Grid Table 6 Colorful Accent 5"/>
    <w:basedOn w:val="TableNormal"/>
    <w:uiPriority w:val="51"/>
    <w:rsid w:val="00B11486"/>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stTable7ColourfulAccent3">
    <w:name w:val="List Table 7 Colorful Accent 3"/>
    <w:basedOn w:val="TableNormal"/>
    <w:uiPriority w:val="52"/>
    <w:rsid w:val="00B11486"/>
    <w:pPr>
      <w:spacing w:line="240" w:lineRule="auto"/>
    </w:pPr>
    <w:rPr>
      <w:color w:val="76923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BBB59"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BBB59"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BBB59"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BBB59" w:themeColor="accent3"/>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Accent3">
    <w:name w:val="List Table 3 Accent 3"/>
    <w:basedOn w:val="TableNormal"/>
    <w:uiPriority w:val="48"/>
    <w:rsid w:val="00B11486"/>
    <w:pPr>
      <w:spacing w:line="240" w:lineRule="auto"/>
    </w:pPr>
    <w:tblPr>
      <w:tblStyleRowBandSize w:val="1"/>
      <w:tblStyleColBandSize w:val="1"/>
      <w:tblBorders>
        <w:top w:val="single" w:sz="4" w:space="0" w:color="9BBB59" w:themeColor="accent3"/>
        <w:left w:val="single" w:sz="4" w:space="0" w:color="9BBB59" w:themeColor="accent3"/>
        <w:bottom w:val="single" w:sz="4" w:space="0" w:color="9BBB59" w:themeColor="accent3"/>
        <w:right w:val="single" w:sz="4" w:space="0" w:color="9BBB59" w:themeColor="accent3"/>
      </w:tblBorders>
    </w:tblPr>
    <w:tblStylePr w:type="firstRow">
      <w:rPr>
        <w:b/>
        <w:bCs/>
        <w:color w:val="FFFFFF" w:themeColor="background1"/>
      </w:rPr>
      <w:tblPr/>
      <w:tcPr>
        <w:shd w:val="clear" w:color="auto" w:fill="9BBB59" w:themeFill="accent3"/>
      </w:tcPr>
    </w:tblStylePr>
    <w:tblStylePr w:type="lastRow">
      <w:rPr>
        <w:b/>
        <w:bCs/>
      </w:rPr>
      <w:tblPr/>
      <w:tcPr>
        <w:tcBorders>
          <w:top w:val="double" w:sz="4" w:space="0" w:color="9BBB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BBB59" w:themeColor="accent3"/>
          <w:right w:val="single" w:sz="4" w:space="0" w:color="9BBB59" w:themeColor="accent3"/>
        </w:tcBorders>
      </w:tcPr>
    </w:tblStylePr>
    <w:tblStylePr w:type="band1Horz">
      <w:tblPr/>
      <w:tcPr>
        <w:tcBorders>
          <w:top w:val="single" w:sz="4" w:space="0" w:color="9BBB59" w:themeColor="accent3"/>
          <w:bottom w:val="single" w:sz="4" w:space="0" w:color="9BBB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BBB59" w:themeColor="accent3"/>
          <w:left w:val="nil"/>
        </w:tcBorders>
      </w:tcPr>
    </w:tblStylePr>
    <w:tblStylePr w:type="swCell">
      <w:tblPr/>
      <w:tcPr>
        <w:tcBorders>
          <w:top w:val="double" w:sz="4" w:space="0" w:color="9BBB59" w:themeColor="accent3"/>
          <w:right w:val="nil"/>
        </w:tcBorders>
      </w:tcPr>
    </w:tblStylePr>
  </w:style>
  <w:style w:type="table" w:styleId="ListTable3-Accent4">
    <w:name w:val="List Table 3 Accent 4"/>
    <w:basedOn w:val="TableNormal"/>
    <w:uiPriority w:val="48"/>
    <w:rsid w:val="00B11486"/>
    <w:pPr>
      <w:spacing w:line="240" w:lineRule="auto"/>
    </w:pPr>
    <w:tblPr>
      <w:tblStyleRowBandSize w:val="1"/>
      <w:tblStyleColBandSize w:val="1"/>
      <w:tblBorders>
        <w:top w:val="single" w:sz="4" w:space="0" w:color="8064A2" w:themeColor="accent4"/>
        <w:left w:val="single" w:sz="4" w:space="0" w:color="8064A2" w:themeColor="accent4"/>
        <w:bottom w:val="single" w:sz="4" w:space="0" w:color="8064A2" w:themeColor="accent4"/>
        <w:right w:val="single" w:sz="4" w:space="0" w:color="8064A2" w:themeColor="accent4"/>
      </w:tblBorders>
    </w:tblPr>
    <w:tblStylePr w:type="firstRow">
      <w:rPr>
        <w:b/>
        <w:bCs/>
        <w:color w:val="FFFFFF" w:themeColor="background1"/>
      </w:rPr>
      <w:tblPr/>
      <w:tcPr>
        <w:shd w:val="clear" w:color="auto" w:fill="8064A2" w:themeFill="accent4"/>
      </w:tcPr>
    </w:tblStylePr>
    <w:tblStylePr w:type="lastRow">
      <w:rPr>
        <w:b/>
        <w:bCs/>
      </w:rPr>
      <w:tblPr/>
      <w:tcPr>
        <w:tcBorders>
          <w:top w:val="double" w:sz="4" w:space="0" w:color="8064A2"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4A2" w:themeColor="accent4"/>
          <w:right w:val="single" w:sz="4" w:space="0" w:color="8064A2" w:themeColor="accent4"/>
        </w:tcBorders>
      </w:tcPr>
    </w:tblStylePr>
    <w:tblStylePr w:type="band1Horz">
      <w:tblPr/>
      <w:tcPr>
        <w:tcBorders>
          <w:top w:val="single" w:sz="4" w:space="0" w:color="8064A2" w:themeColor="accent4"/>
          <w:bottom w:val="single" w:sz="4" w:space="0" w:color="8064A2"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4A2" w:themeColor="accent4"/>
          <w:left w:val="nil"/>
        </w:tcBorders>
      </w:tcPr>
    </w:tblStylePr>
    <w:tblStylePr w:type="swCell">
      <w:tblPr/>
      <w:tcPr>
        <w:tcBorders>
          <w:top w:val="double" w:sz="4" w:space="0" w:color="8064A2" w:themeColor="accent4"/>
          <w:right w:val="nil"/>
        </w:tcBorders>
      </w:tcPr>
    </w:tblStylePr>
  </w:style>
  <w:style w:type="table" w:styleId="GridTable5Dark-Accent6">
    <w:name w:val="Grid Table 5 Dark Accent 6"/>
    <w:basedOn w:val="TableNormal"/>
    <w:uiPriority w:val="50"/>
    <w:rsid w:val="00B1148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113538">
      <w:bodyDiv w:val="1"/>
      <w:marLeft w:val="0"/>
      <w:marRight w:val="0"/>
      <w:marTop w:val="0"/>
      <w:marBottom w:val="0"/>
      <w:divBdr>
        <w:top w:val="none" w:sz="0" w:space="0" w:color="auto"/>
        <w:left w:val="none" w:sz="0" w:space="0" w:color="auto"/>
        <w:bottom w:val="none" w:sz="0" w:space="0" w:color="auto"/>
        <w:right w:val="none" w:sz="0" w:space="0" w:color="auto"/>
      </w:divBdr>
    </w:div>
    <w:div w:id="265893343">
      <w:bodyDiv w:val="1"/>
      <w:marLeft w:val="0"/>
      <w:marRight w:val="0"/>
      <w:marTop w:val="0"/>
      <w:marBottom w:val="0"/>
      <w:divBdr>
        <w:top w:val="none" w:sz="0" w:space="0" w:color="auto"/>
        <w:left w:val="none" w:sz="0" w:space="0" w:color="auto"/>
        <w:bottom w:val="none" w:sz="0" w:space="0" w:color="auto"/>
        <w:right w:val="none" w:sz="0" w:space="0" w:color="auto"/>
      </w:divBdr>
    </w:div>
    <w:div w:id="433062502">
      <w:bodyDiv w:val="1"/>
      <w:marLeft w:val="0"/>
      <w:marRight w:val="0"/>
      <w:marTop w:val="0"/>
      <w:marBottom w:val="0"/>
      <w:divBdr>
        <w:top w:val="none" w:sz="0" w:space="0" w:color="auto"/>
        <w:left w:val="none" w:sz="0" w:space="0" w:color="auto"/>
        <w:bottom w:val="none" w:sz="0" w:space="0" w:color="auto"/>
        <w:right w:val="none" w:sz="0" w:space="0" w:color="auto"/>
      </w:divBdr>
    </w:div>
    <w:div w:id="587037974">
      <w:bodyDiv w:val="1"/>
      <w:marLeft w:val="0"/>
      <w:marRight w:val="0"/>
      <w:marTop w:val="0"/>
      <w:marBottom w:val="0"/>
      <w:divBdr>
        <w:top w:val="none" w:sz="0" w:space="0" w:color="auto"/>
        <w:left w:val="none" w:sz="0" w:space="0" w:color="auto"/>
        <w:bottom w:val="none" w:sz="0" w:space="0" w:color="auto"/>
        <w:right w:val="none" w:sz="0" w:space="0" w:color="auto"/>
      </w:divBdr>
    </w:div>
    <w:div w:id="628558689">
      <w:bodyDiv w:val="1"/>
      <w:marLeft w:val="0"/>
      <w:marRight w:val="0"/>
      <w:marTop w:val="0"/>
      <w:marBottom w:val="0"/>
      <w:divBdr>
        <w:top w:val="none" w:sz="0" w:space="0" w:color="auto"/>
        <w:left w:val="none" w:sz="0" w:space="0" w:color="auto"/>
        <w:bottom w:val="none" w:sz="0" w:space="0" w:color="auto"/>
        <w:right w:val="none" w:sz="0" w:space="0" w:color="auto"/>
      </w:divBdr>
    </w:div>
    <w:div w:id="638732547">
      <w:bodyDiv w:val="1"/>
      <w:marLeft w:val="0"/>
      <w:marRight w:val="0"/>
      <w:marTop w:val="0"/>
      <w:marBottom w:val="0"/>
      <w:divBdr>
        <w:top w:val="none" w:sz="0" w:space="0" w:color="auto"/>
        <w:left w:val="none" w:sz="0" w:space="0" w:color="auto"/>
        <w:bottom w:val="none" w:sz="0" w:space="0" w:color="auto"/>
        <w:right w:val="none" w:sz="0" w:space="0" w:color="auto"/>
      </w:divBdr>
    </w:div>
    <w:div w:id="658315494">
      <w:bodyDiv w:val="1"/>
      <w:marLeft w:val="0"/>
      <w:marRight w:val="0"/>
      <w:marTop w:val="0"/>
      <w:marBottom w:val="0"/>
      <w:divBdr>
        <w:top w:val="none" w:sz="0" w:space="0" w:color="auto"/>
        <w:left w:val="none" w:sz="0" w:space="0" w:color="auto"/>
        <w:bottom w:val="none" w:sz="0" w:space="0" w:color="auto"/>
        <w:right w:val="none" w:sz="0" w:space="0" w:color="auto"/>
      </w:divBdr>
    </w:div>
    <w:div w:id="782462921">
      <w:bodyDiv w:val="1"/>
      <w:marLeft w:val="0"/>
      <w:marRight w:val="0"/>
      <w:marTop w:val="0"/>
      <w:marBottom w:val="0"/>
      <w:divBdr>
        <w:top w:val="none" w:sz="0" w:space="0" w:color="auto"/>
        <w:left w:val="none" w:sz="0" w:space="0" w:color="auto"/>
        <w:bottom w:val="none" w:sz="0" w:space="0" w:color="auto"/>
        <w:right w:val="none" w:sz="0" w:space="0" w:color="auto"/>
      </w:divBdr>
    </w:div>
    <w:div w:id="993339471">
      <w:bodyDiv w:val="1"/>
      <w:marLeft w:val="0"/>
      <w:marRight w:val="0"/>
      <w:marTop w:val="0"/>
      <w:marBottom w:val="0"/>
      <w:divBdr>
        <w:top w:val="none" w:sz="0" w:space="0" w:color="auto"/>
        <w:left w:val="none" w:sz="0" w:space="0" w:color="auto"/>
        <w:bottom w:val="none" w:sz="0" w:space="0" w:color="auto"/>
        <w:right w:val="none" w:sz="0" w:space="0" w:color="auto"/>
      </w:divBdr>
    </w:div>
    <w:div w:id="1145321589">
      <w:bodyDiv w:val="1"/>
      <w:marLeft w:val="0"/>
      <w:marRight w:val="0"/>
      <w:marTop w:val="0"/>
      <w:marBottom w:val="0"/>
      <w:divBdr>
        <w:top w:val="none" w:sz="0" w:space="0" w:color="auto"/>
        <w:left w:val="none" w:sz="0" w:space="0" w:color="auto"/>
        <w:bottom w:val="none" w:sz="0" w:space="0" w:color="auto"/>
        <w:right w:val="none" w:sz="0" w:space="0" w:color="auto"/>
      </w:divBdr>
    </w:div>
    <w:div w:id="16519082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nnualreviews.org/doi/full/10.1146/annurev-financial-110716-032355" TargetMode="External"/><Relationship Id="rId13" Type="http://schemas.openxmlformats.org/officeDocument/2006/relationships/hyperlink" Target="https://www.hbs.edu/faculty/Shared%20Documents/conferences/2017-imo/Rodrigo_nsvcapstruc04052017.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andfonline.com/doi/pdf/10.1080/00014788.2021.1938963" TargetMode="External"/><Relationship Id="rId12" Type="http://schemas.openxmlformats.org/officeDocument/2006/relationships/hyperlink" Target="http://ndl.ethernet.edu.et/bitstream/123456789/935/1/81.pdf.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core.ac.uk/download/pdf/234631901.pdf" TargetMode="External"/><Relationship Id="rId11" Type="http://schemas.openxmlformats.org/officeDocument/2006/relationships/hyperlink" Target="http://103.62.146.201:8081/xmlui/bitstream/handle/1/6074/business%20finance.pdf?sequence=1"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cejsh.icm.edu.pl/cejsh/element/bwmeta1.element.desklight-c32c53b3-5677-4573-b1b3-c2ec33b8b304/c/Lisek_Luty_Ziolo_55-67.pdf" TargetMode="External"/><Relationship Id="rId4" Type="http://schemas.openxmlformats.org/officeDocument/2006/relationships/footnotes" Target="footnotes.xml"/><Relationship Id="rId9" Type="http://schemas.openxmlformats.org/officeDocument/2006/relationships/hyperlink" Target="https://www.mdpi.com/2227-9717/7/10/760/pdf" TargetMode="External"/><Relationship Id="rId14" Type="http://schemas.openxmlformats.org/officeDocument/2006/relationships/hyperlink" Target="https://akuntansi.uad.ac.id/wp-content/uploads/AOS-2015-41.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45</TotalTime>
  <Pages>13</Pages>
  <Words>2968</Words>
  <Characters>16922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Rotari</cp:lastModifiedBy>
  <cp:revision>11</cp:revision>
  <dcterms:created xsi:type="dcterms:W3CDTF">2023-11-27T09:15:00Z</dcterms:created>
  <dcterms:modified xsi:type="dcterms:W3CDTF">2023-12-14T19:49:00Z</dcterms:modified>
</cp:coreProperties>
</file>