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BBD2B21" w:rsidP="7E17C4AF" w:rsidRDefault="2BBD2B21" w14:paraId="60DF82EE" w14:textId="56D1F253">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pPr>
      <w:r w:rsidRPr="7E17C4AF" w:rsidR="2BBD2B21">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 xml:space="preserve">Name: Sandie </w:t>
      </w:r>
      <w:r w:rsidRPr="7E17C4AF" w:rsidR="2BBD2B21">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james</w:t>
      </w:r>
      <w:r w:rsidRPr="7E17C4AF" w:rsidR="2BBD2B21">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 xml:space="preserve"> escol </w:t>
      </w:r>
    </w:p>
    <w:p w:rsidR="2BBD2B21" w:rsidP="7E17C4AF" w:rsidRDefault="2BBD2B21" w14:paraId="3AAD0CD7" w14:textId="58E09551">
      <w:pPr>
        <w:pStyle w:val="Normal"/>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pPr>
      <w:r w:rsidRPr="7E17C4AF" w:rsidR="2BBD2B21">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 xml:space="preserve">Student Id: </w:t>
      </w:r>
      <w:r w:rsidRPr="7E17C4AF" w:rsidR="4F89EBFF">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2223946</w:t>
      </w:r>
    </w:p>
    <w:p w:rsidR="34561B21" w:rsidP="7E17C4AF" w:rsidRDefault="34561B21" w14:paraId="08D75D2D" w14:textId="13A3089F">
      <w:pPr>
        <w:pStyle w:val="Normal"/>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pPr>
      <w:r w:rsidRPr="7E17C4AF" w:rsidR="34561B21">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 xml:space="preserve">Module: legal process </w:t>
      </w:r>
    </w:p>
    <w:p w:rsidR="4F89EBFF" w:rsidP="7E17C4AF" w:rsidRDefault="4F89EBFF" w14:paraId="18D428C5" w14:textId="30DB2DB4">
      <w:pPr>
        <w:pStyle w:val="Normal"/>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pPr>
      <w:r w:rsidRPr="7E17C4AF" w:rsidR="4F89EBFF">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Module code</w:t>
      </w:r>
      <w:r w:rsidRPr="7E17C4AF" w:rsidR="4DD7239C">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 BMPL4011</w:t>
      </w:r>
    </w:p>
    <w:p w:rsidR="7E17C4AF" w:rsidP="7E17C4AF" w:rsidRDefault="7E17C4AF" w14:paraId="73C94406" w14:textId="20135668">
      <w:pPr>
        <w:pStyle w:val="Normal"/>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pPr>
    </w:p>
    <w:p w:rsidR="1539CC83" w:rsidP="0CEAF29F" w:rsidRDefault="1539CC83" w14:paraId="73150648" w14:textId="577A4A17">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33"/>
          <w:szCs w:val="33"/>
          <w:lang w:val="en-GB"/>
        </w:rPr>
        <w:t>The Impact of Human Rights on Police Powers in the UK</w:t>
      </w:r>
    </w:p>
    <w:p w:rsidR="1539CC83" w:rsidP="0CEAF29F" w:rsidRDefault="1539CC83" w14:paraId="1EC82177" w14:textId="1E3EED27">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344C5D66" w14:textId="4176B3BA">
      <w:pPr>
        <w:spacing w:before="18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1F4E79" w:themeColor="accent5" w:themeTint="FF" w:themeShade="80"/>
          <w:sz w:val="27"/>
          <w:szCs w:val="27"/>
          <w:lang w:val="en-GB"/>
        </w:rPr>
        <w:t>Introduction</w:t>
      </w:r>
    </w:p>
    <w:p w:rsidR="1539CC83" w:rsidP="0CEAF29F" w:rsidRDefault="1539CC83" w14:paraId="2FCF9ED5" w14:textId="288D2704">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0DA57A06" w14:textId="2BF68BED">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International law defines human rights as the essential freedoms and rights that belong to every person. These rights provide a universal norm that should be respected by institutions and governments to safeguard each person's autonomy, dignity, and well-being. A key piece of legislation that integrates the European Convention on Human Rights (ECHR) into domestic law in the United Kingdom is the Human Rights Act 1998. This paper attempts to investigate how human rights affect police authority in the United Kingdom, emphasising important clauses such the European Convention on Human Rights' Articles 2 (right to life), 3, 5, and 8.</w:t>
      </w:r>
    </w:p>
    <w:p w:rsidR="1539CC83" w:rsidP="0CEAF29F" w:rsidRDefault="1539CC83" w14:paraId="083162E8" w14:textId="6E6D9EA3">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77F2488A" w14:textId="4B8F3788">
      <w:pPr>
        <w:spacing w:before="18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1F4E79" w:themeColor="accent5" w:themeTint="FF" w:themeShade="80"/>
          <w:sz w:val="27"/>
          <w:szCs w:val="27"/>
          <w:lang w:val="en-GB"/>
        </w:rPr>
        <w:t>Human Rights and the Human Rights Act 1998</w:t>
      </w:r>
    </w:p>
    <w:p w:rsidR="1539CC83" w:rsidP="0CEAF29F" w:rsidRDefault="1539CC83" w14:paraId="771C5FFC" w14:textId="3CD947B5">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0BB13001" w14:textId="706A8921">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Human rights are the fundamental freedoms and rights to which every person is entitled, regardless of their nationality, ethnicity, gender, religion, or any other status. International agreements like the European Convention on Human Rights (ECHR) and the Universal Declaration of Human Rights (UDHR) uphold these rights. The Human Rights Act 1998, which went into effect in October 2000, makes it easier for human rights to be protected and upheld in the UK.</w:t>
      </w:r>
    </w:p>
    <w:p w:rsidR="1539CC83" w:rsidP="0CEAF29F" w:rsidRDefault="1539CC83" w14:paraId="700DCA54" w14:textId="4769BAF2">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3566845E" w14:textId="1C50155A">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The Human Rights Act of 1998 integrates the rights and concepts included in the European Convention on Human Rights (ECHR) into UK legislation, providing a domestic framework for the protection of human rights. Courts and tribunals are required under Section 3 of the Act to interpret laws in a way that is consistent with ECHR rights "so far as it is possible to do so." The ECHR's criteria must now be followed by law enforcement activities, which has a substantial impact on how police powers are exercised.</w:t>
      </w:r>
    </w:p>
    <w:p w:rsidR="1539CC83" w:rsidP="0CEAF29F" w:rsidRDefault="1539CC83" w14:paraId="2BAA68E9" w14:textId="55484D2C">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10FB36C9" w14:textId="0E36AED2">
      <w:pPr>
        <w:spacing w:before="18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1F4E79" w:themeColor="accent5" w:themeTint="FF" w:themeShade="80"/>
          <w:sz w:val="27"/>
          <w:szCs w:val="27"/>
          <w:lang w:val="en-GB"/>
        </w:rPr>
        <w:t>Police Powers in the UK</w:t>
      </w:r>
    </w:p>
    <w:p w:rsidR="1539CC83" w:rsidP="0CEAF29F" w:rsidRDefault="1539CC83" w14:paraId="54CF6BD1" w14:textId="5A187FA3">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38FB5685" w14:textId="2E1DD965">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In the UK, statute and common law laws serve as the foundation for police authority. The Police and Criminal Evidence Act of 1984 is the primary piece of law controlling police authority (PACE). PACE, which was enacted to govern many facets of police enforcement, deals with protocols pertaining to arrest, incarceration, and evidence gathering. PACE was created to achieve a balance between protecting individual rights and enabling police enforcement.</w:t>
      </w:r>
    </w:p>
    <w:p w:rsidR="1539CC83" w:rsidP="0CEAF29F" w:rsidRDefault="1539CC83" w14:paraId="10E1F7ED" w14:textId="2339FE1E">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4C989299" w14:textId="1370D2DA">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The Human Rights Act of 1998 introduced the European Convention on Human Rights (ECHR) into domestic law, which significantly broadens the scope of police authority. Section 3 of the Human Rights Act 1998 highlights the need for consistency between national law and international human rights standards by requiring the interpretation of legislation in accordance with ECHR rights. The integration process guarantees that police actions, as regulated by PACE, are now aligned with the broad principles of the European Convention on Human Rights. This serves to emphasise the need of maintaining basic rights and freedoms throughout law enforcement operations.</w:t>
      </w:r>
    </w:p>
    <w:p w:rsidR="1539CC83" w:rsidP="0CEAF29F" w:rsidRDefault="1539CC83" w14:paraId="6C57FA01" w14:textId="24AA3495">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1D6F2E32" w14:textId="3630E075">
      <w:pPr>
        <w:spacing w:before="18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1F4E79" w:themeColor="accent5" w:themeTint="FF" w:themeShade="80"/>
          <w:sz w:val="27"/>
          <w:szCs w:val="27"/>
          <w:lang w:val="en-GB"/>
        </w:rPr>
        <w:t>Article 2: Right to Life</w:t>
      </w:r>
    </w:p>
    <w:p w:rsidR="1539CC83" w:rsidP="0CEAF29F" w:rsidRDefault="1539CC83" w14:paraId="5E9D41FA" w14:textId="2F800A19">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70049964" w14:textId="1EFF7525">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The right to life is protected by Article 2 of the European Convention on Human Rights, which also places a strong emphasis on the sanctity of human life and requires the state to take proactive steps to prevent illegal killings. The right to life is crucial when it comes to police authority. The police have a duty to strike a balance between protecting public safety and order and protecting human life.</w:t>
      </w:r>
    </w:p>
    <w:p w:rsidR="1539CC83" w:rsidP="0CEAF29F" w:rsidRDefault="1539CC83" w14:paraId="1711FC57" w14:textId="10DE59A5">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0E145D4D" w14:textId="3681253F">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One essential component of this equilibrium is the police's use of force. The European Court of Human Rights (ECtHR) determined that fatal force could only be used when absolutely required to achieve a legitimate objective, such as self-defense or the defence of others, in the seminal decision of McCann v. United Kingdom (1995). The 1998 Human Rights Act, in conjunction with PACE, requires that any use of force by the police must be proportionate and justifiable under the circumstances.</w:t>
      </w:r>
    </w:p>
    <w:p w:rsidR="1539CC83" w:rsidP="0CEAF29F" w:rsidRDefault="1539CC83" w14:paraId="14E5556A" w14:textId="6D7FFE73">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5D552BBF" w14:textId="48305307">
      <w:pPr>
        <w:spacing w:before="18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1F4E79" w:themeColor="accent5" w:themeTint="FF" w:themeShade="80"/>
          <w:sz w:val="27"/>
          <w:szCs w:val="27"/>
          <w:lang w:val="en-GB"/>
        </w:rPr>
        <w:t xml:space="preserve">References </w:t>
      </w:r>
    </w:p>
    <w:p w:rsidR="1539CC83" w:rsidP="0CEAF29F" w:rsidRDefault="1539CC83" w14:paraId="6A8F7AA7" w14:textId="54CDD84C">
      <w:pPr>
        <w:spacing w:before="3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1F4E79" w:themeColor="accent5" w:themeTint="FF" w:themeShade="80"/>
          <w:sz w:val="27"/>
          <w:szCs w:val="27"/>
          <w:lang w:val="en-GB"/>
        </w:rPr>
        <w:t>McCann v. United Kingdom (1995) ECHR 324</w:t>
      </w:r>
    </w:p>
    <w:p w:rsidR="1539CC83" w:rsidP="0CEAF29F" w:rsidRDefault="1539CC83" w14:paraId="0E2F78A7" w14:textId="33021B31">
      <w:pPr>
        <w:spacing w:before="0" w:beforeAutospacing="off" w:after="0" w:afterAutospacing="off"/>
        <w:jc w:val="both"/>
      </w:pPr>
      <w:r w:rsidRPr="0CEAF29F" w:rsidR="1539CC83">
        <w:rPr>
          <w:rFonts w:ascii="Symbol" w:hAnsi="Symbol" w:eastAsia="Symbol" w:cs="Symbol"/>
          <w:b w:val="0"/>
          <w:bCs w:val="0"/>
          <w:i w:val="0"/>
          <w:iCs w:val="0"/>
          <w:caps w:val="0"/>
          <w:smallCaps w:val="0"/>
          <w:noProof w:val="0"/>
          <w:color w:val="000000" w:themeColor="text1" w:themeTint="FF" w:themeShade="FF"/>
          <w:sz w:val="27"/>
          <w:szCs w:val="27"/>
          <w:lang w:val="en-GB"/>
        </w:rPr>
        <w:t xml:space="preserve">• </w:t>
      </w: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Article 3: Prohibition of Torture and Inhuman or Degrading Treatment</w:t>
      </w:r>
    </w:p>
    <w:p w:rsidR="1539CC83" w:rsidP="0CEAF29F" w:rsidRDefault="1539CC83" w14:paraId="531D416C" w14:textId="171D71D6">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7A39E235" w14:textId="03823248">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The ECHR forbids cruel, inhuman, or degrading treatment or punishment under Article 3. According to this clause, the state is required to make sure that people are not mistreated in any way, by public or private entities alike. The ban against torture and other cruel or inhumane treatment has an impact on how police behave while making arrests, holding people in custody, and conducting investigations.</w:t>
      </w:r>
    </w:p>
    <w:p w:rsidR="1539CC83" w:rsidP="0CEAF29F" w:rsidRDefault="1539CC83" w14:paraId="7871C91C" w14:textId="21DA15D2">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752D8821" w14:textId="085E78E0">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4EED5873" w14:textId="47D362C4">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The Chahal v. United Kingdom (1996) decision demonstrated that Article 3 covers circumstances where there is a genuine danger of treatment in violation of this clause in addition to deliberate conduct. This affects how marches and other public gatherings where altercations and confrontations are possible are policed. The authorities need to make sure that their actions do not lead to the infliction of inhuman or degrading treatment on individuals, even in the face of challenging circumstances.</w:t>
      </w:r>
    </w:p>
    <w:p w:rsidR="1539CC83" w:rsidP="0CEAF29F" w:rsidRDefault="1539CC83" w14:paraId="294B4CD3" w14:textId="3B8536AE">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1914045C" w14:textId="5276F541">
      <w:pPr>
        <w:spacing w:before="3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09D29697" w14:textId="17BE7D92">
      <w:pPr>
        <w:spacing w:before="3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1F4E79" w:themeColor="accent5" w:themeTint="FF" w:themeShade="80"/>
          <w:sz w:val="27"/>
          <w:szCs w:val="27"/>
          <w:lang w:val="en-GB"/>
        </w:rPr>
        <w:t>Chahal v. United Kingdom (1996) ECHR 49</w:t>
      </w:r>
    </w:p>
    <w:p w:rsidR="1539CC83" w:rsidP="0CEAF29F" w:rsidRDefault="1539CC83" w14:paraId="38DEB144" w14:textId="679F8ABE">
      <w:pPr>
        <w:spacing w:before="0" w:beforeAutospacing="off" w:after="0" w:afterAutospacing="off"/>
        <w:jc w:val="both"/>
      </w:pPr>
      <w:r w:rsidRPr="0CEAF29F" w:rsidR="1539CC83">
        <w:rPr>
          <w:rFonts w:ascii="Symbol" w:hAnsi="Symbol" w:eastAsia="Symbol" w:cs="Symbol"/>
          <w:b w:val="0"/>
          <w:bCs w:val="0"/>
          <w:i w:val="0"/>
          <w:iCs w:val="0"/>
          <w:caps w:val="0"/>
          <w:smallCaps w:val="0"/>
          <w:noProof w:val="0"/>
          <w:color w:val="000000" w:themeColor="text1" w:themeTint="FF" w:themeShade="FF"/>
          <w:sz w:val="27"/>
          <w:szCs w:val="27"/>
          <w:lang w:val="en-GB"/>
        </w:rPr>
        <w:t xml:space="preserve">• </w:t>
      </w: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Article 5: Right to Liberty and Security</w:t>
      </w:r>
    </w:p>
    <w:p w:rsidR="1539CC83" w:rsidP="0CEAF29F" w:rsidRDefault="1539CC83" w14:paraId="45491C7B" w14:textId="3CA3CF77">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369622B7" w14:textId="72C0C92E">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The European Convention on Human Rights (ECHR) protects people from arbitrary arrest and imprisonment by guaranteeing their right to liberty and security. The need and legitimacy of any loss of liberty are subject to stringent conditions imposed by this right. Article 5 has ramifications for arrest practises, pre-trial custody, and the general balance between upholding public order and protecting individual liberties in the context of police authorities.</w:t>
      </w:r>
    </w:p>
    <w:p w:rsidR="1539CC83" w:rsidP="0CEAF29F" w:rsidRDefault="1539CC83" w14:paraId="1466EF1A" w14:textId="3AFC00B4">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6D2701E2" w14:textId="50B2CF4F">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5E3E0539" w14:textId="0DC92C1D">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According to the Human Rights Act of 1998, any restriction of a person's freedom by the police must be legal and have a justifiable aim, like stopping crime or ensuring public safety. This is in line with the PACE tenets, which define the legal parameters for arrest and incarceration. The cops must make sure that everything they do complies with both domestic legislation and the standards set by Article 5 of the ECHR.</w:t>
      </w:r>
    </w:p>
    <w:p w:rsidR="1539CC83" w:rsidP="0CEAF29F" w:rsidRDefault="1539CC83" w14:paraId="2BC25A0C" w14:textId="620B6CD3">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78368FBE" w14:textId="2D442A5C">
      <w:pPr>
        <w:spacing w:before="3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5A138D00" w14:textId="7E230C88">
      <w:pPr>
        <w:spacing w:before="3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1F4E79" w:themeColor="accent5" w:themeTint="FF" w:themeShade="80"/>
          <w:sz w:val="27"/>
          <w:szCs w:val="27"/>
          <w:lang w:val="en-GB"/>
        </w:rPr>
        <w:t>Police and Criminal Evidence Act 1984 (PACE)</w:t>
      </w:r>
    </w:p>
    <w:p w:rsidR="1539CC83" w:rsidP="0CEAF29F" w:rsidRDefault="1539CC83" w14:paraId="5B5883A3" w14:textId="75C778FB">
      <w:pPr>
        <w:spacing w:before="0" w:beforeAutospacing="off" w:after="0" w:afterAutospacing="off"/>
        <w:jc w:val="both"/>
      </w:pPr>
      <w:r w:rsidRPr="0CEAF29F" w:rsidR="1539CC83">
        <w:rPr>
          <w:rFonts w:ascii="Symbol" w:hAnsi="Symbol" w:eastAsia="Symbol" w:cs="Symbol"/>
          <w:b w:val="0"/>
          <w:bCs w:val="0"/>
          <w:i w:val="0"/>
          <w:iCs w:val="0"/>
          <w:caps w:val="0"/>
          <w:smallCaps w:val="0"/>
          <w:noProof w:val="0"/>
          <w:color w:val="000000" w:themeColor="text1" w:themeTint="FF" w:themeShade="FF"/>
          <w:sz w:val="27"/>
          <w:szCs w:val="27"/>
          <w:lang w:val="en-GB"/>
        </w:rPr>
        <w:t xml:space="preserve">• </w:t>
      </w: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Article 8: Right to Respect for Private and Family Life</w:t>
      </w:r>
    </w:p>
    <w:p w:rsidR="1539CC83" w:rsidP="0CEAF29F" w:rsidRDefault="1539CC83" w14:paraId="756FDC81" w14:textId="6E848685">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7F771C73" w14:textId="41C684DB">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The right to respect for one's home, correspondence, and private and family life is safeguarded under Article 8 of the ECHR. This right restricts government meddling in private affairs while acknowledging the value of individual liberty and privacy. Article 8 has consequences for the gathering and use of personal information, surveillance operations, and general respect for people's privacy when it comes to police authorities.</w:t>
      </w:r>
    </w:p>
    <w:p w:rsidR="1539CC83" w:rsidP="0CEAF29F" w:rsidRDefault="1539CC83" w14:paraId="4F141CF0" w14:textId="76C2D96A">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1699062B" w14:textId="139C7A64">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7177D48F" w14:textId="2DE5FE90">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Law enforcement agencies' use of technology, including CCTV cameras and face recognition software, has sparked worries about possible violations of Article 8 rights. According to the Human Rights Act of 1998, any interference with an individual's right to respect for their private life must be legal, required for a justifiable cause, and proportional to the goal, of striking a balance between effective policing and the protection of individual privacy is crucial in ensuring compliance with Article 8.</w:t>
      </w:r>
    </w:p>
    <w:p w:rsidR="1539CC83" w:rsidP="0CEAF29F" w:rsidRDefault="1539CC83" w14:paraId="48D6CD93" w14:textId="639C8E75">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1886FB06" w14:textId="0F92C37C">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130324F4" w14:textId="651132ED">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Since the Human Rights Act of 1998 incorporated the ECHR's principles into domestic law, human rights have a significant influence on police authority in the United Kingdom. Important clauses like Article 2 (right to life), Articles 3, 5, and Article 8 have consequences for the use of police authority and help to shape the legal environment in which law enforcement functions. The police have a responsibility to strike a balance between the need to preserve public safety and order and the requirement to respect people's rights to privacy and dignity.Guidance on the interpretation and implementation of human rights in the context of police is provided by the jurisprudence of the European Court of Human Rights, as demonstrated in seminal judgements. It is imperative that law enforcement organisations be aware of and adhere to these standards to ensure that their actions are lawful, proportionate, and in compliance with human rights principles.</w:t>
      </w:r>
    </w:p>
    <w:p w:rsidR="1539CC83" w:rsidP="0CEAF29F" w:rsidRDefault="1539CC83" w14:paraId="7FE5BC85" w14:textId="7298028A">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5E1827AE" w14:textId="3893FF09">
      <w:pPr>
        <w:spacing w:before="18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1F4E79" w:themeColor="accent5" w:themeTint="FF" w:themeShade="80"/>
          <w:sz w:val="27"/>
          <w:szCs w:val="27"/>
          <w:lang w:val="en-GB"/>
        </w:rPr>
        <w:t xml:space="preserve">Reform Suggestions </w:t>
      </w:r>
    </w:p>
    <w:p w:rsidR="1539CC83" w:rsidP="0CEAF29F" w:rsidRDefault="1539CC83" w14:paraId="3A436904" w14:textId="5EDD525B">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037E436A" w14:textId="78ED5B81">
      <w:pPr>
        <w:spacing w:before="0" w:beforeAutospacing="off" w:after="0" w:afterAutospacing="off"/>
        <w:jc w:val="both"/>
      </w:pPr>
      <w:r w:rsidRPr="0CEAF29F" w:rsidR="1539CC83">
        <w:rPr>
          <w:rFonts w:ascii="Symbol" w:hAnsi="Symbol" w:eastAsia="Symbol" w:cs="Symbol"/>
          <w:b w:val="0"/>
          <w:bCs w:val="0"/>
          <w:i w:val="0"/>
          <w:iCs w:val="0"/>
          <w:caps w:val="0"/>
          <w:smallCaps w:val="0"/>
          <w:noProof w:val="0"/>
          <w:color w:val="000000" w:themeColor="text1" w:themeTint="FF" w:themeShade="FF"/>
          <w:sz w:val="27"/>
          <w:szCs w:val="27"/>
          <w:lang w:val="en-GB"/>
        </w:rPr>
        <w:t xml:space="preserve">• </w:t>
      </w: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Improved Courses of Study: Provide cops with thorough and continuous human rights training (Edwards &amp; Levi, 2008). The fundamentals of the European Convention on Human Rights (ECHR) should be covered in this programme, with an emphasis on Articles 2, 3, 5, and 8. Such programmes would develop a culture of respect for human rights in daily operations by fostering a greater grasp of the legal and ethical aspects of policing obligations.</w:t>
      </w:r>
    </w:p>
    <w:p w:rsidR="1539CC83" w:rsidP="0CEAF29F" w:rsidRDefault="1539CC83" w14:paraId="585E8734" w14:textId="11322D25">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150C41B9" w14:textId="18675747">
      <w:pPr>
        <w:spacing w:before="0" w:beforeAutospacing="off" w:after="0" w:afterAutospacing="off"/>
        <w:jc w:val="both"/>
      </w:pPr>
      <w:r w:rsidRPr="0CEAF29F" w:rsidR="1539CC83">
        <w:rPr>
          <w:rFonts w:ascii="Symbol" w:hAnsi="Symbol" w:eastAsia="Symbol" w:cs="Symbol"/>
          <w:b w:val="0"/>
          <w:bCs w:val="0"/>
          <w:i w:val="0"/>
          <w:iCs w:val="0"/>
          <w:caps w:val="0"/>
          <w:smallCaps w:val="0"/>
          <w:noProof w:val="0"/>
          <w:color w:val="000000" w:themeColor="text1" w:themeTint="FF" w:themeShade="FF"/>
          <w:sz w:val="27"/>
          <w:szCs w:val="27"/>
          <w:lang w:val="en-GB"/>
        </w:rPr>
        <w:t xml:space="preserve">• </w:t>
      </w: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Sturdy Accountability Mechanisms: Create an impartial oversight organisation that has the power to investigateclaims made by law enforcement authorities about abuses of human rights (Ewing, 2002). This organisation should have sufficient funding and authority to hold police personnel responsible for their actions, guaranteeing openness and boosting public confidence in the police.</w:t>
      </w:r>
    </w:p>
    <w:p w:rsidR="1539CC83" w:rsidP="0CEAF29F" w:rsidRDefault="1539CC83" w14:paraId="030DE29D" w14:textId="77D8B688">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15556A66" w14:textId="1E2B9B2A">
      <w:pPr>
        <w:spacing w:before="0" w:beforeAutospacing="off" w:after="0" w:afterAutospacing="off"/>
        <w:jc w:val="both"/>
      </w:pPr>
      <w:r w:rsidRPr="0CEAF29F" w:rsidR="1539CC83">
        <w:rPr>
          <w:rFonts w:ascii="Symbol" w:hAnsi="Symbol" w:eastAsia="Symbol" w:cs="Symbol"/>
          <w:b w:val="0"/>
          <w:bCs w:val="0"/>
          <w:i w:val="0"/>
          <w:iCs w:val="0"/>
          <w:caps w:val="0"/>
          <w:smallCaps w:val="0"/>
          <w:noProof w:val="0"/>
          <w:color w:val="000000" w:themeColor="text1" w:themeTint="FF" w:themeShade="FF"/>
          <w:sz w:val="27"/>
          <w:szCs w:val="27"/>
          <w:lang w:val="en-GB"/>
        </w:rPr>
        <w:t xml:space="preserve">• </w:t>
      </w: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Technological Safety Measures: Establish precise policies and procedures pertaining to the application of surveillance technology (Rowe, 2019). This includes sophisticated techniques like facial recognition software. Achieving compliance with Article 8 of the UN Human Rights Covenant will strike a compromise between efficient law enforcement and protecting people's privacy.</w:t>
      </w:r>
    </w:p>
    <w:p w:rsidR="1539CC83" w:rsidP="0CEAF29F" w:rsidRDefault="1539CC83" w14:paraId="201F564D" w14:textId="64730551">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0B01BE54" w14:textId="177ED36A">
      <w:pPr>
        <w:spacing w:before="18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1F4E79" w:themeColor="accent5" w:themeTint="FF" w:themeShade="80"/>
          <w:sz w:val="27"/>
          <w:szCs w:val="27"/>
          <w:lang w:val="en-GB"/>
        </w:rPr>
        <w:t>Conclusion</w:t>
      </w:r>
    </w:p>
    <w:p w:rsidR="1539CC83" w:rsidP="0CEAF29F" w:rsidRDefault="1539CC83" w14:paraId="751F3246" w14:textId="68EC2927">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34AD17D3" w14:textId="3D8A116E">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In conclusion, a careful balance between the demands of law enforcement and individual rights is required due to the influence of human rights on police powers in the UK, which is notably dictated by the Human Rights Act 1998 and the integration of the European Convention on Human Rights. To better align policing practises with human rights norms, strong accountability structures, improved training, and technology protections are recommended. If put into practise, these changes might lead to a more open, responsible, and rights-abiding legal system, boosting public confidence and defending personal freedoms while pursuing the truth.</w:t>
      </w:r>
    </w:p>
    <w:p w:rsidR="1539CC83" w:rsidP="0CEAF29F" w:rsidRDefault="1539CC83" w14:paraId="366DDB4E" w14:textId="4C92B046">
      <w:pPr>
        <w:spacing w:before="0" w:beforeAutospacing="off" w:after="0" w:afterAutospacing="off"/>
        <w:jc w:val="both"/>
      </w:pPr>
      <w:r w:rsidRPr="7E17C4A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36551909" w:rsidP="7E17C4AF" w:rsidRDefault="36551909" w14:paraId="5E78AED6" w14:textId="48CD8E2A">
      <w:pPr>
        <w:pStyle w:val="Normal"/>
        <w:spacing w:before="0" w:beforeAutospacing="off" w:after="0" w:afterAutospacing="off"/>
        <w:jc w:val="both"/>
        <w:rPr>
          <w:rFonts w:ascii="Calibri" w:hAnsi="Calibri" w:eastAsia="Calibri" w:cs="Calibri"/>
          <w:b w:val="0"/>
          <w:bCs w:val="0"/>
          <w:i w:val="0"/>
          <w:iCs w:val="0"/>
          <w:caps w:val="0"/>
          <w:smallCaps w:val="0"/>
          <w:noProof w:val="0"/>
          <w:color w:val="FF0000"/>
          <w:sz w:val="27"/>
          <w:szCs w:val="27"/>
          <w:lang w:val="en-GB"/>
        </w:rPr>
      </w:pPr>
      <w:r w:rsidRPr="7E17C4AF" w:rsidR="36551909">
        <w:rPr>
          <w:rFonts w:ascii="Calibri" w:hAnsi="Calibri" w:eastAsia="Calibri" w:cs="Calibri"/>
          <w:b w:val="0"/>
          <w:bCs w:val="0"/>
          <w:i w:val="0"/>
          <w:iCs w:val="0"/>
          <w:caps w:val="0"/>
          <w:smallCaps w:val="0"/>
          <w:noProof w:val="0"/>
          <w:color w:val="FF0000"/>
          <w:sz w:val="27"/>
          <w:szCs w:val="27"/>
          <w:lang w:val="en-GB"/>
        </w:rPr>
        <w:t>(Word total 1590)</w:t>
      </w:r>
    </w:p>
    <w:p w:rsidR="1539CC83" w:rsidP="0CEAF29F" w:rsidRDefault="1539CC83" w14:paraId="6EFC90E9" w14:textId="75E5FE73">
      <w:pPr>
        <w:spacing w:before="18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1F4E79" w:themeColor="accent5" w:themeTint="FF" w:themeShade="80"/>
          <w:sz w:val="27"/>
          <w:szCs w:val="27"/>
          <w:lang w:val="en-GB"/>
        </w:rPr>
        <w:t xml:space="preserve">References </w:t>
      </w:r>
    </w:p>
    <w:p w:rsidR="1539CC83" w:rsidP="0CEAF29F" w:rsidRDefault="1539CC83" w14:paraId="62AFDEF8" w14:textId="22F588E1">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4F1D5287" w14:textId="0CC20E61">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Edwards, A., &amp; Levi, R. (2008). Serious Violence, Gangs, and Weapons: Working-Class Violence and the Intergenerational Transmission of Street Cultures. British Journal of Criminology, 48(6), 714–726.</w:t>
      </w:r>
    </w:p>
    <w:p w:rsidR="1539CC83" w:rsidP="0CEAF29F" w:rsidRDefault="1539CC83" w14:paraId="7B6668D6" w14:textId="14DCDC27">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152E0926" w14:textId="666A8F74">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European Convention on Human Rights (ECHR)</w:t>
      </w:r>
    </w:p>
    <w:p w:rsidR="1539CC83" w:rsidP="0CEAF29F" w:rsidRDefault="1539CC83" w14:paraId="21E78A62" w14:textId="078D4FEB">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79DD27F3" w14:textId="0982F234">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Ewing, K. D. (2002). Human Rights and the UK Supreme Court. Modern Law Review, 65(1), 1–16.</w:t>
      </w:r>
    </w:p>
    <w:p w:rsidR="1539CC83" w:rsidP="0CEAF29F" w:rsidRDefault="1539CC83" w14:paraId="6B4DDDE1" w14:textId="58BC779E">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Human Rights Act 1998</w:t>
      </w:r>
    </w:p>
    <w:p w:rsidR="1539CC83" w:rsidP="0CEAF29F" w:rsidRDefault="1539CC83" w14:paraId="60644DA7" w14:textId="7C751441">
      <w:pPr>
        <w:spacing w:before="0" w:beforeAutospacing="off" w:after="0" w:afterAutospacing="off"/>
        <w:jc w:val="both"/>
      </w:pPr>
      <w:r w:rsidRPr="0CEAF29F" w:rsidR="1539CC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539CC83" w:rsidP="0CEAF29F" w:rsidRDefault="1539CC83" w14:paraId="1B685577" w14:textId="0AF69BCB">
      <w:pPr>
        <w:spacing w:before="0" w:beforeAutospacing="off" w:after="0" w:afterAutospacing="off"/>
        <w:jc w:val="both"/>
      </w:pPr>
      <w:r w:rsidRPr="0CEAF29F" w:rsidR="1539CC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Rowe, M. (2019). Policing, Technology, and the Hyper-Real: Transcending the Limits of the Body. Criminology &amp; Criminal Justice, 19(2), 155–170.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C837D8"/>
    <w:rsid w:val="011055DA"/>
    <w:rsid w:val="06EB5F15"/>
    <w:rsid w:val="0B28F9C0"/>
    <w:rsid w:val="0CEAF29F"/>
    <w:rsid w:val="0D87381A"/>
    <w:rsid w:val="14C837D8"/>
    <w:rsid w:val="14CFDC06"/>
    <w:rsid w:val="1539CC83"/>
    <w:rsid w:val="18AEFDC0"/>
    <w:rsid w:val="1F159424"/>
    <w:rsid w:val="1F5158E2"/>
    <w:rsid w:val="20C0A148"/>
    <w:rsid w:val="2481FF5E"/>
    <w:rsid w:val="275C6AC7"/>
    <w:rsid w:val="28F83B28"/>
    <w:rsid w:val="2BBD2B21"/>
    <w:rsid w:val="2FC9C61E"/>
    <w:rsid w:val="338CDAC2"/>
    <w:rsid w:val="34561B21"/>
    <w:rsid w:val="35D6BE30"/>
    <w:rsid w:val="35DEABB6"/>
    <w:rsid w:val="35E511A0"/>
    <w:rsid w:val="36305C82"/>
    <w:rsid w:val="36551909"/>
    <w:rsid w:val="37728E91"/>
    <w:rsid w:val="377A7C17"/>
    <w:rsid w:val="3AB21CD9"/>
    <w:rsid w:val="3D3DAB05"/>
    <w:rsid w:val="3F858DFC"/>
    <w:rsid w:val="41215E5D"/>
    <w:rsid w:val="45057A39"/>
    <w:rsid w:val="452F8CC5"/>
    <w:rsid w:val="45F4CF80"/>
    <w:rsid w:val="47909FE1"/>
    <w:rsid w:val="4B3BA762"/>
    <w:rsid w:val="4DC11DE8"/>
    <w:rsid w:val="4DD7239C"/>
    <w:rsid w:val="4F89EBFF"/>
    <w:rsid w:val="5108C08A"/>
    <w:rsid w:val="52B1FA3A"/>
    <w:rsid w:val="54BED382"/>
    <w:rsid w:val="5A71A7F1"/>
    <w:rsid w:val="5EEE4B4D"/>
    <w:rsid w:val="62284087"/>
    <w:rsid w:val="68934FC9"/>
    <w:rsid w:val="68E732A4"/>
    <w:rsid w:val="6A830305"/>
    <w:rsid w:val="6BE934C9"/>
    <w:rsid w:val="73DB1689"/>
    <w:rsid w:val="76509FA9"/>
    <w:rsid w:val="7A41ACED"/>
    <w:rsid w:val="7AA11455"/>
    <w:rsid w:val="7C3CE4B6"/>
    <w:rsid w:val="7E17C4AF"/>
    <w:rsid w:val="7E680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837D8"/>
  <w15:chartTrackingRefBased/>
  <w15:docId w15:val="{FA444093-8F5E-4777-9998-AC92D277B1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Sandie James Escol (2223946)</dc:creator>
  <keywords/>
  <dc:description/>
  <lastModifiedBy>Sandie James Escol (2223946)</lastModifiedBy>
  <revision>4</revision>
  <dcterms:created xsi:type="dcterms:W3CDTF">2023-11-30T21:10:18.1427552Z</dcterms:created>
  <dcterms:modified xsi:type="dcterms:W3CDTF">2023-12-04T14:35:20.8074629Z</dcterms:modified>
</coreProperties>
</file>