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D89AC3" w14:textId="77777777" w:rsidR="00B45319" w:rsidRDefault="00B45319"/>
    <w:p w14:paraId="2C32C7D9" w14:textId="77777777" w:rsidR="00B45319" w:rsidRDefault="00B45319"/>
    <w:p w14:paraId="7128E929" w14:textId="17648AC8" w:rsidR="00B45319" w:rsidRPr="004D52D0" w:rsidRDefault="00B45319">
      <w:pPr>
        <w:rPr>
          <w:u w:val="single"/>
          <w:lang w:val="fr-FR"/>
        </w:rPr>
      </w:pPr>
      <w:r w:rsidRPr="004D52D0">
        <w:rPr>
          <w:u w:val="single"/>
          <w:lang w:val="fr-FR"/>
        </w:rPr>
        <w:t xml:space="preserve">Contribution </w:t>
      </w:r>
      <w:r w:rsidR="005D51CF" w:rsidRPr="004D52D0">
        <w:rPr>
          <w:u w:val="single"/>
          <w:lang w:val="fr-FR"/>
        </w:rPr>
        <w:t>Log :</w:t>
      </w:r>
    </w:p>
    <w:p w14:paraId="2DEDC047" w14:textId="77777777" w:rsidR="00B45319" w:rsidRPr="00E03F19" w:rsidRDefault="00B45319">
      <w:pPr>
        <w:rPr>
          <w:lang w:val="fr-FR"/>
        </w:rPr>
      </w:pPr>
    </w:p>
    <w:p w14:paraId="42E70135" w14:textId="3D3D5206" w:rsidR="00B45319" w:rsidRPr="00E03F19" w:rsidRDefault="00B45319">
      <w:pPr>
        <w:rPr>
          <w:lang w:val="fr-FR"/>
        </w:rPr>
      </w:pPr>
      <w:hyperlink r:id="rId5" w:history="1">
        <w:r w:rsidRPr="00E03F19">
          <w:rPr>
            <w:rStyle w:val="Hyperlink"/>
            <w:lang w:val="fr-FR"/>
          </w:rPr>
          <w:t>https://docs.google.com/document/d/1TEi-r2wst8-YpFy7PNHxKROdt7TpbN0B9p1CnpRyZhY/edit?usp=sharing</w:t>
        </w:r>
      </w:hyperlink>
      <w:r w:rsidRPr="00E03F19">
        <w:rPr>
          <w:lang w:val="fr-FR"/>
        </w:rPr>
        <w:t xml:space="preserve"> </w:t>
      </w:r>
    </w:p>
    <w:p w14:paraId="23FE0CEE" w14:textId="77777777" w:rsidR="00B45319" w:rsidRPr="00E03F19" w:rsidRDefault="00B45319">
      <w:pPr>
        <w:rPr>
          <w:u w:val="single"/>
          <w:lang w:val="fr-FR"/>
        </w:rPr>
      </w:pPr>
    </w:p>
    <w:p w14:paraId="10DFC11E" w14:textId="77777777" w:rsidR="00B45319" w:rsidRPr="00B45319" w:rsidRDefault="00B45319" w:rsidP="00B45319">
      <w:pPr>
        <w:rPr>
          <w:u w:val="single"/>
        </w:rPr>
      </w:pPr>
      <w:r w:rsidRPr="00B45319">
        <w:rPr>
          <w:u w:val="single"/>
        </w:rPr>
        <w:t>The Trustee (Liability) Bill 2024</w:t>
      </w:r>
    </w:p>
    <w:p w14:paraId="73006819" w14:textId="77777777" w:rsidR="00B45319" w:rsidRPr="00B45319" w:rsidRDefault="00B45319" w:rsidP="00B45319">
      <w:r w:rsidRPr="00B45319">
        <w:t>This Bill will seek to revoke the valid use of clauses to exempt or limit the liability of professional trustees in instances where there has been a breach of trust. This Bill will be applicable to all trustees who receive remuneration for their duties as a trustee, irrespective of their exact professional status.</w:t>
      </w:r>
    </w:p>
    <w:p w14:paraId="71A67CDE" w14:textId="094A2CEF" w:rsidR="00B45319" w:rsidRPr="00B45319" w:rsidRDefault="00B45319" w:rsidP="00B45319">
      <w:r w:rsidRPr="00B45319">
        <w:t>1 A) This Bill will be applicable immediately upon its enactment on October 29th</w:t>
      </w:r>
      <w:r w:rsidR="005D51CF" w:rsidRPr="00B45319">
        <w:t>, 2024</w:t>
      </w:r>
      <w:r w:rsidRPr="00B45319">
        <w:t>, and will be applicable to trusts enacted prior to this date.</w:t>
      </w:r>
    </w:p>
    <w:p w14:paraId="1B113F2C" w14:textId="77777777" w:rsidR="00B45319" w:rsidRPr="00B45319" w:rsidRDefault="00B45319" w:rsidP="00B45319">
      <w:r w:rsidRPr="00B45319">
        <w:t>B) Trusts created prior to this bill with the inclusion of exemption clauses will not be deemed as invalid in their entirety, but the exemption clause itself will no longer be applicable.</w:t>
      </w:r>
    </w:p>
    <w:p w14:paraId="7FB12B76" w14:textId="77777777" w:rsidR="00B45319" w:rsidRPr="00B45319" w:rsidRDefault="00B45319" w:rsidP="00B45319">
      <w:r w:rsidRPr="00B45319">
        <w:t>2 A) For the purpose of this Bill, a professional trustee can be defined as any trustee who charges a fee for their services that equals to a sum greater than that of their expenses.</w:t>
      </w:r>
    </w:p>
    <w:p w14:paraId="4ADD3BB6" w14:textId="77777777" w:rsidR="00B45319" w:rsidRPr="00B45319" w:rsidRDefault="00B45319" w:rsidP="00B45319">
      <w:r w:rsidRPr="00B45319">
        <w:t>B) Specific examples of professional trustees will be made available in supplementary statutory instrument. The list is not exhaustive, and the Court reserves the right of discretion where professional status is disputed.</w:t>
      </w:r>
    </w:p>
    <w:p w14:paraId="24489A0C" w14:textId="77777777" w:rsidR="00B45319" w:rsidRPr="00B45319" w:rsidRDefault="00B45319" w:rsidP="00B45319">
      <w:r w:rsidRPr="00B45319">
        <w:t>C) Trustees not acting in a professional capacity will retain the right to use exemption clauses.</w:t>
      </w:r>
    </w:p>
    <w:p w14:paraId="6528ECAF" w14:textId="77777777" w:rsidR="00B45319" w:rsidRDefault="00B45319"/>
    <w:p w14:paraId="61DD7C87" w14:textId="77777777" w:rsidR="008D1EA6" w:rsidRDefault="008D1EA6" w:rsidP="008D1EA6">
      <w:pPr>
        <w:rPr>
          <w:u w:val="single"/>
        </w:rPr>
      </w:pPr>
    </w:p>
    <w:p w14:paraId="41BC6BD2" w14:textId="77777777" w:rsidR="008D1EA6" w:rsidRDefault="008D1EA6" w:rsidP="008D1EA6">
      <w:pPr>
        <w:rPr>
          <w:u w:val="single"/>
        </w:rPr>
      </w:pPr>
    </w:p>
    <w:p w14:paraId="1BFE8863" w14:textId="77777777" w:rsidR="008D1EA6" w:rsidRDefault="008D1EA6" w:rsidP="008D1EA6">
      <w:pPr>
        <w:rPr>
          <w:u w:val="single"/>
        </w:rPr>
      </w:pPr>
    </w:p>
    <w:p w14:paraId="6861C5F6" w14:textId="77777777" w:rsidR="008D1EA6" w:rsidRDefault="008D1EA6" w:rsidP="008D1EA6">
      <w:pPr>
        <w:rPr>
          <w:u w:val="single"/>
        </w:rPr>
      </w:pPr>
    </w:p>
    <w:p w14:paraId="7EA206F8" w14:textId="77777777" w:rsidR="008D1EA6" w:rsidRDefault="008D1EA6" w:rsidP="008D1EA6">
      <w:pPr>
        <w:rPr>
          <w:u w:val="single"/>
        </w:rPr>
      </w:pPr>
    </w:p>
    <w:p w14:paraId="6EA83A0B" w14:textId="09F45D0A" w:rsidR="008D1EA6" w:rsidRPr="00E93842" w:rsidRDefault="008D1EA6" w:rsidP="008D1EA6">
      <w:r w:rsidRPr="00E93842">
        <w:rPr>
          <w:u w:val="single"/>
        </w:rPr>
        <w:lastRenderedPageBreak/>
        <w:t>Write a 2,000 word law reform report which evaluates your group’s proposals to reform an aspect of equity and trusts.</w:t>
      </w:r>
    </w:p>
    <w:p w14:paraId="4C013E37" w14:textId="77777777" w:rsidR="008D1EA6" w:rsidRDefault="008D1EA6"/>
    <w:p w14:paraId="5BBEB063" w14:textId="28B32639" w:rsidR="0053668C" w:rsidRPr="005D51CF" w:rsidRDefault="00DB3E18" w:rsidP="0053668C">
      <w:pPr>
        <w:pStyle w:val="ListParagraph"/>
        <w:numPr>
          <w:ilvl w:val="0"/>
          <w:numId w:val="2"/>
        </w:numPr>
        <w:rPr>
          <w:b/>
          <w:bCs/>
          <w:u w:val="single"/>
        </w:rPr>
      </w:pPr>
      <w:r w:rsidRPr="005D51CF">
        <w:rPr>
          <w:b/>
          <w:bCs/>
          <w:u w:val="single"/>
        </w:rPr>
        <w:t>I</w:t>
      </w:r>
      <w:r w:rsidR="0053668C" w:rsidRPr="005D51CF">
        <w:rPr>
          <w:b/>
          <w:bCs/>
          <w:u w:val="single"/>
        </w:rPr>
        <w:t>ntroduction</w:t>
      </w:r>
      <w:r w:rsidRPr="005D51CF">
        <w:rPr>
          <w:b/>
          <w:bCs/>
          <w:u w:val="single"/>
        </w:rPr>
        <w:t xml:space="preserve"> </w:t>
      </w:r>
    </w:p>
    <w:p w14:paraId="26CE856C" w14:textId="630226A9" w:rsidR="008D1EA6" w:rsidRDefault="008D1EA6" w:rsidP="008D1EA6">
      <w:r w:rsidRPr="008D1EA6">
        <w:t xml:space="preserve">A major issue of concern in trust law that the Trustee (Liability Bill) 2024 seeks to address is the use of exemption clauses by professional trustees to restrict or entirely eradicate their liability in cases of trust breach. </w:t>
      </w:r>
      <w:r w:rsidR="005D51CF">
        <w:t>T</w:t>
      </w:r>
      <w:r w:rsidRPr="008D1EA6">
        <w:t xml:space="preserve">he Trustee Act (2000), summarises in section 1: duty of care, that although there is a legislative responsibility of care placed on trustees when they exercise their authority, although it establishes a standard, there is some flexibility in exemption clauses. This has led to criticism regarding accountability (Armitage v Nurse) [1998] </w:t>
      </w:r>
      <w:r w:rsidR="005D51CF" w:rsidRPr="008D1EA6">
        <w:t>Ch</w:t>
      </w:r>
      <w:r w:rsidRPr="008D1EA6">
        <w:t xml:space="preserve"> 24</w:t>
      </w:r>
      <w:r w:rsidR="003D2942">
        <w:t>1.</w:t>
      </w:r>
      <w:r w:rsidRPr="008D1EA6">
        <w:t xml:space="preserve"> </w:t>
      </w:r>
      <w:r w:rsidR="003D2942">
        <w:t>T</w:t>
      </w:r>
      <w:r w:rsidRPr="008D1EA6">
        <w:t xml:space="preserve">rustees may avoid liability for breaches if exemption clauses are carefully drafted, </w:t>
      </w:r>
      <w:r w:rsidR="003D2942">
        <w:t xml:space="preserve">therefore </w:t>
      </w:r>
      <w:r w:rsidRPr="008D1EA6">
        <w:t xml:space="preserve">trustees are limited in culpability as long as they are not wrongful </w:t>
      </w:r>
      <w:r w:rsidR="003D2942">
        <w:t xml:space="preserve">in </w:t>
      </w:r>
      <w:r w:rsidRPr="008D1EA6">
        <w:t xml:space="preserve">fraud or gross negligence; therefore beneficiaries may not acknowledge these clauses and this can lead to a loss of inheritance. By removing these exemptions for all professional trustees, the proposed bill </w:t>
      </w:r>
      <w:r w:rsidR="005D51CF">
        <w:t>aims to</w:t>
      </w:r>
      <w:r w:rsidRPr="008D1EA6">
        <w:t xml:space="preserve"> bind those who charge for their services to higher duty standards. The current legal framework governing trustee liability and exemption provisions is critically examined, along with its advantages and disadvantages and the possible effects of reform.</w:t>
      </w:r>
    </w:p>
    <w:p w14:paraId="7494E21A" w14:textId="77777777" w:rsidR="0053668C" w:rsidRDefault="0053668C" w:rsidP="008D1EA6"/>
    <w:p w14:paraId="02F77EE7" w14:textId="1876E5C5" w:rsidR="0053668C" w:rsidRPr="00E93842" w:rsidRDefault="005D51CF" w:rsidP="00E93842">
      <w:pPr>
        <w:pStyle w:val="ListParagraph"/>
        <w:numPr>
          <w:ilvl w:val="0"/>
          <w:numId w:val="2"/>
        </w:numPr>
        <w:rPr>
          <w:b/>
          <w:bCs/>
          <w:u w:val="single"/>
        </w:rPr>
      </w:pPr>
      <w:r w:rsidRPr="00E93842">
        <w:rPr>
          <w:b/>
          <w:bCs/>
          <w:u w:val="single"/>
        </w:rPr>
        <w:t xml:space="preserve"> </w:t>
      </w:r>
      <w:r w:rsidR="0053668C" w:rsidRPr="00E93842">
        <w:rPr>
          <w:b/>
          <w:bCs/>
          <w:u w:val="single"/>
        </w:rPr>
        <w:t xml:space="preserve">current position </w:t>
      </w:r>
    </w:p>
    <w:p w14:paraId="22922B68" w14:textId="77777777" w:rsidR="0053668C" w:rsidRDefault="0053668C" w:rsidP="008D1EA6"/>
    <w:p w14:paraId="33B6DDE9" w14:textId="0ED30650" w:rsidR="0053668C" w:rsidRDefault="0053668C" w:rsidP="0053668C">
      <w:r>
        <w:t xml:space="preserve">The revocation of exemption clauses </w:t>
      </w:r>
      <w:r w:rsidR="005D51CF">
        <w:t>is</w:t>
      </w:r>
      <w:r>
        <w:t xml:space="preserve"> of significance particularly where it stands in current law. </w:t>
      </w:r>
      <w:r w:rsidR="00E03F19">
        <w:t>Professional t</w:t>
      </w:r>
      <w:r>
        <w:t>rustees can often escape liability for breaches if they can show t</w:t>
      </w:r>
      <w:r w:rsidRPr="0053668C">
        <w:t>he settlor knew this, as evidenced by the court of appeals' decision in Nurse v. Armitage [1998], which upheld a provision shielding the trustee from accountability unless "such loss was caused by his own actual fraud</w:t>
      </w:r>
      <w:r>
        <w:t>,</w:t>
      </w:r>
      <w:r w:rsidRPr="0053668C">
        <w:t xml:space="preserve">" </w:t>
      </w:r>
      <w:r>
        <w:t xml:space="preserve">(Hayton and Mitchell, 2005, p. 659-660).This is merely dishonest as it </w:t>
      </w:r>
      <w:r w:rsidRPr="0053668C">
        <w:t xml:space="preserve">implies that the trustee had to have understood, at least in part, that it went against the beneficiaries interests. </w:t>
      </w:r>
      <w:r>
        <w:t>Therefore these current clauses developed in law show that trustees are protected particularly from liability resulting from gross and ordinary negligence which disadvantages beneficiaries. Holding accountability particularly in fiduciary obligations is also of importance, these equitable duties are found in the trustee act (2000). Hayton and Mitchell (2005), p. 247, states that t</w:t>
      </w:r>
      <w:r w:rsidRPr="0053668C">
        <w:t>rustees have two responsibilities</w:t>
      </w:r>
      <w:r>
        <w:t xml:space="preserve">, </w:t>
      </w:r>
      <w:r w:rsidRPr="0053668C">
        <w:t>they mus</w:t>
      </w:r>
      <w:r>
        <w:t>t</w:t>
      </w:r>
      <w:r w:rsidRPr="0053668C">
        <w:t xml:space="preserve"> manage the assets and distribute profit and capital to appropriate beneficiaries. Trustees have a </w:t>
      </w:r>
      <w:r w:rsidR="005D51CF" w:rsidRPr="0053668C">
        <w:t>fiduciary</w:t>
      </w:r>
      <w:r w:rsidRPr="0053668C">
        <w:t xml:space="preserve"> duty to act with complete loyalty, act honestly, and refrain from making money off of the trust unless clearly authorised</w:t>
      </w:r>
      <w:r>
        <w:t>, (Bristol and west v mothew</w:t>
      </w:r>
      <w:r w:rsidR="005D51CF">
        <w:t xml:space="preserve"> [1998]</w:t>
      </w:r>
      <w:r>
        <w:t xml:space="preserve">). Therefore current </w:t>
      </w:r>
      <w:r>
        <w:lastRenderedPageBreak/>
        <w:t>legislation of the trustee act (2000) must reinforce trustee accountability and uphold these stated obligations at all times.</w:t>
      </w:r>
    </w:p>
    <w:p w14:paraId="48919A82" w14:textId="77777777" w:rsidR="0053668C" w:rsidRDefault="0053668C" w:rsidP="0053668C"/>
    <w:p w14:paraId="35C7911E" w14:textId="2AE0C6AF" w:rsidR="00DF55F6" w:rsidRPr="00E93842" w:rsidRDefault="005D51CF" w:rsidP="00E93842">
      <w:pPr>
        <w:pStyle w:val="ListParagraph"/>
        <w:numPr>
          <w:ilvl w:val="0"/>
          <w:numId w:val="2"/>
        </w:numPr>
        <w:rPr>
          <w:b/>
          <w:bCs/>
          <w:u w:val="single"/>
        </w:rPr>
      </w:pPr>
      <w:r w:rsidRPr="00E93842">
        <w:rPr>
          <w:b/>
          <w:bCs/>
          <w:u w:val="single"/>
        </w:rPr>
        <w:t xml:space="preserve"> </w:t>
      </w:r>
      <w:r w:rsidR="00DF55F6" w:rsidRPr="00E93842">
        <w:rPr>
          <w:b/>
          <w:bCs/>
          <w:u w:val="single"/>
        </w:rPr>
        <w:t>Current challenges</w:t>
      </w:r>
    </w:p>
    <w:p w14:paraId="74381B66" w14:textId="77777777" w:rsidR="005D51CF" w:rsidRDefault="005D51CF" w:rsidP="00DB3E18"/>
    <w:p w14:paraId="0BF2059A" w14:textId="65676622" w:rsidR="00DF55F6" w:rsidRPr="00DF55F6" w:rsidRDefault="00DF55F6" w:rsidP="00DF55F6">
      <w:r w:rsidRPr="00DF55F6">
        <w:t xml:space="preserve">Professional trustees are often defined by judges as professionals who work for financial entities like banks, insurance companies, and specialist law firms, frequently demanding high fees for </w:t>
      </w:r>
      <w:r w:rsidR="00E50120">
        <w:t xml:space="preserve">the </w:t>
      </w:r>
      <w:r w:rsidRPr="00DF55F6">
        <w:t>handling</w:t>
      </w:r>
      <w:r w:rsidR="00E50120">
        <w:t xml:space="preserve"> of</w:t>
      </w:r>
      <w:r w:rsidRPr="00DF55F6">
        <w:t xml:space="preserve"> trusts</w:t>
      </w:r>
      <w:r>
        <w:t>, (</w:t>
      </w:r>
      <w:r w:rsidR="00A96976">
        <w:t>Wilson, 2020</w:t>
      </w:r>
      <w:r>
        <w:t>)</w:t>
      </w:r>
      <w:r w:rsidRPr="00DF55F6">
        <w:t>.</w:t>
      </w:r>
    </w:p>
    <w:p w14:paraId="5F2FF1FA" w14:textId="73F35B11" w:rsidR="00614427" w:rsidRPr="00614427" w:rsidRDefault="00E50120" w:rsidP="00614427">
      <w:r>
        <w:t>T</w:t>
      </w:r>
      <w:r w:rsidR="008D1EA6" w:rsidRPr="008D1EA6">
        <w:t xml:space="preserve">rustees can frequently employ exemption clauses under present legislation to reduce or avoid liability, even in circumstances of negligence, provided that the clauses are not incompetent or false. This is established in the case of walker v stones [2001] QB 902, where courts addressed that if a trustee acts dishonestly, an exemption clause cannot shield them from repercussions,  a trustee may still be held accountable even if they think they are acting in the best interests of the beneficiaries if their actions are determined </w:t>
      </w:r>
      <w:r w:rsidR="00E03F19">
        <w:t>‘</w:t>
      </w:r>
      <w:r w:rsidR="008D1EA6" w:rsidRPr="008D1EA6">
        <w:t>so unreasonable that the trustee would have taken the same course of action</w:t>
      </w:r>
      <w:r w:rsidR="005D51CF">
        <w:t>,</w:t>
      </w:r>
      <w:r w:rsidR="00E03F19">
        <w:t xml:space="preserve"> (</w:t>
      </w:r>
      <w:r w:rsidR="00E03F19" w:rsidRPr="008D1EA6">
        <w:t>Hudson, 2021, p. 72)</w:t>
      </w:r>
      <w:r w:rsidR="008D1EA6" w:rsidRPr="008D1EA6">
        <w:t xml:space="preserve">. This </w:t>
      </w:r>
      <w:r>
        <w:t>highlights</w:t>
      </w:r>
      <w:r w:rsidR="008D1EA6" w:rsidRPr="008D1EA6">
        <w:t xml:space="preserve"> a balance between shielding trustees from undue risk and guaranteeing that beneficiaries are protected if trustees neglect their duties. </w:t>
      </w:r>
      <w:r w:rsidR="00E03F19">
        <w:t xml:space="preserve">In addition to this, the walker v stones case established a ‘test of honesty’ </w:t>
      </w:r>
      <w:r w:rsidR="00DB0195">
        <w:t xml:space="preserve">based on reliance of exemption clauses </w:t>
      </w:r>
      <w:r w:rsidR="00E03F19">
        <w:t>which establishes that</w:t>
      </w:r>
      <w:r w:rsidR="00DB0195">
        <w:t xml:space="preserve">: a) an objective and subjective assessment determines the genuine belief of the trustee and whether or not this is reasonable, b) limits exemption clauses, restricting the reliance trustees hold on these clauses </w:t>
      </w:r>
      <w:r w:rsidR="00DB0195" w:rsidRPr="00DB0195">
        <w:t>if their actions do</w:t>
      </w:r>
      <w:r w:rsidR="00DB0195">
        <w:t xml:space="preserve"> no</w:t>
      </w:r>
      <w:r w:rsidR="00DB0195" w:rsidRPr="00DB0195">
        <w:t>t meet the standards of honesty</w:t>
      </w:r>
      <w:r w:rsidR="00DB0195">
        <w:t>, and finally c) promoting equity principles</w:t>
      </w:r>
      <w:r>
        <w:t xml:space="preserve">, </w:t>
      </w:r>
      <w:r>
        <w:t>(Martin, 2022, p. 507)</w:t>
      </w:r>
      <w:r>
        <w:t>.</w:t>
      </w:r>
      <w:r w:rsidR="00DB0195">
        <w:t xml:space="preserve"> </w:t>
      </w:r>
      <w:r>
        <w:t>T</w:t>
      </w:r>
      <w:r w:rsidR="00614427" w:rsidRPr="00614427">
        <w:t xml:space="preserve">he test upholds the fairness and justice tenets of the Trust Act </w:t>
      </w:r>
      <w:r w:rsidR="00614427">
        <w:t>(</w:t>
      </w:r>
      <w:r w:rsidR="00614427" w:rsidRPr="00614427">
        <w:t>2000</w:t>
      </w:r>
      <w:r w:rsidR="00614427">
        <w:t>)</w:t>
      </w:r>
      <w:r w:rsidR="00614427" w:rsidRPr="00614427">
        <w:t xml:space="preserve"> by emphasising rationality and truthfulness.</w:t>
      </w:r>
      <w:r w:rsidR="00614427">
        <w:t xml:space="preserve"> The use of tests such as this are of importance in trust law as recently considered by the law commission</w:t>
      </w:r>
      <w:r w:rsidR="00453490">
        <w:t xml:space="preserve"> </w:t>
      </w:r>
      <w:r w:rsidR="00453490" w:rsidRPr="00453490">
        <w:t>It was suggested that professional trustees should not be allowed to rely on provisions that exclude liability for negligence. This was because it was thought that it would be insufficient to distinguish between gross and ordinary negligence in proposed law because the line between the two was not clear</w:t>
      </w:r>
      <w:r w:rsidR="00453490">
        <w:t>, (Law Commission, 2002)</w:t>
      </w:r>
      <w:r w:rsidR="00614427">
        <w:t xml:space="preserve">. </w:t>
      </w:r>
    </w:p>
    <w:p w14:paraId="51701E27" w14:textId="4D62F363" w:rsidR="00DB0195" w:rsidRPr="00DB0195" w:rsidRDefault="00DB0195" w:rsidP="00DB0195"/>
    <w:p w14:paraId="54D8D96F" w14:textId="55419F46" w:rsidR="008D1EA6" w:rsidRPr="008D1EA6" w:rsidRDefault="008D1EA6" w:rsidP="008D1EA6"/>
    <w:p w14:paraId="1E1A5DE7" w14:textId="77777777" w:rsidR="008D1EA6" w:rsidRDefault="008D1EA6" w:rsidP="008D1EA6">
      <w:r w:rsidRPr="008D1EA6">
        <w:t> </w:t>
      </w:r>
    </w:p>
    <w:p w14:paraId="26622461" w14:textId="77777777" w:rsidR="005D51CF" w:rsidRDefault="005D51CF" w:rsidP="008D1EA6"/>
    <w:p w14:paraId="52B09134" w14:textId="77777777" w:rsidR="004D52D0" w:rsidRDefault="004D52D0" w:rsidP="008D1EA6"/>
    <w:p w14:paraId="7705D7BE" w14:textId="77777777" w:rsidR="004D52D0" w:rsidRDefault="004D52D0" w:rsidP="008D1EA6"/>
    <w:p w14:paraId="749133F1" w14:textId="1C75CCBA" w:rsidR="008D1EA6" w:rsidRPr="008D1EA6" w:rsidRDefault="00614427" w:rsidP="008D1EA6">
      <w:r>
        <w:lastRenderedPageBreak/>
        <w:t>Moreover</w:t>
      </w:r>
      <w:r w:rsidR="004D52D0">
        <w:t>,</w:t>
      </w:r>
      <w:r w:rsidR="008D1EA6" w:rsidRPr="008D1EA6">
        <w:t xml:space="preserve"> concern that these provisions may shield trustees from accountability for violations that impact beneficiaries, go</w:t>
      </w:r>
      <w:r w:rsidR="004D52D0">
        <w:t>es</w:t>
      </w:r>
      <w:r w:rsidR="008D1EA6" w:rsidRPr="008D1EA6">
        <w:t xml:space="preserve"> against the principles of equity. The protection of beneficiaries rights is required by equity; this runs opposite to letting trustees avoid responsibility, particularly if their negligence causes beneficiaries financial loss, (McDonald and street, 2022, p. 15). As a result, trust in fiduciary relationships may be under looked when trustees are able to successfully avoid liability, however, this can leave beneficiaries without any remedy. Therefore key principles are of importance when maintaining the integrity of the trust</w:t>
      </w:r>
      <w:r w:rsidR="00E50120">
        <w:t>.</w:t>
      </w:r>
    </w:p>
    <w:p w14:paraId="44C65F01" w14:textId="77777777" w:rsidR="00B45319" w:rsidRDefault="00B45319"/>
    <w:p w14:paraId="08903683" w14:textId="2589A67E" w:rsidR="00DF55F6" w:rsidRPr="00DF55F6" w:rsidRDefault="005D51CF" w:rsidP="00DF55F6">
      <w:r>
        <w:t>To</w:t>
      </w:r>
      <w:r w:rsidR="00DF55F6">
        <w:t xml:space="preserve"> avoid these types of violations, statutory duty of care (under the trustee act 2000) must be employed to ensure trustees are </w:t>
      </w:r>
      <w:r>
        <w:t>conducting</w:t>
      </w:r>
      <w:r w:rsidR="00DF55F6">
        <w:t xml:space="preserve"> their functions properly. Research s</w:t>
      </w:r>
      <w:r w:rsidR="00E50120">
        <w:t>tates</w:t>
      </w:r>
      <w:r w:rsidR="00DF55F6">
        <w:t xml:space="preserve"> </w:t>
      </w:r>
      <w:r w:rsidR="00E50120">
        <w:t>from</w:t>
      </w:r>
      <w:r w:rsidR="00DF55F6">
        <w:t xml:space="preserve"> the case of </w:t>
      </w:r>
      <w:r>
        <w:t>Speight</w:t>
      </w:r>
      <w:r w:rsidR="00DF55F6">
        <w:t xml:space="preserve"> v </w:t>
      </w:r>
      <w:r>
        <w:t>G</w:t>
      </w:r>
      <w:r w:rsidR="00DF55F6">
        <w:t xml:space="preserve">aunt [1883] 22 Chd 727, trustees are required to perform in a way that any ‘prudent man of business’ would do on behalf of the trust he is meant to protect and manage, </w:t>
      </w:r>
      <w:r w:rsidR="00DF55F6" w:rsidRPr="00DF55F6">
        <w:t>(Wilson, 2020, p. 323)</w:t>
      </w:r>
      <w:r w:rsidR="00DF55F6">
        <w:t xml:space="preserve">. This </w:t>
      </w:r>
      <w:r w:rsidR="00E50120">
        <w:t>signifies</w:t>
      </w:r>
      <w:r w:rsidR="00DF55F6">
        <w:t xml:space="preserve"> that t</w:t>
      </w:r>
      <w:r w:rsidR="00DF55F6" w:rsidRPr="00DF55F6">
        <w:t>he interests of beneficiaries must come first when trustees handle and secure trust assets</w:t>
      </w:r>
      <w:r w:rsidR="00E50120">
        <w:t xml:space="preserve">. </w:t>
      </w:r>
      <w:r w:rsidR="00DF55F6">
        <w:t>Furthermore, i</w:t>
      </w:r>
      <w:r w:rsidR="00DF55F6" w:rsidRPr="00DF55F6">
        <w:t xml:space="preserve">n the court of appeal, Lindley </w:t>
      </w:r>
      <w:r>
        <w:t xml:space="preserve">LJ </w:t>
      </w:r>
      <w:r w:rsidR="00DF55F6" w:rsidRPr="00DF55F6">
        <w:t>argued that the "ordinary prudent man of business test" should be used as a standard procedure to offer affairs in a way that is morally independent of a trustees own interests</w:t>
      </w:r>
      <w:r w:rsidR="00DF55F6">
        <w:t xml:space="preserve">, </w:t>
      </w:r>
      <w:r w:rsidR="00DF55F6" w:rsidRPr="00DF55F6">
        <w:t>(Wilson, 2020, p. 32</w:t>
      </w:r>
      <w:r w:rsidR="00DF55F6">
        <w:t>5</w:t>
      </w:r>
      <w:r w:rsidR="00DF55F6" w:rsidRPr="00DF55F6">
        <w:t>)</w:t>
      </w:r>
      <w:r w:rsidR="00DF55F6">
        <w:t>.</w:t>
      </w:r>
      <w:r w:rsidR="00E50120">
        <w:t xml:space="preserve"> </w:t>
      </w:r>
      <w:r w:rsidR="00DF55F6">
        <w:t>This procedure is advantageous as it provides certainty,</w:t>
      </w:r>
      <w:r w:rsidR="00E50120">
        <w:t xml:space="preserve"> </w:t>
      </w:r>
      <w:r w:rsidR="00DF55F6">
        <w:t>b</w:t>
      </w:r>
      <w:r w:rsidR="00DF55F6" w:rsidRPr="00DF55F6">
        <w:t>y supporting th</w:t>
      </w:r>
      <w:r w:rsidR="00E50120">
        <w:t xml:space="preserve">is </w:t>
      </w:r>
      <w:r w:rsidR="00DF55F6" w:rsidRPr="00DF55F6">
        <w:t>criteria, Lindley LJ emphasi</w:t>
      </w:r>
      <w:r w:rsidR="00DF55F6">
        <w:t>s</w:t>
      </w:r>
      <w:r w:rsidR="00DF55F6" w:rsidRPr="00DF55F6">
        <w:t>es that trustees choices must be financially and morally apart from their own interests, promoting honesty in fiduciary partnerships</w:t>
      </w:r>
      <w:r>
        <w:t>, (Wilson, 2020, p. 326)</w:t>
      </w:r>
      <w:r w:rsidR="00453490">
        <w:t>.</w:t>
      </w:r>
      <w:r w:rsidR="00DF55F6">
        <w:t xml:space="preserve"> </w:t>
      </w:r>
      <w:r w:rsidR="00453490">
        <w:t>T</w:t>
      </w:r>
      <w:r w:rsidR="00DF55F6">
        <w:t>herefore test</w:t>
      </w:r>
      <w:r w:rsidR="00E50120">
        <w:t>s</w:t>
      </w:r>
      <w:r w:rsidR="00DF55F6">
        <w:t xml:space="preserve"> should be utilised ofte</w:t>
      </w:r>
      <w:r w:rsidR="00E50120">
        <w:t xml:space="preserve">n </w:t>
      </w:r>
      <w:r w:rsidR="00DF55F6">
        <w:t xml:space="preserve">as it enhances societies trust in the role of trustees. </w:t>
      </w:r>
      <w:r w:rsidR="00DF55F6" w:rsidRPr="00DF55F6">
        <w:t xml:space="preserve">According to the Chancery Division, </w:t>
      </w:r>
      <w:r w:rsidR="00DF55F6">
        <w:t>this test</w:t>
      </w:r>
      <w:r w:rsidR="00DF55F6" w:rsidRPr="00DF55F6">
        <w:t xml:space="preserve"> </w:t>
      </w:r>
      <w:r w:rsidR="00DF55F6">
        <w:t xml:space="preserve">states that a </w:t>
      </w:r>
      <w:r w:rsidR="00DF55F6" w:rsidRPr="00DF55F6">
        <w:t>trustee has an obligation to manage trust business with the same level of caution that a reasonably sensible businessman would use to his own endeavours</w:t>
      </w:r>
      <w:r w:rsidR="00DF55F6">
        <w:t xml:space="preserve"> (Bartlett v Barclays bank trust co Ltd [1980]) Ch 515. Expanding on this,</w:t>
      </w:r>
      <w:r w:rsidR="00DF55F6" w:rsidRPr="00DF55F6">
        <w:t xml:space="preserve"> </w:t>
      </w:r>
      <w:r w:rsidR="00E244B7" w:rsidRPr="00E244B7">
        <w:t>Section 19 of the Limitation Act (1939-1980) was used to defend a claim for income lost on company funds six years before a writ was issued</w:t>
      </w:r>
      <w:r w:rsidR="00E244B7">
        <w:t xml:space="preserve">, </w:t>
      </w:r>
      <w:r w:rsidR="00DF55F6" w:rsidRPr="00DF55F6">
        <w:t>as defined by Section 26(b) of the Act</w:t>
      </w:r>
      <w:r w:rsidR="00DF55F6">
        <w:t>, (Owles, 1982)</w:t>
      </w:r>
      <w:r w:rsidR="00DF55F6" w:rsidRPr="00DF55F6">
        <w:t>.</w:t>
      </w:r>
      <w:r w:rsidR="00DF55F6">
        <w:t xml:space="preserve"> Therefore, tests to hold trustees accountable </w:t>
      </w:r>
      <w:r w:rsidR="00E50120">
        <w:t xml:space="preserve">prevents further irresponsible actions </w:t>
      </w:r>
      <w:r w:rsidR="00DF55F6">
        <w:t>towards beneficiaries endeavours</w:t>
      </w:r>
      <w:r w:rsidR="00E50120">
        <w:t>.</w:t>
      </w:r>
    </w:p>
    <w:p w14:paraId="2921BF25" w14:textId="77777777" w:rsidR="00E93842" w:rsidRDefault="00E93842" w:rsidP="00DF55F6"/>
    <w:p w14:paraId="5F3CB6CF" w14:textId="77777777" w:rsidR="00E93842" w:rsidRDefault="00E93842" w:rsidP="00DF55F6"/>
    <w:p w14:paraId="41164708" w14:textId="77777777" w:rsidR="00E50120" w:rsidRDefault="00E50120" w:rsidP="00DF55F6"/>
    <w:p w14:paraId="75597231" w14:textId="77777777" w:rsidR="00E50120" w:rsidRDefault="00E50120" w:rsidP="00DF55F6"/>
    <w:p w14:paraId="322763A0" w14:textId="77777777" w:rsidR="00E50120" w:rsidRDefault="00E50120" w:rsidP="00DF55F6"/>
    <w:p w14:paraId="05A7BB8F" w14:textId="77777777" w:rsidR="00011D13" w:rsidRDefault="00011D13" w:rsidP="00DF55F6"/>
    <w:p w14:paraId="0BD7A1D8" w14:textId="77777777" w:rsidR="00E50120" w:rsidRDefault="00E50120" w:rsidP="00DF55F6"/>
    <w:p w14:paraId="07DE1438" w14:textId="77777777" w:rsidR="00011D13" w:rsidRDefault="00011D13" w:rsidP="00DF55F6"/>
    <w:p w14:paraId="0468F23F" w14:textId="797E410D" w:rsidR="00DF55F6" w:rsidRPr="00E93842" w:rsidRDefault="00DB3E18" w:rsidP="00E93842">
      <w:pPr>
        <w:pStyle w:val="ListParagraph"/>
        <w:numPr>
          <w:ilvl w:val="0"/>
          <w:numId w:val="2"/>
        </w:numPr>
        <w:rPr>
          <w:b/>
          <w:bCs/>
          <w:u w:val="single"/>
        </w:rPr>
      </w:pPr>
      <w:r w:rsidRPr="00E93842">
        <w:rPr>
          <w:b/>
          <w:bCs/>
          <w:u w:val="single"/>
        </w:rPr>
        <w:t xml:space="preserve"> Proposals for reform </w:t>
      </w:r>
    </w:p>
    <w:p w14:paraId="6344A632" w14:textId="77777777" w:rsidR="00E93842" w:rsidRDefault="00E93842" w:rsidP="00DF55F6"/>
    <w:p w14:paraId="257EF4EF" w14:textId="77777777" w:rsidR="004D52D0" w:rsidRPr="004D52D0" w:rsidRDefault="004D52D0" w:rsidP="004D52D0">
      <w:r w:rsidRPr="004D52D0">
        <w:t>The proposed Trustee (Liability) Bill 2024 seeks to update the liability framework for professional trustees by addressing concerns regarding exemption clauses. The Bill proposes to immediately apply these reforms to all trusts, including those established before its adoption, and abolish the use of exemption clauses in trust deeds for professional trustees who are paid for their services. Professional trustees, often employed by financial institutions, charge high fees for trust management (Wilson, 2020). Current law allows trustees to use exemption clauses to limit liability, even for negligence, unless the clauses are deemed dishonest or incompetent.</w:t>
      </w:r>
    </w:p>
    <w:p w14:paraId="1287284E" w14:textId="77777777" w:rsidR="004D52D0" w:rsidRPr="004D52D0" w:rsidRDefault="004D52D0" w:rsidP="004D52D0">
      <w:r w:rsidRPr="004D52D0">
        <w:t xml:space="preserve">The reform aims to address the issue of trustees evading accountability through these clauses. The case of </w:t>
      </w:r>
      <w:r w:rsidRPr="004D52D0">
        <w:rPr>
          <w:i/>
          <w:iCs/>
        </w:rPr>
        <w:t>Libertarian Investments Ltd v Hall</w:t>
      </w:r>
      <w:r w:rsidRPr="004D52D0">
        <w:t xml:space="preserve"> [2015] WTLR 241 identified three key breaches: (a) those causing immediate loss or damage to trust property; (b) those involving disloyalty or adultery; and (c) those showing a lack of competence or care. The reform upholds beneficiaries' rights, which are undermined when trustees avoid accountability. Equity principles stress that trustees should be held accountable, especially when their actions harm trust property or show disloyalty, incompetence, or a lack of care (Davern, 2020, p. 155).</w:t>
      </w:r>
    </w:p>
    <w:p w14:paraId="1D550760" w14:textId="77777777" w:rsidR="00E93842" w:rsidRDefault="00E93842" w:rsidP="00DB3E18"/>
    <w:p w14:paraId="018A1B35" w14:textId="77777777" w:rsidR="00E93842" w:rsidRDefault="00E93842" w:rsidP="00DB3E18"/>
    <w:p w14:paraId="4FD7DBB4" w14:textId="77777777" w:rsidR="00E93842" w:rsidRDefault="00E93842" w:rsidP="00DB3E18"/>
    <w:p w14:paraId="56AB54BD" w14:textId="77777777" w:rsidR="00E93842" w:rsidRDefault="00E93842" w:rsidP="00DB3E18"/>
    <w:p w14:paraId="4F36815B" w14:textId="77777777" w:rsidR="00E93842" w:rsidRDefault="00E93842" w:rsidP="00DB3E18"/>
    <w:p w14:paraId="10D41781" w14:textId="77777777" w:rsidR="00E93842" w:rsidRDefault="00E93842" w:rsidP="00DB3E18"/>
    <w:p w14:paraId="2DC3B761" w14:textId="77777777" w:rsidR="00E93842" w:rsidRDefault="00E93842" w:rsidP="00DB3E18"/>
    <w:p w14:paraId="786F4E79" w14:textId="77777777" w:rsidR="00E93842" w:rsidRDefault="00E93842" w:rsidP="00DB3E18"/>
    <w:p w14:paraId="314C857B" w14:textId="77777777" w:rsidR="00011D13" w:rsidRDefault="00011D13" w:rsidP="00DB3E18"/>
    <w:p w14:paraId="3C60287E" w14:textId="77777777" w:rsidR="004D52D0" w:rsidRDefault="004D52D0" w:rsidP="00DB3E18"/>
    <w:p w14:paraId="65FC4C28" w14:textId="77777777" w:rsidR="004D52D0" w:rsidRDefault="004D52D0" w:rsidP="00DB3E18"/>
    <w:p w14:paraId="4BC9490F" w14:textId="77777777" w:rsidR="004D52D0" w:rsidRDefault="004D52D0" w:rsidP="00DB3E18"/>
    <w:p w14:paraId="3F3C59F0" w14:textId="77777777" w:rsidR="004D52D0" w:rsidRDefault="004D52D0" w:rsidP="00DB3E18"/>
    <w:p w14:paraId="41B44E38" w14:textId="77777777" w:rsidR="00E50120" w:rsidRDefault="00E50120" w:rsidP="00DB3E18"/>
    <w:p w14:paraId="3DF23F94" w14:textId="43028662" w:rsidR="00FA0422" w:rsidRDefault="00FA0422" w:rsidP="00E93842">
      <w:pPr>
        <w:pStyle w:val="ListParagraph"/>
        <w:numPr>
          <w:ilvl w:val="0"/>
          <w:numId w:val="2"/>
        </w:numPr>
        <w:rPr>
          <w:b/>
          <w:bCs/>
          <w:u w:val="single"/>
        </w:rPr>
      </w:pPr>
      <w:r w:rsidRPr="00E93842">
        <w:rPr>
          <w:b/>
          <w:bCs/>
          <w:u w:val="single"/>
        </w:rPr>
        <w:t xml:space="preserve"> Evaluation of the reform proposals</w:t>
      </w:r>
    </w:p>
    <w:p w14:paraId="013A68D3" w14:textId="77777777" w:rsidR="00E50120" w:rsidRDefault="00E50120" w:rsidP="00E50120">
      <w:pPr>
        <w:pStyle w:val="ListParagraph"/>
        <w:rPr>
          <w:b/>
          <w:bCs/>
          <w:u w:val="single"/>
        </w:rPr>
      </w:pPr>
    </w:p>
    <w:p w14:paraId="3CA4CE08" w14:textId="77777777" w:rsidR="00E50120" w:rsidRPr="00E93842" w:rsidRDefault="00E50120" w:rsidP="00E50120">
      <w:pPr>
        <w:pStyle w:val="ListParagraph"/>
        <w:rPr>
          <w:b/>
          <w:bCs/>
          <w:u w:val="single"/>
        </w:rPr>
      </w:pPr>
    </w:p>
    <w:p w14:paraId="731528CC" w14:textId="37F34F46" w:rsidR="00BA775F" w:rsidRPr="00BA775F" w:rsidRDefault="00BA775F" w:rsidP="00BA775F">
      <w:r>
        <w:t>T</w:t>
      </w:r>
      <w:r w:rsidRPr="00BA775F">
        <w:t>he proposed revisions as noted in Walker v. Stones [2001], specifically address the problem of professional trustees using exemption provisions to avoid accountability. The amendments ensure that trustees work in the best interests of the beneficiaries by repealing these clauses in cases of professional negligence, which is consistent with equity principles. By incorporating both subjective and objective evaluations into the "test of honesty," the amendments reduce the need for exemption provisions for behavio</w:t>
      </w:r>
      <w:r>
        <w:t>u</w:t>
      </w:r>
      <w:r w:rsidRPr="00BA775F">
        <w:t>r that does not adhere to honesty standards (Martin, 2022). By guaranteeing that trustees cannot use exclusions to cover up negligence or misconduct, this improves accountability. Additionally, the recommendations emphasise reasonable care and competence by using the prudent man test from Speight v. Gaunt [1883].</w:t>
      </w:r>
    </w:p>
    <w:p w14:paraId="26B22D14" w14:textId="77777777" w:rsidR="00FA0422" w:rsidRDefault="00FA0422" w:rsidP="00DB3E18"/>
    <w:p w14:paraId="0E672ECE" w14:textId="00706378" w:rsidR="00BA775F" w:rsidRPr="00BA775F" w:rsidRDefault="00BA775F" w:rsidP="00BA775F">
      <w:r w:rsidRPr="00BA775F">
        <w:t xml:space="preserve">The revisions balance the rights of beneficiaries with the responsibilities of trustees. The elimination of exemption clauses in times of carelessness guarantees that beneficiaries have recourse, even though trustees are still protected for </w:t>
      </w:r>
      <w:r w:rsidR="005D51CF" w:rsidRPr="00BA775F">
        <w:t>honourable</w:t>
      </w:r>
      <w:r w:rsidRPr="00BA775F">
        <w:t xml:space="preserve"> and wise deeds. In fiduciary partnerships, this strategy promotes accountability and rebuilds trust. Eliminating professional trustee exemptions entirely, however, would deter people from accepting such positions due to the higher risk involved. The issue is similar to criticisms made in the Law Commission's 2002 Consultation Paper No. 171, which recommended restricting rather than eliminating altogether with exclusions in order to resolve the ambiguity around ordinary and gross negligence.</w:t>
      </w:r>
    </w:p>
    <w:p w14:paraId="2D6CED3A" w14:textId="77777777" w:rsidR="00DB3E18" w:rsidRDefault="00DB3E18" w:rsidP="00DB3E18"/>
    <w:p w14:paraId="0F591357" w14:textId="61A8C4C9" w:rsidR="00BA775F" w:rsidRDefault="00BA775F" w:rsidP="00BA775F">
      <w:r w:rsidRPr="00BA775F">
        <w:t>There could be unforeseen implications. For instance, trustees may seek more fees in exchange for increased liability if exemption provisions are limited. Professional trust services may become less available as a result. Furthermore, courts might have trouble understanding phrases like "professional trustee" or "negligence," which could result in uneven implementation of the reforms</w:t>
      </w:r>
      <w:r>
        <w:t>, (Jacobs, 2003, p. 8)</w:t>
      </w:r>
      <w:r w:rsidRPr="00BA775F">
        <w:t>.</w:t>
      </w:r>
    </w:p>
    <w:p w14:paraId="5EC9AED5" w14:textId="77777777" w:rsidR="00BA775F" w:rsidRDefault="00BA775F" w:rsidP="00BA775F"/>
    <w:p w14:paraId="73701D1F" w14:textId="432D9525" w:rsidR="00886E48" w:rsidRDefault="00886E48" w:rsidP="00886E48">
      <w:r w:rsidRPr="00886E48">
        <w:t>Professional and lay trustees are effectively distinguished by the legislation's design, guaranteeing personalised responsibility. Some clauses, nevertheless, could need more explanation. To help courts and practitioners apply the rules consistently, for example, criteria for "appropriate skill and care" may be specified or examples of violations could be provided</w:t>
      </w:r>
      <w:r>
        <w:t>, (Watt, 2022, p. 423)</w:t>
      </w:r>
      <w:r w:rsidRPr="00886E48">
        <w:t>. There may be gaps if certain things are left out, including rules for professional status disputes</w:t>
      </w:r>
      <w:r>
        <w:t>, t</w:t>
      </w:r>
      <w:r w:rsidRPr="00886E48">
        <w:t xml:space="preserve">his could be fixed by </w:t>
      </w:r>
      <w:r w:rsidRPr="00886E48">
        <w:lastRenderedPageBreak/>
        <w:t>adding more statutory instruments to clarify definitions and offer examples</w:t>
      </w:r>
      <w:r>
        <w:t xml:space="preserve"> such as orders, regulations and codes of practice</w:t>
      </w:r>
      <w:r w:rsidRPr="00886E48">
        <w:t>.</w:t>
      </w:r>
    </w:p>
    <w:p w14:paraId="3CD166DB" w14:textId="77777777" w:rsidR="00886E48" w:rsidRDefault="00886E48" w:rsidP="00886E48"/>
    <w:p w14:paraId="6B20847A" w14:textId="061A0D8D" w:rsidR="002347D0" w:rsidRDefault="002347D0" w:rsidP="002347D0">
      <w:r w:rsidRPr="002347D0">
        <w:t>The proposed changes strengthen the statutory duty of care, which is an accompaniment to the Trustee Act 2000. They support the values outlined in Bartlett v. Barclays Bank Trust Co Ltd [1980], which place a strong emphasis on integrity and prudence in trust administration. The reforms must, however, also take into consideration the wider societal consequences, such as guaranteeing beneficiaries' access to compensation without placing an undue load on trustees</w:t>
      </w:r>
      <w:r>
        <w:t>, (Watt, 2020, p.426)</w:t>
      </w:r>
      <w:r w:rsidRPr="002347D0">
        <w:t>.</w:t>
      </w:r>
    </w:p>
    <w:p w14:paraId="362A6FDD" w14:textId="77777777" w:rsidR="002347D0" w:rsidRDefault="002347D0" w:rsidP="002347D0"/>
    <w:p w14:paraId="76F05DCA" w14:textId="77777777" w:rsidR="002347D0" w:rsidRPr="002347D0" w:rsidRDefault="002347D0" w:rsidP="002347D0"/>
    <w:p w14:paraId="4A1C343A" w14:textId="3D9448A9" w:rsidR="00BA775F" w:rsidRPr="00E93842" w:rsidRDefault="002347D0" w:rsidP="00DB3E18">
      <w:pPr>
        <w:rPr>
          <w:b/>
          <w:bCs/>
          <w:u w:val="single"/>
        </w:rPr>
      </w:pPr>
      <w:r w:rsidRPr="00E93842">
        <w:rPr>
          <w:b/>
          <w:bCs/>
          <w:u w:val="single"/>
        </w:rPr>
        <w:t>6</w:t>
      </w:r>
      <w:r w:rsidR="00E93842">
        <w:rPr>
          <w:b/>
          <w:bCs/>
          <w:u w:val="single"/>
        </w:rPr>
        <w:t>.</w:t>
      </w:r>
      <w:r w:rsidRPr="00E93842">
        <w:rPr>
          <w:b/>
          <w:bCs/>
          <w:u w:val="single"/>
        </w:rPr>
        <w:t xml:space="preserve"> Conclusion</w:t>
      </w:r>
    </w:p>
    <w:p w14:paraId="4BAAD9EB" w14:textId="67800A83" w:rsidR="00A96976" w:rsidRPr="00A96976" w:rsidRDefault="002347D0" w:rsidP="00A96976">
      <w:r>
        <w:t xml:space="preserve">In conclusion, </w:t>
      </w:r>
      <w:r w:rsidR="00A96976">
        <w:t>e</w:t>
      </w:r>
      <w:r w:rsidR="00A96976" w:rsidRPr="00A96976">
        <w:t xml:space="preserve">xemption provisions that now shield professional trustees from liability, </w:t>
      </w:r>
      <w:r w:rsidR="004D52D0">
        <w:t>such as</w:t>
      </w:r>
      <w:r w:rsidR="00A96976" w:rsidRPr="00A96976">
        <w:t xml:space="preserve"> negligence, are the focus of the proposed Bill. These provisions compromise the core principles of trust law of accountability and equity. By eliminating these exemptions for professional trustees, the revisions hope to hold them more responsible for violations and protect beneficiaries' interests. By </w:t>
      </w:r>
      <w:r w:rsidR="00A96976">
        <w:t>making further use of tests such as</w:t>
      </w:r>
      <w:r w:rsidR="00A96976" w:rsidRPr="00A96976">
        <w:t xml:space="preserve"> the "test of honesty," the modifications </w:t>
      </w:r>
      <w:r w:rsidR="004D52D0">
        <w:t>ensure</w:t>
      </w:r>
      <w:r w:rsidR="00A96976" w:rsidRPr="00A96976">
        <w:t xml:space="preserve"> that trustees are only released from liability when they act in good faith and rational</w:t>
      </w:r>
      <w:r w:rsidR="004D52D0">
        <w:t>ity</w:t>
      </w:r>
      <w:r w:rsidR="00A96976" w:rsidRPr="00A96976">
        <w:t>, which is consistent with equity principles</w:t>
      </w:r>
      <w:r w:rsidR="00A96976">
        <w:t>,</w:t>
      </w:r>
      <w:r w:rsidR="004D52D0">
        <w:t xml:space="preserve"> but need revising</w:t>
      </w:r>
      <w:r w:rsidR="00A96976" w:rsidRPr="00A96976">
        <w:t>.</w:t>
      </w:r>
      <w:r w:rsidR="00A96976">
        <w:t xml:space="preserve"> </w:t>
      </w:r>
      <w:r w:rsidR="00A96976" w:rsidRPr="00A96976">
        <w:t>There may however be disadvantages</w:t>
      </w:r>
      <w:r w:rsidR="00A96976">
        <w:t>,</w:t>
      </w:r>
      <w:r w:rsidR="00A96976" w:rsidRPr="00A96976">
        <w:t xml:space="preserve"> even though the revisions are a positive step in guaranteeing trustee responsibility. The availability of trustee services may be lowered if exemption clauses are completely eliminated as doing so may deter professionals from serving as trustees due to the higher risk. Professional trustees could also request for higher fees in order to make up for the increased liability. Interpreting terminology like "professional trustee" or "negligence," which may call for further statutory instruments for clarification, can also present practical difficulties</w:t>
      </w:r>
      <w:r w:rsidR="00A96976">
        <w:t>, so this is important to take in to account</w:t>
      </w:r>
      <w:r w:rsidR="00A96976" w:rsidRPr="00A96976">
        <w:t>.</w:t>
      </w:r>
      <w:r w:rsidR="00A96976">
        <w:t xml:space="preserve"> I</w:t>
      </w:r>
      <w:r w:rsidR="00A96976" w:rsidRPr="00A96976">
        <w:t xml:space="preserve">n summary, while the reforms broadens trustee accountability and </w:t>
      </w:r>
      <w:r w:rsidR="005D51CF" w:rsidRPr="00A96976">
        <w:t>shields</w:t>
      </w:r>
      <w:r w:rsidR="00A96976" w:rsidRPr="00A96976">
        <w:t xml:space="preserve"> beneficiaries to a higher standard, adequate consideration of inadvertent consequences and wider societal impacts are key to ensuring just and effective application.</w:t>
      </w:r>
    </w:p>
    <w:p w14:paraId="0C174C48" w14:textId="7476EE99" w:rsidR="00A96976" w:rsidRPr="00A96976" w:rsidRDefault="00A96976" w:rsidP="00A96976"/>
    <w:p w14:paraId="21FF74B0" w14:textId="74D61655" w:rsidR="002347D0" w:rsidRDefault="002347D0" w:rsidP="00DB3E18"/>
    <w:p w14:paraId="0D12126A" w14:textId="77777777" w:rsidR="00DB3E18" w:rsidRPr="00DB3E18" w:rsidRDefault="00DB3E18" w:rsidP="00DB3E18"/>
    <w:p w14:paraId="5EEA87C8" w14:textId="15F2A2A1" w:rsidR="00DB3E18" w:rsidRPr="00DB3E18" w:rsidRDefault="00DB3E18" w:rsidP="00DB3E18"/>
    <w:p w14:paraId="09532ED7" w14:textId="77777777" w:rsidR="00DB3E18" w:rsidRPr="00DF55F6" w:rsidRDefault="00DB3E18" w:rsidP="00DF55F6"/>
    <w:p w14:paraId="2ECEFEE8" w14:textId="49220020" w:rsidR="00DF55F6" w:rsidRPr="00DF55F6" w:rsidRDefault="00DF55F6" w:rsidP="00DF55F6"/>
    <w:p w14:paraId="29D85745" w14:textId="77777777" w:rsidR="00E93842" w:rsidRDefault="00E93842"/>
    <w:p w14:paraId="7298932E" w14:textId="7CB43EC0" w:rsidR="00B45319" w:rsidRPr="00E93842" w:rsidRDefault="0053668C">
      <w:pPr>
        <w:rPr>
          <w:b/>
          <w:bCs/>
          <w:u w:val="single"/>
        </w:rPr>
      </w:pPr>
      <w:r w:rsidRPr="00E93842">
        <w:rPr>
          <w:b/>
          <w:bCs/>
          <w:u w:val="single"/>
        </w:rPr>
        <w:t xml:space="preserve"> </w:t>
      </w:r>
      <w:r w:rsidR="008D1EA6" w:rsidRPr="00E93842">
        <w:rPr>
          <w:b/>
          <w:bCs/>
          <w:u w:val="single"/>
        </w:rPr>
        <w:t>References</w:t>
      </w:r>
    </w:p>
    <w:p w14:paraId="1235520E" w14:textId="77777777" w:rsidR="008D1EA6" w:rsidRPr="008D1EA6" w:rsidRDefault="008D1EA6" w:rsidP="008D1EA6">
      <w:pPr>
        <w:numPr>
          <w:ilvl w:val="0"/>
          <w:numId w:val="1"/>
        </w:numPr>
      </w:pPr>
      <w:r w:rsidRPr="008D1EA6">
        <w:t>Trustee Act 2000 (2000 c 29)</w:t>
      </w:r>
    </w:p>
    <w:p w14:paraId="2299A374" w14:textId="1028064C" w:rsidR="008D1EA6" w:rsidRPr="008D1EA6" w:rsidRDefault="008D1EA6" w:rsidP="008D1EA6">
      <w:pPr>
        <w:numPr>
          <w:ilvl w:val="0"/>
          <w:numId w:val="1"/>
        </w:numPr>
      </w:pPr>
      <w:hyperlink r:id="rId6" w:history="1">
        <w:r w:rsidRPr="008D1EA6">
          <w:rPr>
            <w:rStyle w:val="Hyperlink"/>
          </w:rPr>
          <w:t>Armitage v Nurse [1998] Ch 241, [1997] 2 All ER 705, [1997] 3 WLR 1046, [1997] 2 LRC 122, 74 P &amp; CR D13, [1997] PLR 51, (1997) Times, 31 March</w:t>
        </w:r>
      </w:hyperlink>
      <w:r w:rsidRPr="008D1EA6">
        <w:t xml:space="preserve">. </w:t>
      </w:r>
    </w:p>
    <w:p w14:paraId="7B204DBD" w14:textId="35EA2E2D" w:rsidR="008D1EA6" w:rsidRPr="008D1EA6" w:rsidRDefault="00DF55F6" w:rsidP="008D1EA6">
      <w:pPr>
        <w:numPr>
          <w:ilvl w:val="0"/>
          <w:numId w:val="1"/>
        </w:numPr>
      </w:pPr>
      <w:r w:rsidRPr="00DF55F6">
        <w:t xml:space="preserve">Hudson, A., (2021). </w:t>
      </w:r>
      <w:r w:rsidRPr="00DF55F6">
        <w:rPr>
          <w:i/>
          <w:iCs/>
        </w:rPr>
        <w:t>Understanding Equity &amp; Trusts</w:t>
      </w:r>
      <w:r w:rsidRPr="00DF55F6">
        <w:t>. London: Routledge.</w:t>
      </w:r>
    </w:p>
    <w:p w14:paraId="21533922" w14:textId="158F9FFF" w:rsidR="008D1EA6" w:rsidRDefault="00DF55F6" w:rsidP="008D1EA6">
      <w:pPr>
        <w:numPr>
          <w:ilvl w:val="0"/>
          <w:numId w:val="1"/>
        </w:numPr>
      </w:pPr>
      <w:r w:rsidRPr="00DF55F6">
        <w:t xml:space="preserve">McDonald, I. and Street, A., (2022). </w:t>
      </w:r>
      <w:r w:rsidRPr="00DF55F6">
        <w:rPr>
          <w:i/>
          <w:iCs/>
        </w:rPr>
        <w:t>Equity and Trusts Concentrate: Law Revision and Study Guide</w:t>
      </w:r>
      <w:r w:rsidRPr="00DF55F6">
        <w:t>. Oxford: Oxford University Press.</w:t>
      </w:r>
    </w:p>
    <w:p w14:paraId="1F050E36" w14:textId="1F648EDC" w:rsidR="0053668C" w:rsidRDefault="0053668C" w:rsidP="008D1EA6">
      <w:pPr>
        <w:numPr>
          <w:ilvl w:val="0"/>
          <w:numId w:val="1"/>
        </w:numPr>
      </w:pPr>
      <w:r w:rsidRPr="0053668C">
        <w:t xml:space="preserve">Hayton, D. and Mitchell, C., (2005). </w:t>
      </w:r>
      <w:r w:rsidRPr="0053668C">
        <w:rPr>
          <w:i/>
          <w:iCs/>
        </w:rPr>
        <w:t>The Law of Trusts and Equitable Remedies</w:t>
      </w:r>
      <w:r w:rsidRPr="0053668C">
        <w:t xml:space="preserve">. 12th ed. London: Sweet &amp; Maxwell. Chapter </w:t>
      </w:r>
      <w:r w:rsidR="002347D0">
        <w:t>8</w:t>
      </w:r>
    </w:p>
    <w:p w14:paraId="45346CBD" w14:textId="030E6A34" w:rsidR="0053668C" w:rsidRDefault="0053668C" w:rsidP="008D1EA6">
      <w:pPr>
        <w:numPr>
          <w:ilvl w:val="0"/>
          <w:numId w:val="1"/>
        </w:numPr>
      </w:pPr>
      <w:r w:rsidRPr="0053668C">
        <w:t xml:space="preserve">Hayton, D. and Mitchell, C., (2005). </w:t>
      </w:r>
      <w:r w:rsidRPr="0053668C">
        <w:rPr>
          <w:i/>
          <w:iCs/>
        </w:rPr>
        <w:t>The Law of Trusts and Equitable Remedies</w:t>
      </w:r>
      <w:r w:rsidRPr="0053668C">
        <w:t xml:space="preserve">. 12th ed. London: Sweet &amp; Maxwell. Chapter </w:t>
      </w:r>
      <w:r>
        <w:t>9</w:t>
      </w:r>
    </w:p>
    <w:p w14:paraId="19980F57" w14:textId="6F437C98" w:rsidR="0053668C" w:rsidRDefault="0053668C" w:rsidP="008D1EA6">
      <w:pPr>
        <w:numPr>
          <w:ilvl w:val="0"/>
          <w:numId w:val="1"/>
        </w:numPr>
      </w:pPr>
      <w:hyperlink r:id="rId7" w:history="1">
        <w:r w:rsidRPr="0053668C">
          <w:rPr>
            <w:rStyle w:val="Hyperlink"/>
            <w:i/>
            <w:iCs/>
          </w:rPr>
          <w:t>Bristol and West Building Society v Mothew (t/a Stapley &amp; Co) </w:t>
        </w:r>
        <w:r w:rsidRPr="0053668C">
          <w:rPr>
            <w:rStyle w:val="Hyperlink"/>
          </w:rPr>
          <w:t>[1998] Ch 1, [1996] 4 All ER 698, [1997] 2 WLR 436, 75 P &amp; CR 241, [1996] NLJR 1273, [1997] PNLR 11, (1996) Times, 2 August, 140 Sol Jo LB 206</w:t>
        </w:r>
      </w:hyperlink>
      <w:r>
        <w:t xml:space="preserve"> </w:t>
      </w:r>
    </w:p>
    <w:p w14:paraId="7F0800ED" w14:textId="25DAF922" w:rsidR="00DF55F6" w:rsidRDefault="00DF55F6" w:rsidP="008D1EA6">
      <w:pPr>
        <w:numPr>
          <w:ilvl w:val="0"/>
          <w:numId w:val="1"/>
        </w:numPr>
      </w:pPr>
      <w:r w:rsidRPr="00DF55F6">
        <w:t xml:space="preserve">Wilson, S., </w:t>
      </w:r>
      <w:r>
        <w:t>(</w:t>
      </w:r>
      <w:r w:rsidRPr="00DF55F6">
        <w:t>2020</w:t>
      </w:r>
      <w:r>
        <w:t>)</w:t>
      </w:r>
      <w:r w:rsidRPr="00DF55F6">
        <w:t xml:space="preserve">. </w:t>
      </w:r>
      <w:r w:rsidRPr="00DF55F6">
        <w:rPr>
          <w:i/>
          <w:iCs/>
        </w:rPr>
        <w:t>Trusts and Equity</w:t>
      </w:r>
      <w:r w:rsidRPr="00DF55F6">
        <w:t>. 12th ed. Oxford: Oxford University Press.</w:t>
      </w:r>
    </w:p>
    <w:p w14:paraId="3ED85311" w14:textId="2272E107" w:rsidR="00DF55F6" w:rsidRDefault="00DF55F6" w:rsidP="008D1EA6">
      <w:pPr>
        <w:numPr>
          <w:ilvl w:val="0"/>
          <w:numId w:val="1"/>
        </w:numPr>
      </w:pPr>
      <w:hyperlink r:id="rId8" w:history="1">
        <w:r w:rsidRPr="00DF55F6">
          <w:rPr>
            <w:rStyle w:val="Hyperlink"/>
            <w:i/>
            <w:iCs/>
          </w:rPr>
          <w:t>Speight</w:t>
        </w:r>
        <w:r w:rsidRPr="00DF55F6">
          <w:rPr>
            <w:rStyle w:val="Hyperlink"/>
          </w:rPr>
          <w:t> Re, Speight v Gaunt, (1883) 22 Ch D 727</w:t>
        </w:r>
      </w:hyperlink>
    </w:p>
    <w:p w14:paraId="263ACE89" w14:textId="784D4EDE" w:rsidR="00DF55F6" w:rsidRDefault="00DF55F6" w:rsidP="008D1EA6">
      <w:pPr>
        <w:numPr>
          <w:ilvl w:val="0"/>
          <w:numId w:val="1"/>
        </w:numPr>
      </w:pPr>
      <w:hyperlink r:id="rId9" w:history="1">
        <w:r w:rsidRPr="00DF55F6">
          <w:rPr>
            <w:rStyle w:val="Hyperlink"/>
            <w:i/>
            <w:iCs/>
          </w:rPr>
          <w:t>Bartlett v Barclays Bank Trust Co Ltd</w:t>
        </w:r>
        <w:r w:rsidRPr="00DF55F6">
          <w:rPr>
            <w:rStyle w:val="Hyperlink"/>
          </w:rPr>
          <w:t> [1980] Ch 515, [1980] 1 All ER 139, [1980] 2 WLR 430, 124 Sol Jo 85</w:t>
        </w:r>
      </w:hyperlink>
    </w:p>
    <w:p w14:paraId="3A4AAE84" w14:textId="59D0FF93" w:rsidR="00DF55F6" w:rsidRDefault="00DF55F6" w:rsidP="008D1EA6">
      <w:pPr>
        <w:numPr>
          <w:ilvl w:val="0"/>
          <w:numId w:val="1"/>
        </w:numPr>
      </w:pPr>
      <w:r w:rsidRPr="00DF55F6">
        <w:t xml:space="preserve">Owles, D., </w:t>
      </w:r>
      <w:r>
        <w:t>(</w:t>
      </w:r>
      <w:r w:rsidRPr="00DF55F6">
        <w:t>1982</w:t>
      </w:r>
      <w:r>
        <w:t>)</w:t>
      </w:r>
      <w:r w:rsidRPr="00DF55F6">
        <w:t xml:space="preserve">. Insurance and the Liability of Providers of Services. </w:t>
      </w:r>
      <w:r w:rsidRPr="00DF55F6">
        <w:rPr>
          <w:i/>
          <w:iCs/>
        </w:rPr>
        <w:t>Arbitration: The International Journal of Arbitration, Mediation and Dispute Management</w:t>
      </w:r>
      <w:r w:rsidRPr="00DF55F6">
        <w:t>, 48(3)</w:t>
      </w:r>
    </w:p>
    <w:p w14:paraId="7677AA3A" w14:textId="2C73DFE7" w:rsidR="008D1EA6" w:rsidRDefault="00DB3E18" w:rsidP="00DE39C6">
      <w:pPr>
        <w:numPr>
          <w:ilvl w:val="0"/>
          <w:numId w:val="1"/>
        </w:numPr>
      </w:pPr>
      <w:r>
        <w:t xml:space="preserve"> </w:t>
      </w:r>
      <w:hyperlink r:id="rId10" w:history="1">
        <w:r w:rsidRPr="00DB3E18">
          <w:rPr>
            <w:rStyle w:val="Hyperlink"/>
            <w:i/>
            <w:iCs/>
          </w:rPr>
          <w:t>Libertarian Investments Ltd v Hall</w:t>
        </w:r>
        <w:r w:rsidRPr="00DB3E18">
          <w:rPr>
            <w:rStyle w:val="Hyperlink"/>
          </w:rPr>
          <w:t> 17 ITELR 1, [2015] WTLR 241</w:t>
        </w:r>
      </w:hyperlink>
      <w:r>
        <w:t xml:space="preserve"> </w:t>
      </w:r>
    </w:p>
    <w:p w14:paraId="5DB8804E" w14:textId="440EF0E4" w:rsidR="00DB3E18" w:rsidRDefault="00DB3E18" w:rsidP="00DE39C6">
      <w:pPr>
        <w:numPr>
          <w:ilvl w:val="0"/>
          <w:numId w:val="1"/>
        </w:numPr>
      </w:pPr>
      <w:r w:rsidRPr="00DB3E18">
        <w:t>Davern, R. (2020) ‘Trustee residual obligation: no basis for it’, </w:t>
      </w:r>
      <w:r w:rsidRPr="00DB3E18">
        <w:rPr>
          <w:i/>
          <w:iCs/>
        </w:rPr>
        <w:t>Trusts &amp; trustees</w:t>
      </w:r>
      <w:r w:rsidRPr="00DB3E18">
        <w:t xml:space="preserve">, 26(2), pp. 154–160. Available at: </w:t>
      </w:r>
      <w:hyperlink r:id="rId11" w:history="1">
        <w:r w:rsidR="00614427" w:rsidRPr="00317827">
          <w:rPr>
            <w:rStyle w:val="Hyperlink"/>
          </w:rPr>
          <w:t>https://doi.org/10.1093/tandt/ttz129</w:t>
        </w:r>
      </w:hyperlink>
      <w:r w:rsidRPr="00DB3E18">
        <w:t>.</w:t>
      </w:r>
    </w:p>
    <w:p w14:paraId="7758AFE4" w14:textId="4960DE1D" w:rsidR="00614427" w:rsidRDefault="00614427" w:rsidP="00DE39C6">
      <w:pPr>
        <w:numPr>
          <w:ilvl w:val="0"/>
          <w:numId w:val="1"/>
        </w:numPr>
      </w:pPr>
      <w:r w:rsidRPr="00614427">
        <w:t xml:space="preserve">Martin, J.E. (2022) </w:t>
      </w:r>
      <w:r w:rsidRPr="00614427">
        <w:rPr>
          <w:i/>
          <w:iCs/>
        </w:rPr>
        <w:t>Hanbury and Martin: Modern Equity</w:t>
      </w:r>
      <w:r w:rsidRPr="00614427">
        <w:t>. 17th edn. London: Sweet &amp; Maxwell.</w:t>
      </w:r>
    </w:p>
    <w:p w14:paraId="225C1594" w14:textId="30CE8075" w:rsidR="00453490" w:rsidRDefault="00453490" w:rsidP="00DE39C6">
      <w:pPr>
        <w:numPr>
          <w:ilvl w:val="0"/>
          <w:numId w:val="1"/>
        </w:numPr>
      </w:pPr>
      <w:r w:rsidRPr="00453490">
        <w:t>Jacobs, M., (2003). Criticised. Trusts and Estates Law Journal, 47, p. 8.</w:t>
      </w:r>
    </w:p>
    <w:p w14:paraId="796DF2FA" w14:textId="3BC99FE8" w:rsidR="00453490" w:rsidRDefault="00453490" w:rsidP="00DE39C6">
      <w:pPr>
        <w:numPr>
          <w:ilvl w:val="0"/>
          <w:numId w:val="1"/>
        </w:numPr>
      </w:pPr>
      <w:r w:rsidRPr="00453490">
        <w:t xml:space="preserve">Law Commission (2002). </w:t>
      </w:r>
      <w:r w:rsidRPr="00453490">
        <w:rPr>
          <w:i/>
          <w:iCs/>
        </w:rPr>
        <w:t>Consultation Paper No. 171: Trustees’ Exemption Clauses</w:t>
      </w:r>
      <w:r w:rsidRPr="00453490">
        <w:t>.</w:t>
      </w:r>
    </w:p>
    <w:p w14:paraId="7A82886C" w14:textId="5BC8002F" w:rsidR="00886E48" w:rsidRDefault="00886E48" w:rsidP="00DE39C6">
      <w:pPr>
        <w:numPr>
          <w:ilvl w:val="0"/>
          <w:numId w:val="1"/>
        </w:numPr>
      </w:pPr>
      <w:r w:rsidRPr="00886E48">
        <w:lastRenderedPageBreak/>
        <w:t xml:space="preserve">Watt, G. (2022) </w:t>
      </w:r>
      <w:r w:rsidRPr="00886E48">
        <w:rPr>
          <w:i/>
          <w:iCs/>
        </w:rPr>
        <w:t>Cases and materials on equity and trusts</w:t>
      </w:r>
      <w:r w:rsidRPr="00886E48">
        <w:t>. 10th edn. Oxford: Oxford University Press.</w:t>
      </w:r>
    </w:p>
    <w:p w14:paraId="5CF21CFE" w14:textId="77777777" w:rsidR="002347D0" w:rsidRPr="00E93842" w:rsidRDefault="002347D0" w:rsidP="002347D0">
      <w:pPr>
        <w:pStyle w:val="NormalWeb"/>
        <w:numPr>
          <w:ilvl w:val="0"/>
          <w:numId w:val="1"/>
        </w:numPr>
        <w:spacing w:before="0" w:beforeAutospacing="0" w:after="0" w:afterAutospacing="0"/>
      </w:pPr>
      <w:r>
        <w:rPr>
          <w:color w:val="000000"/>
          <w:sz w:val="22"/>
          <w:szCs w:val="22"/>
        </w:rPr>
        <w:t xml:space="preserve">Watt, G. (2020). </w:t>
      </w:r>
      <w:r>
        <w:rPr>
          <w:i/>
          <w:iCs/>
          <w:color w:val="000000"/>
          <w:sz w:val="22"/>
          <w:szCs w:val="22"/>
        </w:rPr>
        <w:t>Cases and Materials on Equity and Trusts</w:t>
      </w:r>
      <w:r>
        <w:rPr>
          <w:color w:val="000000"/>
          <w:sz w:val="22"/>
          <w:szCs w:val="22"/>
        </w:rPr>
        <w:t>, 10th ed. Oxford University Press.</w:t>
      </w:r>
    </w:p>
    <w:p w14:paraId="1EC06FFB" w14:textId="06EC0BC5" w:rsidR="00E93842" w:rsidRDefault="00E93842" w:rsidP="002347D0">
      <w:pPr>
        <w:pStyle w:val="NormalWeb"/>
        <w:numPr>
          <w:ilvl w:val="0"/>
          <w:numId w:val="1"/>
        </w:numPr>
        <w:spacing w:before="0" w:beforeAutospacing="0" w:after="0" w:afterAutospacing="0"/>
      </w:pPr>
      <w:r w:rsidRPr="00E93842">
        <w:t xml:space="preserve">Legislation.gov.uk. (1980). </w:t>
      </w:r>
      <w:r w:rsidRPr="00E93842">
        <w:rPr>
          <w:i/>
          <w:iCs/>
        </w:rPr>
        <w:t>Limitation Act 1980, Section 19</w:t>
      </w:r>
      <w:r w:rsidRPr="00E93842">
        <w:t>. Available at:</w:t>
      </w:r>
      <w:r>
        <w:t xml:space="preserve"> </w:t>
      </w:r>
      <w:hyperlink r:id="rId12" w:history="1">
        <w:r w:rsidRPr="00317827">
          <w:rPr>
            <w:rStyle w:val="Hyperlink"/>
          </w:rPr>
          <w:t>https://www.legislation.gov.uk/ukpga/1980/58/section/19#:~:text=No%20action%20shall%20be%20brought,which%20the%20arrears%20became%20due</w:t>
        </w:r>
      </w:hyperlink>
      <w:r>
        <w:t xml:space="preserve"> [Accessed 10 Nov. 2024]</w:t>
      </w:r>
    </w:p>
    <w:p w14:paraId="73CB6E2A" w14:textId="77777777" w:rsidR="002347D0" w:rsidRDefault="002347D0" w:rsidP="002347D0">
      <w:pPr>
        <w:ind w:left="720"/>
      </w:pPr>
    </w:p>
    <w:p w14:paraId="2B9C8D94" w14:textId="77777777" w:rsidR="00E93842" w:rsidRDefault="00E93842" w:rsidP="002347D0">
      <w:pPr>
        <w:ind w:left="720"/>
      </w:pPr>
    </w:p>
    <w:p w14:paraId="2EF9AB56" w14:textId="39C4A395" w:rsidR="00E93842" w:rsidRPr="00E244B7" w:rsidRDefault="00E244B7" w:rsidP="002347D0">
      <w:pPr>
        <w:ind w:left="720"/>
        <w:rPr>
          <w:u w:val="single"/>
        </w:rPr>
      </w:pPr>
      <w:r w:rsidRPr="00E244B7">
        <w:rPr>
          <w:u w:val="single"/>
        </w:rPr>
        <w:t>Word count-2185</w:t>
      </w:r>
    </w:p>
    <w:p w14:paraId="43E127A4" w14:textId="77777777" w:rsidR="00B45319" w:rsidRDefault="00B45319"/>
    <w:p w14:paraId="23E09945" w14:textId="77777777" w:rsidR="00B45319" w:rsidRDefault="00B45319"/>
    <w:p w14:paraId="0697C137" w14:textId="77777777" w:rsidR="00B45319" w:rsidRDefault="00B45319"/>
    <w:sectPr w:rsidR="00B45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06D29"/>
    <w:multiLevelType w:val="hybridMultilevel"/>
    <w:tmpl w:val="31C6D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087DC9"/>
    <w:multiLevelType w:val="multilevel"/>
    <w:tmpl w:val="9CEA4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7849420">
    <w:abstractNumId w:val="1"/>
  </w:num>
  <w:num w:numId="2" w16cid:durableId="322049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319"/>
    <w:rsid w:val="00011D13"/>
    <w:rsid w:val="002347D0"/>
    <w:rsid w:val="003D2942"/>
    <w:rsid w:val="00453490"/>
    <w:rsid w:val="004D52D0"/>
    <w:rsid w:val="00524E87"/>
    <w:rsid w:val="0053668C"/>
    <w:rsid w:val="005D51CF"/>
    <w:rsid w:val="00614427"/>
    <w:rsid w:val="007A6BE2"/>
    <w:rsid w:val="00886E48"/>
    <w:rsid w:val="008D1EA6"/>
    <w:rsid w:val="00A96976"/>
    <w:rsid w:val="00B45319"/>
    <w:rsid w:val="00BA775F"/>
    <w:rsid w:val="00BF3F73"/>
    <w:rsid w:val="00DB0195"/>
    <w:rsid w:val="00DB3E18"/>
    <w:rsid w:val="00DE6553"/>
    <w:rsid w:val="00DF55F6"/>
    <w:rsid w:val="00E03F19"/>
    <w:rsid w:val="00E244B7"/>
    <w:rsid w:val="00E316CC"/>
    <w:rsid w:val="00E50120"/>
    <w:rsid w:val="00E93842"/>
    <w:rsid w:val="00FA0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C1022"/>
  <w15:chartTrackingRefBased/>
  <w15:docId w15:val="{40B70E2C-516F-4285-BB87-1786E3821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3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3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3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3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3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3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3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3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3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3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3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3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3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3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3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3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3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319"/>
    <w:rPr>
      <w:rFonts w:eastAsiaTheme="majorEastAsia" w:cstheme="majorBidi"/>
      <w:color w:val="272727" w:themeColor="text1" w:themeTint="D8"/>
    </w:rPr>
  </w:style>
  <w:style w:type="paragraph" w:styleId="Title">
    <w:name w:val="Title"/>
    <w:basedOn w:val="Normal"/>
    <w:next w:val="Normal"/>
    <w:link w:val="TitleChar"/>
    <w:uiPriority w:val="10"/>
    <w:qFormat/>
    <w:rsid w:val="00B453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3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3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3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319"/>
    <w:pPr>
      <w:spacing w:before="160"/>
      <w:jc w:val="center"/>
    </w:pPr>
    <w:rPr>
      <w:i/>
      <w:iCs/>
      <w:color w:val="404040" w:themeColor="text1" w:themeTint="BF"/>
    </w:rPr>
  </w:style>
  <w:style w:type="character" w:customStyle="1" w:styleId="QuoteChar">
    <w:name w:val="Quote Char"/>
    <w:basedOn w:val="DefaultParagraphFont"/>
    <w:link w:val="Quote"/>
    <w:uiPriority w:val="29"/>
    <w:rsid w:val="00B45319"/>
    <w:rPr>
      <w:i/>
      <w:iCs/>
      <w:color w:val="404040" w:themeColor="text1" w:themeTint="BF"/>
    </w:rPr>
  </w:style>
  <w:style w:type="paragraph" w:styleId="ListParagraph">
    <w:name w:val="List Paragraph"/>
    <w:basedOn w:val="Normal"/>
    <w:uiPriority w:val="34"/>
    <w:qFormat/>
    <w:rsid w:val="00B45319"/>
    <w:pPr>
      <w:ind w:left="720"/>
      <w:contextualSpacing/>
    </w:pPr>
  </w:style>
  <w:style w:type="character" w:styleId="IntenseEmphasis">
    <w:name w:val="Intense Emphasis"/>
    <w:basedOn w:val="DefaultParagraphFont"/>
    <w:uiPriority w:val="21"/>
    <w:qFormat/>
    <w:rsid w:val="00B45319"/>
    <w:rPr>
      <w:i/>
      <w:iCs/>
      <w:color w:val="0F4761" w:themeColor="accent1" w:themeShade="BF"/>
    </w:rPr>
  </w:style>
  <w:style w:type="paragraph" w:styleId="IntenseQuote">
    <w:name w:val="Intense Quote"/>
    <w:basedOn w:val="Normal"/>
    <w:next w:val="Normal"/>
    <w:link w:val="IntenseQuoteChar"/>
    <w:uiPriority w:val="30"/>
    <w:qFormat/>
    <w:rsid w:val="00B453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319"/>
    <w:rPr>
      <w:i/>
      <w:iCs/>
      <w:color w:val="0F4761" w:themeColor="accent1" w:themeShade="BF"/>
    </w:rPr>
  </w:style>
  <w:style w:type="character" w:styleId="IntenseReference">
    <w:name w:val="Intense Reference"/>
    <w:basedOn w:val="DefaultParagraphFont"/>
    <w:uiPriority w:val="32"/>
    <w:qFormat/>
    <w:rsid w:val="00B45319"/>
    <w:rPr>
      <w:b/>
      <w:bCs/>
      <w:smallCaps/>
      <w:color w:val="0F4761" w:themeColor="accent1" w:themeShade="BF"/>
      <w:spacing w:val="5"/>
    </w:rPr>
  </w:style>
  <w:style w:type="character" w:styleId="Hyperlink">
    <w:name w:val="Hyperlink"/>
    <w:basedOn w:val="DefaultParagraphFont"/>
    <w:uiPriority w:val="99"/>
    <w:unhideWhenUsed/>
    <w:rsid w:val="00B45319"/>
    <w:rPr>
      <w:color w:val="467886" w:themeColor="hyperlink"/>
      <w:u w:val="single"/>
    </w:rPr>
  </w:style>
  <w:style w:type="character" w:styleId="UnresolvedMention">
    <w:name w:val="Unresolved Mention"/>
    <w:basedOn w:val="DefaultParagraphFont"/>
    <w:uiPriority w:val="99"/>
    <w:semiHidden/>
    <w:unhideWhenUsed/>
    <w:rsid w:val="00B45319"/>
    <w:rPr>
      <w:color w:val="605E5C"/>
      <w:shd w:val="clear" w:color="auto" w:fill="E1DFDD"/>
    </w:rPr>
  </w:style>
  <w:style w:type="paragraph" w:styleId="NormalWeb">
    <w:name w:val="Normal (Web)"/>
    <w:basedOn w:val="Normal"/>
    <w:uiPriority w:val="99"/>
    <w:semiHidden/>
    <w:unhideWhenUsed/>
    <w:rsid w:val="002347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83092">
      <w:bodyDiv w:val="1"/>
      <w:marLeft w:val="0"/>
      <w:marRight w:val="0"/>
      <w:marTop w:val="0"/>
      <w:marBottom w:val="0"/>
      <w:divBdr>
        <w:top w:val="none" w:sz="0" w:space="0" w:color="auto"/>
        <w:left w:val="none" w:sz="0" w:space="0" w:color="auto"/>
        <w:bottom w:val="none" w:sz="0" w:space="0" w:color="auto"/>
        <w:right w:val="none" w:sz="0" w:space="0" w:color="auto"/>
      </w:divBdr>
    </w:div>
    <w:div w:id="61102388">
      <w:bodyDiv w:val="1"/>
      <w:marLeft w:val="0"/>
      <w:marRight w:val="0"/>
      <w:marTop w:val="0"/>
      <w:marBottom w:val="0"/>
      <w:divBdr>
        <w:top w:val="none" w:sz="0" w:space="0" w:color="auto"/>
        <w:left w:val="none" w:sz="0" w:space="0" w:color="auto"/>
        <w:bottom w:val="none" w:sz="0" w:space="0" w:color="auto"/>
        <w:right w:val="none" w:sz="0" w:space="0" w:color="auto"/>
      </w:divBdr>
    </w:div>
    <w:div w:id="159194959">
      <w:bodyDiv w:val="1"/>
      <w:marLeft w:val="0"/>
      <w:marRight w:val="0"/>
      <w:marTop w:val="0"/>
      <w:marBottom w:val="0"/>
      <w:divBdr>
        <w:top w:val="none" w:sz="0" w:space="0" w:color="auto"/>
        <w:left w:val="none" w:sz="0" w:space="0" w:color="auto"/>
        <w:bottom w:val="none" w:sz="0" w:space="0" w:color="auto"/>
        <w:right w:val="none" w:sz="0" w:space="0" w:color="auto"/>
      </w:divBdr>
    </w:div>
    <w:div w:id="161242161">
      <w:bodyDiv w:val="1"/>
      <w:marLeft w:val="0"/>
      <w:marRight w:val="0"/>
      <w:marTop w:val="0"/>
      <w:marBottom w:val="0"/>
      <w:divBdr>
        <w:top w:val="none" w:sz="0" w:space="0" w:color="auto"/>
        <w:left w:val="none" w:sz="0" w:space="0" w:color="auto"/>
        <w:bottom w:val="none" w:sz="0" w:space="0" w:color="auto"/>
        <w:right w:val="none" w:sz="0" w:space="0" w:color="auto"/>
      </w:divBdr>
    </w:div>
    <w:div w:id="166988983">
      <w:bodyDiv w:val="1"/>
      <w:marLeft w:val="0"/>
      <w:marRight w:val="0"/>
      <w:marTop w:val="0"/>
      <w:marBottom w:val="0"/>
      <w:divBdr>
        <w:top w:val="none" w:sz="0" w:space="0" w:color="auto"/>
        <w:left w:val="none" w:sz="0" w:space="0" w:color="auto"/>
        <w:bottom w:val="none" w:sz="0" w:space="0" w:color="auto"/>
        <w:right w:val="none" w:sz="0" w:space="0" w:color="auto"/>
      </w:divBdr>
    </w:div>
    <w:div w:id="187984993">
      <w:bodyDiv w:val="1"/>
      <w:marLeft w:val="0"/>
      <w:marRight w:val="0"/>
      <w:marTop w:val="0"/>
      <w:marBottom w:val="0"/>
      <w:divBdr>
        <w:top w:val="none" w:sz="0" w:space="0" w:color="auto"/>
        <w:left w:val="none" w:sz="0" w:space="0" w:color="auto"/>
        <w:bottom w:val="none" w:sz="0" w:space="0" w:color="auto"/>
        <w:right w:val="none" w:sz="0" w:space="0" w:color="auto"/>
      </w:divBdr>
    </w:div>
    <w:div w:id="199705199">
      <w:bodyDiv w:val="1"/>
      <w:marLeft w:val="0"/>
      <w:marRight w:val="0"/>
      <w:marTop w:val="0"/>
      <w:marBottom w:val="0"/>
      <w:divBdr>
        <w:top w:val="none" w:sz="0" w:space="0" w:color="auto"/>
        <w:left w:val="none" w:sz="0" w:space="0" w:color="auto"/>
        <w:bottom w:val="none" w:sz="0" w:space="0" w:color="auto"/>
        <w:right w:val="none" w:sz="0" w:space="0" w:color="auto"/>
      </w:divBdr>
    </w:div>
    <w:div w:id="203638063">
      <w:bodyDiv w:val="1"/>
      <w:marLeft w:val="0"/>
      <w:marRight w:val="0"/>
      <w:marTop w:val="0"/>
      <w:marBottom w:val="0"/>
      <w:divBdr>
        <w:top w:val="none" w:sz="0" w:space="0" w:color="auto"/>
        <w:left w:val="none" w:sz="0" w:space="0" w:color="auto"/>
        <w:bottom w:val="none" w:sz="0" w:space="0" w:color="auto"/>
        <w:right w:val="none" w:sz="0" w:space="0" w:color="auto"/>
      </w:divBdr>
    </w:div>
    <w:div w:id="204292496">
      <w:bodyDiv w:val="1"/>
      <w:marLeft w:val="0"/>
      <w:marRight w:val="0"/>
      <w:marTop w:val="0"/>
      <w:marBottom w:val="0"/>
      <w:divBdr>
        <w:top w:val="none" w:sz="0" w:space="0" w:color="auto"/>
        <w:left w:val="none" w:sz="0" w:space="0" w:color="auto"/>
        <w:bottom w:val="none" w:sz="0" w:space="0" w:color="auto"/>
        <w:right w:val="none" w:sz="0" w:space="0" w:color="auto"/>
      </w:divBdr>
    </w:div>
    <w:div w:id="292444550">
      <w:bodyDiv w:val="1"/>
      <w:marLeft w:val="0"/>
      <w:marRight w:val="0"/>
      <w:marTop w:val="0"/>
      <w:marBottom w:val="0"/>
      <w:divBdr>
        <w:top w:val="none" w:sz="0" w:space="0" w:color="auto"/>
        <w:left w:val="none" w:sz="0" w:space="0" w:color="auto"/>
        <w:bottom w:val="none" w:sz="0" w:space="0" w:color="auto"/>
        <w:right w:val="none" w:sz="0" w:space="0" w:color="auto"/>
      </w:divBdr>
    </w:div>
    <w:div w:id="295372754">
      <w:bodyDiv w:val="1"/>
      <w:marLeft w:val="0"/>
      <w:marRight w:val="0"/>
      <w:marTop w:val="0"/>
      <w:marBottom w:val="0"/>
      <w:divBdr>
        <w:top w:val="none" w:sz="0" w:space="0" w:color="auto"/>
        <w:left w:val="none" w:sz="0" w:space="0" w:color="auto"/>
        <w:bottom w:val="none" w:sz="0" w:space="0" w:color="auto"/>
        <w:right w:val="none" w:sz="0" w:space="0" w:color="auto"/>
      </w:divBdr>
    </w:div>
    <w:div w:id="338587650">
      <w:bodyDiv w:val="1"/>
      <w:marLeft w:val="0"/>
      <w:marRight w:val="0"/>
      <w:marTop w:val="0"/>
      <w:marBottom w:val="0"/>
      <w:divBdr>
        <w:top w:val="none" w:sz="0" w:space="0" w:color="auto"/>
        <w:left w:val="none" w:sz="0" w:space="0" w:color="auto"/>
        <w:bottom w:val="none" w:sz="0" w:space="0" w:color="auto"/>
        <w:right w:val="none" w:sz="0" w:space="0" w:color="auto"/>
      </w:divBdr>
    </w:div>
    <w:div w:id="392119647">
      <w:bodyDiv w:val="1"/>
      <w:marLeft w:val="0"/>
      <w:marRight w:val="0"/>
      <w:marTop w:val="0"/>
      <w:marBottom w:val="0"/>
      <w:divBdr>
        <w:top w:val="none" w:sz="0" w:space="0" w:color="auto"/>
        <w:left w:val="none" w:sz="0" w:space="0" w:color="auto"/>
        <w:bottom w:val="none" w:sz="0" w:space="0" w:color="auto"/>
        <w:right w:val="none" w:sz="0" w:space="0" w:color="auto"/>
      </w:divBdr>
    </w:div>
    <w:div w:id="413092235">
      <w:bodyDiv w:val="1"/>
      <w:marLeft w:val="0"/>
      <w:marRight w:val="0"/>
      <w:marTop w:val="0"/>
      <w:marBottom w:val="0"/>
      <w:divBdr>
        <w:top w:val="none" w:sz="0" w:space="0" w:color="auto"/>
        <w:left w:val="none" w:sz="0" w:space="0" w:color="auto"/>
        <w:bottom w:val="none" w:sz="0" w:space="0" w:color="auto"/>
        <w:right w:val="none" w:sz="0" w:space="0" w:color="auto"/>
      </w:divBdr>
    </w:div>
    <w:div w:id="414592180">
      <w:bodyDiv w:val="1"/>
      <w:marLeft w:val="0"/>
      <w:marRight w:val="0"/>
      <w:marTop w:val="0"/>
      <w:marBottom w:val="0"/>
      <w:divBdr>
        <w:top w:val="none" w:sz="0" w:space="0" w:color="auto"/>
        <w:left w:val="none" w:sz="0" w:space="0" w:color="auto"/>
        <w:bottom w:val="none" w:sz="0" w:space="0" w:color="auto"/>
        <w:right w:val="none" w:sz="0" w:space="0" w:color="auto"/>
      </w:divBdr>
    </w:div>
    <w:div w:id="431896800">
      <w:bodyDiv w:val="1"/>
      <w:marLeft w:val="0"/>
      <w:marRight w:val="0"/>
      <w:marTop w:val="0"/>
      <w:marBottom w:val="0"/>
      <w:divBdr>
        <w:top w:val="none" w:sz="0" w:space="0" w:color="auto"/>
        <w:left w:val="none" w:sz="0" w:space="0" w:color="auto"/>
        <w:bottom w:val="none" w:sz="0" w:space="0" w:color="auto"/>
        <w:right w:val="none" w:sz="0" w:space="0" w:color="auto"/>
      </w:divBdr>
    </w:div>
    <w:div w:id="434789873">
      <w:bodyDiv w:val="1"/>
      <w:marLeft w:val="0"/>
      <w:marRight w:val="0"/>
      <w:marTop w:val="0"/>
      <w:marBottom w:val="0"/>
      <w:divBdr>
        <w:top w:val="none" w:sz="0" w:space="0" w:color="auto"/>
        <w:left w:val="none" w:sz="0" w:space="0" w:color="auto"/>
        <w:bottom w:val="none" w:sz="0" w:space="0" w:color="auto"/>
        <w:right w:val="none" w:sz="0" w:space="0" w:color="auto"/>
      </w:divBdr>
    </w:div>
    <w:div w:id="485242966">
      <w:bodyDiv w:val="1"/>
      <w:marLeft w:val="0"/>
      <w:marRight w:val="0"/>
      <w:marTop w:val="0"/>
      <w:marBottom w:val="0"/>
      <w:divBdr>
        <w:top w:val="none" w:sz="0" w:space="0" w:color="auto"/>
        <w:left w:val="none" w:sz="0" w:space="0" w:color="auto"/>
        <w:bottom w:val="none" w:sz="0" w:space="0" w:color="auto"/>
        <w:right w:val="none" w:sz="0" w:space="0" w:color="auto"/>
      </w:divBdr>
    </w:div>
    <w:div w:id="487405403">
      <w:bodyDiv w:val="1"/>
      <w:marLeft w:val="0"/>
      <w:marRight w:val="0"/>
      <w:marTop w:val="0"/>
      <w:marBottom w:val="0"/>
      <w:divBdr>
        <w:top w:val="none" w:sz="0" w:space="0" w:color="auto"/>
        <w:left w:val="none" w:sz="0" w:space="0" w:color="auto"/>
        <w:bottom w:val="none" w:sz="0" w:space="0" w:color="auto"/>
        <w:right w:val="none" w:sz="0" w:space="0" w:color="auto"/>
      </w:divBdr>
    </w:div>
    <w:div w:id="546602193">
      <w:bodyDiv w:val="1"/>
      <w:marLeft w:val="0"/>
      <w:marRight w:val="0"/>
      <w:marTop w:val="0"/>
      <w:marBottom w:val="0"/>
      <w:divBdr>
        <w:top w:val="none" w:sz="0" w:space="0" w:color="auto"/>
        <w:left w:val="none" w:sz="0" w:space="0" w:color="auto"/>
        <w:bottom w:val="none" w:sz="0" w:space="0" w:color="auto"/>
        <w:right w:val="none" w:sz="0" w:space="0" w:color="auto"/>
      </w:divBdr>
    </w:div>
    <w:div w:id="580722007">
      <w:bodyDiv w:val="1"/>
      <w:marLeft w:val="0"/>
      <w:marRight w:val="0"/>
      <w:marTop w:val="0"/>
      <w:marBottom w:val="0"/>
      <w:divBdr>
        <w:top w:val="none" w:sz="0" w:space="0" w:color="auto"/>
        <w:left w:val="none" w:sz="0" w:space="0" w:color="auto"/>
        <w:bottom w:val="none" w:sz="0" w:space="0" w:color="auto"/>
        <w:right w:val="none" w:sz="0" w:space="0" w:color="auto"/>
      </w:divBdr>
    </w:div>
    <w:div w:id="582884841">
      <w:bodyDiv w:val="1"/>
      <w:marLeft w:val="0"/>
      <w:marRight w:val="0"/>
      <w:marTop w:val="0"/>
      <w:marBottom w:val="0"/>
      <w:divBdr>
        <w:top w:val="none" w:sz="0" w:space="0" w:color="auto"/>
        <w:left w:val="none" w:sz="0" w:space="0" w:color="auto"/>
        <w:bottom w:val="none" w:sz="0" w:space="0" w:color="auto"/>
        <w:right w:val="none" w:sz="0" w:space="0" w:color="auto"/>
      </w:divBdr>
    </w:div>
    <w:div w:id="605505657">
      <w:bodyDiv w:val="1"/>
      <w:marLeft w:val="0"/>
      <w:marRight w:val="0"/>
      <w:marTop w:val="0"/>
      <w:marBottom w:val="0"/>
      <w:divBdr>
        <w:top w:val="none" w:sz="0" w:space="0" w:color="auto"/>
        <w:left w:val="none" w:sz="0" w:space="0" w:color="auto"/>
        <w:bottom w:val="none" w:sz="0" w:space="0" w:color="auto"/>
        <w:right w:val="none" w:sz="0" w:space="0" w:color="auto"/>
      </w:divBdr>
    </w:div>
    <w:div w:id="611127619">
      <w:bodyDiv w:val="1"/>
      <w:marLeft w:val="0"/>
      <w:marRight w:val="0"/>
      <w:marTop w:val="0"/>
      <w:marBottom w:val="0"/>
      <w:divBdr>
        <w:top w:val="none" w:sz="0" w:space="0" w:color="auto"/>
        <w:left w:val="none" w:sz="0" w:space="0" w:color="auto"/>
        <w:bottom w:val="none" w:sz="0" w:space="0" w:color="auto"/>
        <w:right w:val="none" w:sz="0" w:space="0" w:color="auto"/>
      </w:divBdr>
    </w:div>
    <w:div w:id="612709111">
      <w:bodyDiv w:val="1"/>
      <w:marLeft w:val="0"/>
      <w:marRight w:val="0"/>
      <w:marTop w:val="0"/>
      <w:marBottom w:val="0"/>
      <w:divBdr>
        <w:top w:val="none" w:sz="0" w:space="0" w:color="auto"/>
        <w:left w:val="none" w:sz="0" w:space="0" w:color="auto"/>
        <w:bottom w:val="none" w:sz="0" w:space="0" w:color="auto"/>
        <w:right w:val="none" w:sz="0" w:space="0" w:color="auto"/>
      </w:divBdr>
    </w:div>
    <w:div w:id="639842240">
      <w:bodyDiv w:val="1"/>
      <w:marLeft w:val="0"/>
      <w:marRight w:val="0"/>
      <w:marTop w:val="0"/>
      <w:marBottom w:val="0"/>
      <w:divBdr>
        <w:top w:val="none" w:sz="0" w:space="0" w:color="auto"/>
        <w:left w:val="none" w:sz="0" w:space="0" w:color="auto"/>
        <w:bottom w:val="none" w:sz="0" w:space="0" w:color="auto"/>
        <w:right w:val="none" w:sz="0" w:space="0" w:color="auto"/>
      </w:divBdr>
    </w:div>
    <w:div w:id="722683390">
      <w:bodyDiv w:val="1"/>
      <w:marLeft w:val="0"/>
      <w:marRight w:val="0"/>
      <w:marTop w:val="0"/>
      <w:marBottom w:val="0"/>
      <w:divBdr>
        <w:top w:val="none" w:sz="0" w:space="0" w:color="auto"/>
        <w:left w:val="none" w:sz="0" w:space="0" w:color="auto"/>
        <w:bottom w:val="none" w:sz="0" w:space="0" w:color="auto"/>
        <w:right w:val="none" w:sz="0" w:space="0" w:color="auto"/>
      </w:divBdr>
    </w:div>
    <w:div w:id="802575976">
      <w:bodyDiv w:val="1"/>
      <w:marLeft w:val="0"/>
      <w:marRight w:val="0"/>
      <w:marTop w:val="0"/>
      <w:marBottom w:val="0"/>
      <w:divBdr>
        <w:top w:val="none" w:sz="0" w:space="0" w:color="auto"/>
        <w:left w:val="none" w:sz="0" w:space="0" w:color="auto"/>
        <w:bottom w:val="none" w:sz="0" w:space="0" w:color="auto"/>
        <w:right w:val="none" w:sz="0" w:space="0" w:color="auto"/>
      </w:divBdr>
    </w:div>
    <w:div w:id="851408497">
      <w:bodyDiv w:val="1"/>
      <w:marLeft w:val="0"/>
      <w:marRight w:val="0"/>
      <w:marTop w:val="0"/>
      <w:marBottom w:val="0"/>
      <w:divBdr>
        <w:top w:val="none" w:sz="0" w:space="0" w:color="auto"/>
        <w:left w:val="none" w:sz="0" w:space="0" w:color="auto"/>
        <w:bottom w:val="none" w:sz="0" w:space="0" w:color="auto"/>
        <w:right w:val="none" w:sz="0" w:space="0" w:color="auto"/>
      </w:divBdr>
    </w:div>
    <w:div w:id="869338980">
      <w:bodyDiv w:val="1"/>
      <w:marLeft w:val="0"/>
      <w:marRight w:val="0"/>
      <w:marTop w:val="0"/>
      <w:marBottom w:val="0"/>
      <w:divBdr>
        <w:top w:val="none" w:sz="0" w:space="0" w:color="auto"/>
        <w:left w:val="none" w:sz="0" w:space="0" w:color="auto"/>
        <w:bottom w:val="none" w:sz="0" w:space="0" w:color="auto"/>
        <w:right w:val="none" w:sz="0" w:space="0" w:color="auto"/>
      </w:divBdr>
    </w:div>
    <w:div w:id="895168764">
      <w:bodyDiv w:val="1"/>
      <w:marLeft w:val="0"/>
      <w:marRight w:val="0"/>
      <w:marTop w:val="0"/>
      <w:marBottom w:val="0"/>
      <w:divBdr>
        <w:top w:val="none" w:sz="0" w:space="0" w:color="auto"/>
        <w:left w:val="none" w:sz="0" w:space="0" w:color="auto"/>
        <w:bottom w:val="none" w:sz="0" w:space="0" w:color="auto"/>
        <w:right w:val="none" w:sz="0" w:space="0" w:color="auto"/>
      </w:divBdr>
    </w:div>
    <w:div w:id="914167567">
      <w:bodyDiv w:val="1"/>
      <w:marLeft w:val="0"/>
      <w:marRight w:val="0"/>
      <w:marTop w:val="0"/>
      <w:marBottom w:val="0"/>
      <w:divBdr>
        <w:top w:val="none" w:sz="0" w:space="0" w:color="auto"/>
        <w:left w:val="none" w:sz="0" w:space="0" w:color="auto"/>
        <w:bottom w:val="none" w:sz="0" w:space="0" w:color="auto"/>
        <w:right w:val="none" w:sz="0" w:space="0" w:color="auto"/>
      </w:divBdr>
    </w:div>
    <w:div w:id="937912740">
      <w:bodyDiv w:val="1"/>
      <w:marLeft w:val="0"/>
      <w:marRight w:val="0"/>
      <w:marTop w:val="0"/>
      <w:marBottom w:val="0"/>
      <w:divBdr>
        <w:top w:val="none" w:sz="0" w:space="0" w:color="auto"/>
        <w:left w:val="none" w:sz="0" w:space="0" w:color="auto"/>
        <w:bottom w:val="none" w:sz="0" w:space="0" w:color="auto"/>
        <w:right w:val="none" w:sz="0" w:space="0" w:color="auto"/>
      </w:divBdr>
    </w:div>
    <w:div w:id="943610433">
      <w:bodyDiv w:val="1"/>
      <w:marLeft w:val="0"/>
      <w:marRight w:val="0"/>
      <w:marTop w:val="0"/>
      <w:marBottom w:val="0"/>
      <w:divBdr>
        <w:top w:val="none" w:sz="0" w:space="0" w:color="auto"/>
        <w:left w:val="none" w:sz="0" w:space="0" w:color="auto"/>
        <w:bottom w:val="none" w:sz="0" w:space="0" w:color="auto"/>
        <w:right w:val="none" w:sz="0" w:space="0" w:color="auto"/>
      </w:divBdr>
    </w:div>
    <w:div w:id="961500077">
      <w:bodyDiv w:val="1"/>
      <w:marLeft w:val="0"/>
      <w:marRight w:val="0"/>
      <w:marTop w:val="0"/>
      <w:marBottom w:val="0"/>
      <w:divBdr>
        <w:top w:val="none" w:sz="0" w:space="0" w:color="auto"/>
        <w:left w:val="none" w:sz="0" w:space="0" w:color="auto"/>
        <w:bottom w:val="none" w:sz="0" w:space="0" w:color="auto"/>
        <w:right w:val="none" w:sz="0" w:space="0" w:color="auto"/>
      </w:divBdr>
    </w:div>
    <w:div w:id="977689282">
      <w:bodyDiv w:val="1"/>
      <w:marLeft w:val="0"/>
      <w:marRight w:val="0"/>
      <w:marTop w:val="0"/>
      <w:marBottom w:val="0"/>
      <w:divBdr>
        <w:top w:val="none" w:sz="0" w:space="0" w:color="auto"/>
        <w:left w:val="none" w:sz="0" w:space="0" w:color="auto"/>
        <w:bottom w:val="none" w:sz="0" w:space="0" w:color="auto"/>
        <w:right w:val="none" w:sz="0" w:space="0" w:color="auto"/>
      </w:divBdr>
    </w:div>
    <w:div w:id="1023556934">
      <w:bodyDiv w:val="1"/>
      <w:marLeft w:val="0"/>
      <w:marRight w:val="0"/>
      <w:marTop w:val="0"/>
      <w:marBottom w:val="0"/>
      <w:divBdr>
        <w:top w:val="none" w:sz="0" w:space="0" w:color="auto"/>
        <w:left w:val="none" w:sz="0" w:space="0" w:color="auto"/>
        <w:bottom w:val="none" w:sz="0" w:space="0" w:color="auto"/>
        <w:right w:val="none" w:sz="0" w:space="0" w:color="auto"/>
      </w:divBdr>
    </w:div>
    <w:div w:id="1043867442">
      <w:bodyDiv w:val="1"/>
      <w:marLeft w:val="0"/>
      <w:marRight w:val="0"/>
      <w:marTop w:val="0"/>
      <w:marBottom w:val="0"/>
      <w:divBdr>
        <w:top w:val="none" w:sz="0" w:space="0" w:color="auto"/>
        <w:left w:val="none" w:sz="0" w:space="0" w:color="auto"/>
        <w:bottom w:val="none" w:sz="0" w:space="0" w:color="auto"/>
        <w:right w:val="none" w:sz="0" w:space="0" w:color="auto"/>
      </w:divBdr>
    </w:div>
    <w:div w:id="1100949122">
      <w:bodyDiv w:val="1"/>
      <w:marLeft w:val="0"/>
      <w:marRight w:val="0"/>
      <w:marTop w:val="0"/>
      <w:marBottom w:val="0"/>
      <w:divBdr>
        <w:top w:val="none" w:sz="0" w:space="0" w:color="auto"/>
        <w:left w:val="none" w:sz="0" w:space="0" w:color="auto"/>
        <w:bottom w:val="none" w:sz="0" w:space="0" w:color="auto"/>
        <w:right w:val="none" w:sz="0" w:space="0" w:color="auto"/>
      </w:divBdr>
    </w:div>
    <w:div w:id="1231886378">
      <w:bodyDiv w:val="1"/>
      <w:marLeft w:val="0"/>
      <w:marRight w:val="0"/>
      <w:marTop w:val="0"/>
      <w:marBottom w:val="0"/>
      <w:divBdr>
        <w:top w:val="none" w:sz="0" w:space="0" w:color="auto"/>
        <w:left w:val="none" w:sz="0" w:space="0" w:color="auto"/>
        <w:bottom w:val="none" w:sz="0" w:space="0" w:color="auto"/>
        <w:right w:val="none" w:sz="0" w:space="0" w:color="auto"/>
      </w:divBdr>
    </w:div>
    <w:div w:id="1265377570">
      <w:bodyDiv w:val="1"/>
      <w:marLeft w:val="0"/>
      <w:marRight w:val="0"/>
      <w:marTop w:val="0"/>
      <w:marBottom w:val="0"/>
      <w:divBdr>
        <w:top w:val="none" w:sz="0" w:space="0" w:color="auto"/>
        <w:left w:val="none" w:sz="0" w:space="0" w:color="auto"/>
        <w:bottom w:val="none" w:sz="0" w:space="0" w:color="auto"/>
        <w:right w:val="none" w:sz="0" w:space="0" w:color="auto"/>
      </w:divBdr>
    </w:div>
    <w:div w:id="1287617741">
      <w:bodyDiv w:val="1"/>
      <w:marLeft w:val="0"/>
      <w:marRight w:val="0"/>
      <w:marTop w:val="0"/>
      <w:marBottom w:val="0"/>
      <w:divBdr>
        <w:top w:val="none" w:sz="0" w:space="0" w:color="auto"/>
        <w:left w:val="none" w:sz="0" w:space="0" w:color="auto"/>
        <w:bottom w:val="none" w:sz="0" w:space="0" w:color="auto"/>
        <w:right w:val="none" w:sz="0" w:space="0" w:color="auto"/>
      </w:divBdr>
    </w:div>
    <w:div w:id="1307200170">
      <w:bodyDiv w:val="1"/>
      <w:marLeft w:val="0"/>
      <w:marRight w:val="0"/>
      <w:marTop w:val="0"/>
      <w:marBottom w:val="0"/>
      <w:divBdr>
        <w:top w:val="none" w:sz="0" w:space="0" w:color="auto"/>
        <w:left w:val="none" w:sz="0" w:space="0" w:color="auto"/>
        <w:bottom w:val="none" w:sz="0" w:space="0" w:color="auto"/>
        <w:right w:val="none" w:sz="0" w:space="0" w:color="auto"/>
      </w:divBdr>
    </w:div>
    <w:div w:id="1318267738">
      <w:bodyDiv w:val="1"/>
      <w:marLeft w:val="0"/>
      <w:marRight w:val="0"/>
      <w:marTop w:val="0"/>
      <w:marBottom w:val="0"/>
      <w:divBdr>
        <w:top w:val="none" w:sz="0" w:space="0" w:color="auto"/>
        <w:left w:val="none" w:sz="0" w:space="0" w:color="auto"/>
        <w:bottom w:val="none" w:sz="0" w:space="0" w:color="auto"/>
        <w:right w:val="none" w:sz="0" w:space="0" w:color="auto"/>
      </w:divBdr>
    </w:div>
    <w:div w:id="1339649036">
      <w:bodyDiv w:val="1"/>
      <w:marLeft w:val="0"/>
      <w:marRight w:val="0"/>
      <w:marTop w:val="0"/>
      <w:marBottom w:val="0"/>
      <w:divBdr>
        <w:top w:val="none" w:sz="0" w:space="0" w:color="auto"/>
        <w:left w:val="none" w:sz="0" w:space="0" w:color="auto"/>
        <w:bottom w:val="none" w:sz="0" w:space="0" w:color="auto"/>
        <w:right w:val="none" w:sz="0" w:space="0" w:color="auto"/>
      </w:divBdr>
    </w:div>
    <w:div w:id="1436291043">
      <w:bodyDiv w:val="1"/>
      <w:marLeft w:val="0"/>
      <w:marRight w:val="0"/>
      <w:marTop w:val="0"/>
      <w:marBottom w:val="0"/>
      <w:divBdr>
        <w:top w:val="none" w:sz="0" w:space="0" w:color="auto"/>
        <w:left w:val="none" w:sz="0" w:space="0" w:color="auto"/>
        <w:bottom w:val="none" w:sz="0" w:space="0" w:color="auto"/>
        <w:right w:val="none" w:sz="0" w:space="0" w:color="auto"/>
      </w:divBdr>
    </w:div>
    <w:div w:id="1477380921">
      <w:bodyDiv w:val="1"/>
      <w:marLeft w:val="0"/>
      <w:marRight w:val="0"/>
      <w:marTop w:val="0"/>
      <w:marBottom w:val="0"/>
      <w:divBdr>
        <w:top w:val="none" w:sz="0" w:space="0" w:color="auto"/>
        <w:left w:val="none" w:sz="0" w:space="0" w:color="auto"/>
        <w:bottom w:val="none" w:sz="0" w:space="0" w:color="auto"/>
        <w:right w:val="none" w:sz="0" w:space="0" w:color="auto"/>
      </w:divBdr>
    </w:div>
    <w:div w:id="1552501052">
      <w:bodyDiv w:val="1"/>
      <w:marLeft w:val="0"/>
      <w:marRight w:val="0"/>
      <w:marTop w:val="0"/>
      <w:marBottom w:val="0"/>
      <w:divBdr>
        <w:top w:val="none" w:sz="0" w:space="0" w:color="auto"/>
        <w:left w:val="none" w:sz="0" w:space="0" w:color="auto"/>
        <w:bottom w:val="none" w:sz="0" w:space="0" w:color="auto"/>
        <w:right w:val="none" w:sz="0" w:space="0" w:color="auto"/>
      </w:divBdr>
    </w:div>
    <w:div w:id="1564412173">
      <w:bodyDiv w:val="1"/>
      <w:marLeft w:val="0"/>
      <w:marRight w:val="0"/>
      <w:marTop w:val="0"/>
      <w:marBottom w:val="0"/>
      <w:divBdr>
        <w:top w:val="none" w:sz="0" w:space="0" w:color="auto"/>
        <w:left w:val="none" w:sz="0" w:space="0" w:color="auto"/>
        <w:bottom w:val="none" w:sz="0" w:space="0" w:color="auto"/>
        <w:right w:val="none" w:sz="0" w:space="0" w:color="auto"/>
      </w:divBdr>
    </w:div>
    <w:div w:id="1587499706">
      <w:bodyDiv w:val="1"/>
      <w:marLeft w:val="0"/>
      <w:marRight w:val="0"/>
      <w:marTop w:val="0"/>
      <w:marBottom w:val="0"/>
      <w:divBdr>
        <w:top w:val="none" w:sz="0" w:space="0" w:color="auto"/>
        <w:left w:val="none" w:sz="0" w:space="0" w:color="auto"/>
        <w:bottom w:val="none" w:sz="0" w:space="0" w:color="auto"/>
        <w:right w:val="none" w:sz="0" w:space="0" w:color="auto"/>
      </w:divBdr>
    </w:div>
    <w:div w:id="1599144143">
      <w:bodyDiv w:val="1"/>
      <w:marLeft w:val="0"/>
      <w:marRight w:val="0"/>
      <w:marTop w:val="0"/>
      <w:marBottom w:val="0"/>
      <w:divBdr>
        <w:top w:val="none" w:sz="0" w:space="0" w:color="auto"/>
        <w:left w:val="none" w:sz="0" w:space="0" w:color="auto"/>
        <w:bottom w:val="none" w:sz="0" w:space="0" w:color="auto"/>
        <w:right w:val="none" w:sz="0" w:space="0" w:color="auto"/>
      </w:divBdr>
    </w:div>
    <w:div w:id="1738742882">
      <w:bodyDiv w:val="1"/>
      <w:marLeft w:val="0"/>
      <w:marRight w:val="0"/>
      <w:marTop w:val="0"/>
      <w:marBottom w:val="0"/>
      <w:divBdr>
        <w:top w:val="none" w:sz="0" w:space="0" w:color="auto"/>
        <w:left w:val="none" w:sz="0" w:space="0" w:color="auto"/>
        <w:bottom w:val="none" w:sz="0" w:space="0" w:color="auto"/>
        <w:right w:val="none" w:sz="0" w:space="0" w:color="auto"/>
      </w:divBdr>
    </w:div>
    <w:div w:id="1752315179">
      <w:bodyDiv w:val="1"/>
      <w:marLeft w:val="0"/>
      <w:marRight w:val="0"/>
      <w:marTop w:val="0"/>
      <w:marBottom w:val="0"/>
      <w:divBdr>
        <w:top w:val="none" w:sz="0" w:space="0" w:color="auto"/>
        <w:left w:val="none" w:sz="0" w:space="0" w:color="auto"/>
        <w:bottom w:val="none" w:sz="0" w:space="0" w:color="auto"/>
        <w:right w:val="none" w:sz="0" w:space="0" w:color="auto"/>
      </w:divBdr>
    </w:div>
    <w:div w:id="1871533499">
      <w:bodyDiv w:val="1"/>
      <w:marLeft w:val="0"/>
      <w:marRight w:val="0"/>
      <w:marTop w:val="0"/>
      <w:marBottom w:val="0"/>
      <w:divBdr>
        <w:top w:val="none" w:sz="0" w:space="0" w:color="auto"/>
        <w:left w:val="none" w:sz="0" w:space="0" w:color="auto"/>
        <w:bottom w:val="none" w:sz="0" w:space="0" w:color="auto"/>
        <w:right w:val="none" w:sz="0" w:space="0" w:color="auto"/>
      </w:divBdr>
    </w:div>
    <w:div w:id="1884488070">
      <w:bodyDiv w:val="1"/>
      <w:marLeft w:val="0"/>
      <w:marRight w:val="0"/>
      <w:marTop w:val="0"/>
      <w:marBottom w:val="0"/>
      <w:divBdr>
        <w:top w:val="none" w:sz="0" w:space="0" w:color="auto"/>
        <w:left w:val="none" w:sz="0" w:space="0" w:color="auto"/>
        <w:bottom w:val="none" w:sz="0" w:space="0" w:color="auto"/>
        <w:right w:val="none" w:sz="0" w:space="0" w:color="auto"/>
      </w:divBdr>
    </w:div>
    <w:div w:id="1970933016">
      <w:bodyDiv w:val="1"/>
      <w:marLeft w:val="0"/>
      <w:marRight w:val="0"/>
      <w:marTop w:val="0"/>
      <w:marBottom w:val="0"/>
      <w:divBdr>
        <w:top w:val="none" w:sz="0" w:space="0" w:color="auto"/>
        <w:left w:val="none" w:sz="0" w:space="0" w:color="auto"/>
        <w:bottom w:val="none" w:sz="0" w:space="0" w:color="auto"/>
        <w:right w:val="none" w:sz="0" w:space="0" w:color="auto"/>
      </w:divBdr>
    </w:div>
    <w:div w:id="2031636396">
      <w:bodyDiv w:val="1"/>
      <w:marLeft w:val="0"/>
      <w:marRight w:val="0"/>
      <w:marTop w:val="0"/>
      <w:marBottom w:val="0"/>
      <w:divBdr>
        <w:top w:val="none" w:sz="0" w:space="0" w:color="auto"/>
        <w:left w:val="none" w:sz="0" w:space="0" w:color="auto"/>
        <w:bottom w:val="none" w:sz="0" w:space="0" w:color="auto"/>
        <w:right w:val="none" w:sz="0" w:space="0" w:color="auto"/>
      </w:divBdr>
    </w:div>
    <w:div w:id="2064526595">
      <w:bodyDiv w:val="1"/>
      <w:marLeft w:val="0"/>
      <w:marRight w:val="0"/>
      <w:marTop w:val="0"/>
      <w:marBottom w:val="0"/>
      <w:divBdr>
        <w:top w:val="none" w:sz="0" w:space="0" w:color="auto"/>
        <w:left w:val="none" w:sz="0" w:space="0" w:color="auto"/>
        <w:bottom w:val="none" w:sz="0" w:space="0" w:color="auto"/>
        <w:right w:val="none" w:sz="0" w:space="0" w:color="auto"/>
      </w:divBdr>
    </w:div>
    <w:div w:id="2078818976">
      <w:bodyDiv w:val="1"/>
      <w:marLeft w:val="0"/>
      <w:marRight w:val="0"/>
      <w:marTop w:val="0"/>
      <w:marBottom w:val="0"/>
      <w:divBdr>
        <w:top w:val="none" w:sz="0" w:space="0" w:color="auto"/>
        <w:left w:val="none" w:sz="0" w:space="0" w:color="auto"/>
        <w:bottom w:val="none" w:sz="0" w:space="0" w:color="auto"/>
        <w:right w:val="none" w:sz="0" w:space="0" w:color="auto"/>
      </w:divBdr>
    </w:div>
    <w:div w:id="2138521404">
      <w:bodyDiv w:val="1"/>
      <w:marLeft w:val="0"/>
      <w:marRight w:val="0"/>
      <w:marTop w:val="0"/>
      <w:marBottom w:val="0"/>
      <w:divBdr>
        <w:top w:val="none" w:sz="0" w:space="0" w:color="auto"/>
        <w:left w:val="none" w:sz="0" w:space="0" w:color="auto"/>
        <w:bottom w:val="none" w:sz="0" w:space="0" w:color="auto"/>
        <w:right w:val="none" w:sz="0" w:space="0" w:color="auto"/>
      </w:divBdr>
    </w:div>
    <w:div w:id="2140145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api/document/collection/cases-uk/id/4FXV-87N0-TWW4-20W3-00000-00?cite=Speight%2C%20Re%2C%20Speight%20v%20Gaunt%2C%20(1883)%2022%20Ch%20D%20727&amp;context=1001073&amp;identityprofileid=R6VFST6734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us-lexis-com.ezproxy.uwtsd.ac.uk/api/document/collection/cases-uk/id/4FXV-GXT0-TWW4-210B-00000-00?cite=Bristol%20and%20West%20Building%20Society%20v%20Mothew%20(t%2Fa%20Stapley%20%26%20Co)%20%2C%20%5B1998%5D%20Ch%201%2C%20%5B1996%5D%204%20All%20ER%20698%2C%20%5B1997%5D%202%20WLR%20436%2C%2075%20P%20%26%20CR%20241%2C%20%5B1996%5D%20NLJR%201273%2C%20%5B1997%5D%20PNLR%2011%2C%20(1996)%20Times%2C%202%20August%2C%20140%20Sol%20Jo%20LB%20206&amp;context=1001073&amp;identityprofileid=R6VFST67341" TargetMode="External"/><Relationship Id="rId12" Type="http://schemas.openxmlformats.org/officeDocument/2006/relationships/hyperlink" Target="https://www.legislation.gov.uk/ukpga/1980/58/section/19#:~:text=No%20action%20shall%20be%20brought,which%20the%20arrears%20became%20d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lus-lexis-com.ezproxy.uwtsd.ac.uk/api/document/collection/cases-uk/id/4FXM-DKS0-TWW4-202S-00000-00?cite=Armitage%20v%20Nurse%2C%20%5B1998%5D%20Ch%20241%2C%20%5B1997%5D%202%20All%20ER%20705%2C%20%5B1997%5D%203%20WLR%201046%2C%20%5B1997%5D%202%20LRC%20122%2C%2074%20P%20%26%20CR%20D13%2C%20%5B1997%5D%20PLR%2051%2C%20(1997)%20Times%2C%2031%20March&amp;context=1001073&amp;identityprofileid=R6VFST67341" TargetMode="External"/><Relationship Id="rId11" Type="http://schemas.openxmlformats.org/officeDocument/2006/relationships/hyperlink" Target="https://doi.org/10.1093/tandt/ttz129" TargetMode="External"/><Relationship Id="rId5" Type="http://schemas.openxmlformats.org/officeDocument/2006/relationships/hyperlink" Target="https://docs.google.com/document/d/1TEi-r2wst8-YpFy7PNHxKROdt7TpbN0B9p1CnpRyZhY/edit?usp=sharing" TargetMode="External"/><Relationship Id="rId10" Type="http://schemas.openxmlformats.org/officeDocument/2006/relationships/hyperlink" Target="https://plus-lexis-com.ezproxy.uwtsd.ac.uk/api/document/collection/cases-uk/id/5DBW-XBT1-DYHT-G1MF-00000-00?cite=Libertarian%20Investments%20Ltd%20v%20Hall%2C%2017%20ITELR%201%2C%20%5B2015%5D%20WTLR%20241&amp;context=1001073&amp;identityprofileid=R6VFST67341" TargetMode="External"/><Relationship Id="rId4" Type="http://schemas.openxmlformats.org/officeDocument/2006/relationships/webSettings" Target="webSettings.xml"/><Relationship Id="rId9" Type="http://schemas.openxmlformats.org/officeDocument/2006/relationships/hyperlink" Target="https://plus-lexis-com.ezproxy.uwtsd.ac.uk/api/document/collection/cases-uk/id/4FXV-BX10-TWW4-2176-00000-00?cite=Bartlett%20v%20Barclays%20Bank%20Trust%20Co%20Ltd%2C%20%5B1980%5D%20Ch%20515%2C%20%5B1980%5D%201%20All%20ER%20139%2C%20%5B1980%5D%202%20WLR%20430%2C%20124%20Sol%20Jo%2085&amp;context=1001073&amp;identityprofileid=R6VFST6734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2854</Words>
  <Characters>16017</Characters>
  <Application>Microsoft Office Word</Application>
  <DocSecurity>0</DocSecurity>
  <Lines>326</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SAMUELS P. (2143159)</dc:creator>
  <cp:keywords/>
  <dc:description/>
  <cp:lastModifiedBy>SAMUELS P. (2143159)</cp:lastModifiedBy>
  <cp:revision>3</cp:revision>
  <dcterms:created xsi:type="dcterms:W3CDTF">2024-11-13T20:07:00Z</dcterms:created>
  <dcterms:modified xsi:type="dcterms:W3CDTF">2024-11-15T16:42:00Z</dcterms:modified>
</cp:coreProperties>
</file>