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5CF" w:rsidRPr="000D35CF" w:rsidRDefault="000D35CF" w:rsidP="000D35CF">
      <w:pPr>
        <w:pBdr>
          <w:bottom w:val="single" w:sz="8" w:space="4" w:color="4F81BD"/>
        </w:pBdr>
        <w:spacing w:after="300" w:line="240" w:lineRule="auto"/>
        <w:contextualSpacing/>
        <w:jc w:val="center"/>
        <w:rPr>
          <w:rFonts w:ascii="Arial" w:eastAsia="MS Gothic" w:hAnsi="Arial" w:cs="Arial"/>
          <w:color w:val="000000" w:themeColor="text1"/>
          <w:spacing w:val="5"/>
          <w:kern w:val="28"/>
          <w:sz w:val="48"/>
          <w:szCs w:val="48"/>
          <w:lang w:val="en-US"/>
        </w:rPr>
      </w:pPr>
      <w:r w:rsidRPr="000D35CF">
        <w:rPr>
          <w:rFonts w:ascii="Arial" w:eastAsia="MS Gothic" w:hAnsi="Arial" w:cs="Arial"/>
          <w:color w:val="000000" w:themeColor="text1"/>
          <w:spacing w:val="5"/>
          <w:kern w:val="28"/>
          <w:sz w:val="48"/>
          <w:szCs w:val="48"/>
          <w:lang w:val="en-US"/>
        </w:rPr>
        <w:t>IHG Financial Ratio Analysis 2021–2025</w:t>
      </w:r>
    </w:p>
    <w:p w:rsidR="000D35CF" w:rsidRPr="000D35CF" w:rsidRDefault="000D35CF" w:rsidP="000D35CF">
      <w:pPr>
        <w:jc w:val="center"/>
        <w:rPr>
          <w:rFonts w:ascii="Arial" w:eastAsia="MS Mincho" w:hAnsi="Arial" w:cs="Arial"/>
          <w:color w:val="000000" w:themeColor="text1"/>
          <w:lang w:val="en-US"/>
        </w:rPr>
      </w:pPr>
      <w:r w:rsidRPr="000D35CF">
        <w:rPr>
          <w:rFonts w:ascii="Arial" w:eastAsia="MS Mincho" w:hAnsi="Arial" w:cs="Arial"/>
          <w:color w:val="000000" w:themeColor="text1"/>
          <w:sz w:val="28"/>
          <w:lang w:val="en-US"/>
        </w:rPr>
        <w:t>Initial Observations and Interpretations</w:t>
      </w:r>
    </w:p>
    <w:p w:rsidR="000D35CF" w:rsidRPr="000D35CF" w:rsidRDefault="000D35CF" w:rsidP="000D35CF">
      <w:pPr>
        <w:rPr>
          <w:rFonts w:ascii="Cambria" w:eastAsia="MS Mincho" w:hAnsi="Cambria" w:cs="Times New Roman"/>
          <w:lang w:val="en-US"/>
        </w:rPr>
      </w:pP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Scope: </w:t>
      </w:r>
      <w:r w:rsidRPr="000D35CF">
        <w:rPr>
          <w:rFonts w:ascii="Arial" w:eastAsia="MS Mincho" w:hAnsi="Arial" w:cs="Arial"/>
          <w:sz w:val="24"/>
          <w:szCs w:val="24"/>
          <w:lang w:val="en-US"/>
        </w:rPr>
        <w:t>This summary accompanies the Excel workbook containing at least ten key financial ratios calculated for InterContinental Hotels Group (IHG) for the years 2021–2025. Ratios cover profitability, liquidity, efficiency and leverage. Data are drawn from IHG Full Year Results, Annual Reports and supporting balance-sheet extracts.</w:t>
      </w:r>
    </w:p>
    <w:p w:rsidR="000D35CF" w:rsidRPr="000D35CF" w:rsidRDefault="000D35CF" w:rsidP="000D35CF">
      <w:pPr>
        <w:keepNext/>
        <w:keepLines/>
        <w:spacing w:before="480" w:after="0"/>
        <w:outlineLvl w:val="0"/>
        <w:rPr>
          <w:rFonts w:ascii="Arial" w:eastAsia="MS Gothic" w:hAnsi="Arial" w:cs="Arial"/>
          <w:b/>
          <w:bCs/>
          <w:sz w:val="28"/>
          <w:szCs w:val="28"/>
          <w:lang w:val="en-US"/>
        </w:rPr>
      </w:pPr>
      <w:r w:rsidRPr="000D35CF">
        <w:rPr>
          <w:rFonts w:ascii="Arial" w:eastAsia="MS Gothic" w:hAnsi="Arial" w:cs="Arial"/>
          <w:b/>
          <w:bCs/>
          <w:sz w:val="28"/>
          <w:szCs w:val="28"/>
          <w:lang w:val="en-US"/>
        </w:rPr>
        <w:t>1. Profitability</w:t>
      </w:r>
    </w:p>
    <w:p w:rsidR="000D35CF" w:rsidRDefault="000D35CF" w:rsidP="000D35CF">
      <w:pPr>
        <w:rPr>
          <w:rFonts w:ascii="Arial" w:eastAsia="MS Mincho" w:hAnsi="Arial" w:cs="Arial"/>
          <w:b/>
          <w:lang w:val="en-US"/>
        </w:rPr>
      </w:pP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Operating Margin (IFRS) </w:t>
      </w:r>
      <w:r w:rsidRPr="000D35CF">
        <w:rPr>
          <w:rFonts w:ascii="Arial" w:eastAsia="MS Mincho" w:hAnsi="Arial" w:cs="Arial"/>
          <w:sz w:val="24"/>
          <w:szCs w:val="24"/>
          <w:lang w:val="en-US"/>
        </w:rPr>
        <w:t xml:space="preserve">rose from approximately 17% in 2021 to 23% in 2025, with a temporary dip in 2024. The expansion reflects post-pandemic </w:t>
      </w:r>
      <w:proofErr w:type="spellStart"/>
      <w:r w:rsidRPr="000D35CF">
        <w:rPr>
          <w:rFonts w:ascii="Arial" w:eastAsia="MS Mincho" w:hAnsi="Arial" w:cs="Arial"/>
          <w:sz w:val="24"/>
          <w:szCs w:val="24"/>
          <w:lang w:val="en-US"/>
        </w:rPr>
        <w:t>RevPAR</w:t>
      </w:r>
      <w:proofErr w:type="spellEnd"/>
      <w:r w:rsidRPr="000D35CF">
        <w:rPr>
          <w:rFonts w:ascii="Arial" w:eastAsia="MS Mincho" w:hAnsi="Arial" w:cs="Arial"/>
          <w:sz w:val="24"/>
          <w:szCs w:val="24"/>
          <w:lang w:val="en-US"/>
        </w:rPr>
        <w:t xml:space="preserve"> recovery, net system growth and operating leverage inherent in the asset-light fee model.</w:t>
      </w: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Net Profit Margin </w:t>
      </w:r>
      <w:r w:rsidRPr="000D35CF">
        <w:rPr>
          <w:rFonts w:ascii="Arial" w:eastAsia="MS Mincho" w:hAnsi="Arial" w:cs="Arial"/>
          <w:sz w:val="24"/>
          <w:szCs w:val="24"/>
          <w:lang w:val="en-US"/>
        </w:rPr>
        <w:t xml:space="preserve">followed a similar path, peaking near 16% in 2023 before </w:t>
      </w:r>
      <w:proofErr w:type="spellStart"/>
      <w:r w:rsidRPr="000D35CF">
        <w:rPr>
          <w:rFonts w:ascii="Arial" w:eastAsia="MS Mincho" w:hAnsi="Arial" w:cs="Arial"/>
          <w:sz w:val="24"/>
          <w:szCs w:val="24"/>
          <w:lang w:val="en-US"/>
        </w:rPr>
        <w:t>stabilising</w:t>
      </w:r>
      <w:proofErr w:type="spellEnd"/>
      <w:r w:rsidRPr="000D35CF">
        <w:rPr>
          <w:rFonts w:ascii="Arial" w:eastAsia="MS Mincho" w:hAnsi="Arial" w:cs="Arial"/>
          <w:sz w:val="24"/>
          <w:szCs w:val="24"/>
          <w:lang w:val="en-US"/>
        </w:rPr>
        <w:t xml:space="preserve"> in the mid-teens. Gross margin (availabl</w:t>
      </w:r>
      <w:r w:rsidR="00C116C9">
        <w:rPr>
          <w:rFonts w:ascii="Arial" w:eastAsia="MS Mincho" w:hAnsi="Arial" w:cs="Arial"/>
          <w:sz w:val="24"/>
          <w:szCs w:val="24"/>
          <w:lang w:val="en-US"/>
        </w:rPr>
        <w:t>e only for 2024–2025) is high (</w:t>
      </w:r>
      <w:bookmarkStart w:id="0" w:name="_GoBack"/>
      <w:bookmarkEnd w:id="0"/>
      <w:r w:rsidRPr="000D35CF">
        <w:rPr>
          <w:rFonts w:ascii="Arial" w:eastAsia="MS Mincho" w:hAnsi="Arial" w:cs="Arial"/>
          <w:sz w:val="24"/>
          <w:szCs w:val="24"/>
          <w:lang w:val="en-US"/>
        </w:rPr>
        <w:t>85%), consistent with a business that earns primarily fees and pass-through reimbursable revenues rather than traditional room COGS.</w:t>
      </w: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Interpretation: </w:t>
      </w:r>
      <w:r w:rsidRPr="000D35CF">
        <w:rPr>
          <w:rFonts w:ascii="Arial" w:eastAsia="MS Mincho" w:hAnsi="Arial" w:cs="Arial"/>
          <w:sz w:val="24"/>
          <w:szCs w:val="24"/>
          <w:lang w:val="en-US"/>
        </w:rPr>
        <w:t>Profitability has strengthened structurally. The most relevant internal metric remains fee margin (which expanded from 49.6% to 64.8%), confirming successful scale and cost discipline.</w:t>
      </w:r>
    </w:p>
    <w:p w:rsidR="000D35CF" w:rsidRPr="000D35CF" w:rsidRDefault="000D35CF" w:rsidP="000D35CF">
      <w:pPr>
        <w:keepNext/>
        <w:keepLines/>
        <w:spacing w:before="480" w:after="0"/>
        <w:outlineLvl w:val="0"/>
        <w:rPr>
          <w:rFonts w:ascii="Arial" w:eastAsia="MS Gothic" w:hAnsi="Arial" w:cs="Arial"/>
          <w:b/>
          <w:bCs/>
          <w:sz w:val="28"/>
          <w:szCs w:val="28"/>
          <w:lang w:val="en-US"/>
        </w:rPr>
      </w:pPr>
      <w:r w:rsidRPr="000D35CF">
        <w:rPr>
          <w:rFonts w:ascii="Arial" w:eastAsia="MS Gothic" w:hAnsi="Arial" w:cs="Arial"/>
          <w:b/>
          <w:bCs/>
          <w:sz w:val="28"/>
          <w:szCs w:val="28"/>
          <w:lang w:val="en-US"/>
        </w:rPr>
        <w:t>2. Liquidity</w:t>
      </w:r>
    </w:p>
    <w:p w:rsidR="000D35CF" w:rsidRDefault="000D35CF" w:rsidP="000D35CF">
      <w:pPr>
        <w:rPr>
          <w:rFonts w:ascii="Arial" w:eastAsia="MS Mincho" w:hAnsi="Arial" w:cs="Arial"/>
          <w:b/>
          <w:lang w:val="en-US"/>
        </w:rPr>
      </w:pP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Current Ratio and Quick Ratio </w:t>
      </w:r>
      <w:r w:rsidRPr="000D35CF">
        <w:rPr>
          <w:rFonts w:ascii="Arial" w:eastAsia="MS Mincho" w:hAnsi="Arial" w:cs="Arial"/>
          <w:sz w:val="24"/>
          <w:szCs w:val="24"/>
          <w:lang w:val="en-US"/>
        </w:rPr>
        <w:t>have fluctuated between roughly 0.97 and 1.27. Because inventories are immaterial (only $4–5 m), the two ratios are virtually identic</w:t>
      </w:r>
      <w:r>
        <w:rPr>
          <w:rFonts w:ascii="Arial" w:eastAsia="MS Mincho" w:hAnsi="Arial" w:cs="Arial"/>
          <w:sz w:val="24"/>
          <w:szCs w:val="24"/>
          <w:lang w:val="en-US"/>
        </w:rPr>
        <w:t xml:space="preserve">al. The Cash Ratio ranges from </w:t>
      </w:r>
      <w:r w:rsidRPr="000D35CF">
        <w:rPr>
          <w:rFonts w:ascii="Arial" w:eastAsia="MS Mincho" w:hAnsi="Arial" w:cs="Arial"/>
          <w:sz w:val="24"/>
          <w:szCs w:val="24"/>
          <w:lang w:val="en-US"/>
        </w:rPr>
        <w:t>0.5 to 0.9, indicating a solid cash buffer relative to short-term liabilities.</w:t>
      </w: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lastRenderedPageBreak/>
        <w:t xml:space="preserve">Interpretation: </w:t>
      </w:r>
      <w:r w:rsidRPr="000D35CF">
        <w:rPr>
          <w:rFonts w:ascii="Arial" w:eastAsia="MS Mincho" w:hAnsi="Arial" w:cs="Arial"/>
          <w:sz w:val="24"/>
          <w:szCs w:val="24"/>
          <w:lang w:val="en-US"/>
        </w:rPr>
        <w:t>Liquidity appears adequate for an asset-light company whose cash conversion is high and predictable. The model does not require a large working-capital cushion; strong free-cash-flow generation is the primary liquidity support.</w:t>
      </w:r>
    </w:p>
    <w:p w:rsidR="000D35CF" w:rsidRPr="000D35CF" w:rsidRDefault="000D35CF" w:rsidP="000D35CF">
      <w:pPr>
        <w:keepNext/>
        <w:keepLines/>
        <w:spacing w:before="480" w:after="0"/>
        <w:outlineLvl w:val="0"/>
        <w:rPr>
          <w:rFonts w:ascii="Arial" w:eastAsia="MS Gothic" w:hAnsi="Arial" w:cs="Arial"/>
          <w:b/>
          <w:bCs/>
          <w:color w:val="000000" w:themeColor="text1"/>
          <w:sz w:val="28"/>
          <w:szCs w:val="28"/>
          <w:lang w:val="en-US"/>
        </w:rPr>
      </w:pPr>
      <w:r w:rsidRPr="000D35CF">
        <w:rPr>
          <w:rFonts w:ascii="Arial" w:eastAsia="MS Gothic" w:hAnsi="Arial" w:cs="Arial"/>
          <w:b/>
          <w:bCs/>
          <w:color w:val="000000" w:themeColor="text1"/>
          <w:sz w:val="28"/>
          <w:szCs w:val="28"/>
          <w:lang w:val="en-US"/>
        </w:rPr>
        <w:t>3. Efficiency</w:t>
      </w:r>
    </w:p>
    <w:p w:rsidR="000D35CF" w:rsidRDefault="000D35CF" w:rsidP="000D35CF">
      <w:pPr>
        <w:rPr>
          <w:rFonts w:ascii="Arial" w:eastAsia="MS Mincho" w:hAnsi="Arial" w:cs="Arial"/>
          <w:b/>
          <w:lang w:val="en-US"/>
        </w:rPr>
      </w:pP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Asset Turnover </w:t>
      </w:r>
      <w:r w:rsidRPr="000D35CF">
        <w:rPr>
          <w:rFonts w:ascii="Arial" w:eastAsia="MS Mincho" w:hAnsi="Arial" w:cs="Arial"/>
          <w:sz w:val="24"/>
          <w:szCs w:val="24"/>
          <w:lang w:val="en-US"/>
        </w:rPr>
        <w:t xml:space="preserve">improved from ~0.62× to approximately 1.0× as revenue growth outpaced the modest increase in total assets. </w:t>
      </w:r>
      <w:r w:rsidRPr="000D35CF">
        <w:rPr>
          <w:rFonts w:ascii="Arial" w:eastAsia="MS Mincho" w:hAnsi="Arial" w:cs="Arial"/>
          <w:b/>
          <w:sz w:val="24"/>
          <w:szCs w:val="24"/>
          <w:lang w:val="en-US"/>
        </w:rPr>
        <w:t xml:space="preserve">Fixed-Asset Turnover </w:t>
      </w:r>
      <w:r w:rsidRPr="000D35CF">
        <w:rPr>
          <w:rFonts w:ascii="Arial" w:eastAsia="MS Mincho" w:hAnsi="Arial" w:cs="Arial"/>
          <w:sz w:val="24"/>
          <w:szCs w:val="24"/>
          <w:lang w:val="en-US"/>
        </w:rPr>
        <w:t>is extremely high (20–35×), reflecting the almost complete absence of owned hotel PPE. IHG’s balance sheet is dominated by intangible assets (brands, goodwill) and working-capital items rather than tangible fixed assets.</w:t>
      </w:r>
    </w:p>
    <w:p w:rsidR="000D35CF" w:rsidRPr="000D35CF" w:rsidRDefault="000D35CF" w:rsidP="000D35CF">
      <w:pPr>
        <w:spacing w:line="360" w:lineRule="auto"/>
        <w:jc w:val="both"/>
        <w:rPr>
          <w:rFonts w:ascii="Arial" w:eastAsia="MS Mincho" w:hAnsi="Arial" w:cs="Arial"/>
          <w:sz w:val="24"/>
          <w:szCs w:val="24"/>
          <w:lang w:val="en-US"/>
        </w:rPr>
      </w:pPr>
      <w:r w:rsidRPr="000D35CF">
        <w:rPr>
          <w:rFonts w:ascii="Arial" w:eastAsia="MS Mincho" w:hAnsi="Arial" w:cs="Arial"/>
          <w:b/>
          <w:sz w:val="24"/>
          <w:szCs w:val="24"/>
          <w:lang w:val="en-US"/>
        </w:rPr>
        <w:t xml:space="preserve">Interpretation: </w:t>
      </w:r>
      <w:r w:rsidRPr="000D35CF">
        <w:rPr>
          <w:rFonts w:ascii="Arial" w:eastAsia="MS Mincho" w:hAnsi="Arial" w:cs="Arial"/>
          <w:sz w:val="24"/>
          <w:szCs w:val="24"/>
          <w:lang w:val="en-US"/>
        </w:rPr>
        <w:t>Capital efficiency is a core competitive advantage of the franchising/management model. Returns are generated on a comparatively small asset base.</w:t>
      </w:r>
    </w:p>
    <w:p w:rsidR="000D35CF" w:rsidRPr="000D35CF" w:rsidRDefault="000D35CF" w:rsidP="000D35CF">
      <w:pPr>
        <w:pStyle w:val="Heading1"/>
        <w:rPr>
          <w:rFonts w:ascii="Arial" w:hAnsi="Arial" w:cs="Arial"/>
          <w:color w:val="auto"/>
        </w:rPr>
      </w:pPr>
      <w:r w:rsidRPr="000D35CF">
        <w:rPr>
          <w:rFonts w:ascii="Arial" w:hAnsi="Arial" w:cs="Arial"/>
          <w:color w:val="auto"/>
        </w:rPr>
        <w:t>4. Leverage &amp; Solvency</w:t>
      </w:r>
    </w:p>
    <w:p w:rsidR="000D35CF" w:rsidRDefault="000D35CF" w:rsidP="000D35CF">
      <w:pPr>
        <w:rPr>
          <w:rFonts w:ascii="Arial" w:hAnsi="Arial" w:cs="Arial"/>
          <w:b/>
        </w:rPr>
      </w:pPr>
    </w:p>
    <w:p w:rsidR="000D35CF" w:rsidRPr="000D35CF" w:rsidRDefault="000D35CF" w:rsidP="000D35CF">
      <w:pPr>
        <w:spacing w:line="360" w:lineRule="auto"/>
        <w:jc w:val="both"/>
        <w:rPr>
          <w:rFonts w:ascii="Arial" w:hAnsi="Arial" w:cs="Arial"/>
          <w:sz w:val="24"/>
          <w:szCs w:val="24"/>
        </w:rPr>
      </w:pPr>
      <w:r w:rsidRPr="000D35CF">
        <w:rPr>
          <w:rFonts w:ascii="Arial" w:hAnsi="Arial" w:cs="Arial"/>
          <w:b/>
          <w:sz w:val="24"/>
          <w:szCs w:val="24"/>
        </w:rPr>
        <w:t xml:space="preserve">Interest Coverage </w:t>
      </w:r>
      <w:r w:rsidRPr="000D35CF">
        <w:rPr>
          <w:rFonts w:ascii="Arial" w:hAnsi="Arial" w:cs="Arial"/>
          <w:sz w:val="24"/>
          <w:szCs w:val="24"/>
        </w:rPr>
        <w:t>remains comfortable (generally 5–13× depending on the year and definition of interest), demonstrating ample capacity to service finance costs.</w:t>
      </w:r>
    </w:p>
    <w:p w:rsidR="000D35CF" w:rsidRPr="000D35CF" w:rsidRDefault="000D35CF" w:rsidP="000D35CF">
      <w:pPr>
        <w:spacing w:line="360" w:lineRule="auto"/>
        <w:jc w:val="both"/>
        <w:rPr>
          <w:rFonts w:ascii="Arial" w:hAnsi="Arial" w:cs="Arial"/>
          <w:sz w:val="24"/>
          <w:szCs w:val="24"/>
        </w:rPr>
      </w:pPr>
      <w:r w:rsidRPr="000D35CF">
        <w:rPr>
          <w:rFonts w:ascii="Arial" w:hAnsi="Arial" w:cs="Arial"/>
          <w:b/>
          <w:sz w:val="24"/>
          <w:szCs w:val="24"/>
        </w:rPr>
        <w:t xml:space="preserve">Debt-to-Equity </w:t>
      </w:r>
      <w:r w:rsidRPr="000D35CF">
        <w:rPr>
          <w:rFonts w:ascii="Arial" w:hAnsi="Arial" w:cs="Arial"/>
          <w:sz w:val="24"/>
          <w:szCs w:val="24"/>
        </w:rPr>
        <w:t>is negative in every year because shareholders’ equity is negative. This is an accounting consequence of substantial cumulative share buybacks and dividends, not an indication of financial distress.</w:t>
      </w:r>
    </w:p>
    <w:p w:rsidR="000D35CF" w:rsidRPr="000D35CF" w:rsidRDefault="000D35CF" w:rsidP="000D35CF">
      <w:pPr>
        <w:spacing w:line="360" w:lineRule="auto"/>
        <w:jc w:val="both"/>
        <w:rPr>
          <w:rFonts w:ascii="Arial" w:hAnsi="Arial" w:cs="Arial"/>
          <w:sz w:val="24"/>
          <w:szCs w:val="24"/>
        </w:rPr>
      </w:pPr>
      <w:r w:rsidRPr="000D35CF">
        <w:rPr>
          <w:rFonts w:ascii="Arial" w:hAnsi="Arial" w:cs="Arial"/>
          <w:b/>
          <w:sz w:val="24"/>
          <w:szCs w:val="24"/>
        </w:rPr>
        <w:t xml:space="preserve">Interpretation: </w:t>
      </w:r>
      <w:r w:rsidRPr="000D35CF">
        <w:rPr>
          <w:rFonts w:ascii="Arial" w:hAnsi="Arial" w:cs="Arial"/>
          <w:sz w:val="24"/>
          <w:szCs w:val="24"/>
        </w:rPr>
        <w:t>Conventional debt-to-equity is not meaningful. The more relevant leverage metric used by</w:t>
      </w:r>
      <w:r>
        <w:rPr>
          <w:rFonts w:ascii="Arial" w:hAnsi="Arial" w:cs="Arial"/>
          <w:sz w:val="24"/>
          <w:szCs w:val="24"/>
        </w:rPr>
        <w:t xml:space="preserve"> management and credit analysts Net Debt / Adjusted EBITDA </w:t>
      </w:r>
      <w:r w:rsidRPr="000D35CF">
        <w:rPr>
          <w:rFonts w:ascii="Arial" w:hAnsi="Arial" w:cs="Arial"/>
          <w:sz w:val="24"/>
          <w:szCs w:val="24"/>
        </w:rPr>
        <w:t>has remained well-controlled in the 2.0–2.5× range after 2021, inside the company’s stated target band.</w:t>
      </w:r>
    </w:p>
    <w:p w:rsidR="000D35CF" w:rsidRPr="000D35CF" w:rsidRDefault="000D35CF" w:rsidP="000D35CF">
      <w:pPr>
        <w:pStyle w:val="Heading1"/>
        <w:rPr>
          <w:rFonts w:ascii="Arial" w:hAnsi="Arial" w:cs="Arial"/>
          <w:color w:val="auto"/>
        </w:rPr>
      </w:pPr>
      <w:r w:rsidRPr="000D35CF">
        <w:rPr>
          <w:rFonts w:ascii="Arial" w:hAnsi="Arial" w:cs="Arial"/>
          <w:color w:val="auto"/>
        </w:rPr>
        <w:t>Overall Assessment</w:t>
      </w:r>
    </w:p>
    <w:p w:rsidR="000D35CF" w:rsidRDefault="000D35CF" w:rsidP="000D35CF">
      <w:pPr>
        <w:rPr>
          <w:rFonts w:ascii="Arial" w:hAnsi="Arial" w:cs="Arial"/>
        </w:rPr>
      </w:pPr>
    </w:p>
    <w:p w:rsidR="000D35CF" w:rsidRPr="000D35CF" w:rsidRDefault="000D35CF" w:rsidP="000D35CF">
      <w:pPr>
        <w:spacing w:line="360" w:lineRule="auto"/>
        <w:jc w:val="both"/>
        <w:rPr>
          <w:rFonts w:ascii="Arial" w:hAnsi="Arial" w:cs="Arial"/>
          <w:sz w:val="24"/>
          <w:szCs w:val="24"/>
        </w:rPr>
      </w:pPr>
      <w:r w:rsidRPr="000D35CF">
        <w:rPr>
          <w:rFonts w:ascii="Arial" w:hAnsi="Arial" w:cs="Arial"/>
          <w:sz w:val="24"/>
          <w:szCs w:val="24"/>
        </w:rPr>
        <w:t xml:space="preserve">IHG exited the pandemic period with a stronger, more profitable and highly cash-generative business. Margins have expanded, capital efficiency is excellent, interest </w:t>
      </w:r>
      <w:r w:rsidRPr="000D35CF">
        <w:rPr>
          <w:rFonts w:ascii="Arial" w:hAnsi="Arial" w:cs="Arial"/>
          <w:sz w:val="24"/>
          <w:szCs w:val="24"/>
        </w:rPr>
        <w:lastRenderedPageBreak/>
        <w:t>coverage is robust, and leverage (on the metrics that matter) is disciplined despite large shareholder returns.</w:t>
      </w:r>
      <w:r w:rsidRPr="000D35CF">
        <w:rPr>
          <w:rFonts w:ascii="Arial" w:hAnsi="Arial" w:cs="Arial"/>
        </w:rPr>
        <w:t xml:space="preserve"> </w:t>
      </w:r>
      <w:r w:rsidRPr="000D35CF">
        <w:rPr>
          <w:rFonts w:ascii="Arial" w:hAnsi="Arial" w:cs="Arial"/>
          <w:sz w:val="24"/>
          <w:szCs w:val="24"/>
        </w:rPr>
        <w:t>The negative equity position is a deliberate capital-allocation outcome rather than a solvency concern. The ratio profile supports a view of a financially healthy, asset-light franchise platform with continued capacity for growth and returns to shareholders.</w:t>
      </w:r>
    </w:p>
    <w:p w:rsidR="000D35CF" w:rsidRPr="000D35CF" w:rsidRDefault="000D35CF" w:rsidP="000D35CF">
      <w:pPr>
        <w:jc w:val="both"/>
        <w:rPr>
          <w:rFonts w:ascii="Arial" w:hAnsi="Arial" w:cs="Arial"/>
        </w:rPr>
      </w:pPr>
      <w:r w:rsidRPr="000D35CF">
        <w:rPr>
          <w:rFonts w:ascii="Arial" w:hAnsi="Arial" w:cs="Arial"/>
        </w:rPr>
        <w:t>Source: IHG Full Year Results 2021–2025, Annual Reports &amp; Form 20-F, supporting balance-sheet data (</w:t>
      </w:r>
      <w:proofErr w:type="spellStart"/>
      <w:r w:rsidRPr="000D35CF">
        <w:rPr>
          <w:rFonts w:ascii="Arial" w:hAnsi="Arial" w:cs="Arial"/>
        </w:rPr>
        <w:t>Barchart</w:t>
      </w:r>
      <w:proofErr w:type="spellEnd"/>
      <w:r w:rsidRPr="000D35CF">
        <w:rPr>
          <w:rFonts w:ascii="Arial" w:hAnsi="Arial" w:cs="Arial"/>
        </w:rPr>
        <w:t xml:space="preserve"> extracts). </w:t>
      </w:r>
      <w:proofErr w:type="gramStart"/>
      <w:r w:rsidRPr="000D35CF">
        <w:rPr>
          <w:rFonts w:ascii="Arial" w:hAnsi="Arial" w:cs="Arial"/>
        </w:rPr>
        <w:t>Prepared July 2026.</w:t>
      </w:r>
      <w:proofErr w:type="gramEnd"/>
    </w:p>
    <w:p w:rsidR="00CF1606" w:rsidRPr="000D35CF" w:rsidRDefault="00CF1606">
      <w:pPr>
        <w:rPr>
          <w:rFonts w:ascii="Arial" w:hAnsi="Arial" w:cs="Arial"/>
        </w:rPr>
      </w:pPr>
    </w:p>
    <w:p w:rsidR="000D35CF" w:rsidRPr="000D35CF" w:rsidRDefault="000D35CF">
      <w:pPr>
        <w:rPr>
          <w:rFonts w:ascii="Arial" w:hAnsi="Arial" w:cs="Arial"/>
        </w:rPr>
      </w:pPr>
    </w:p>
    <w:sectPr w:rsidR="000D35CF" w:rsidRPr="000D35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5CF"/>
    <w:rsid w:val="000D35CF"/>
    <w:rsid w:val="00C116C9"/>
    <w:rsid w:val="00CF1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35C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5CF"/>
    <w:rPr>
      <w:rFonts w:asciiTheme="majorHAnsi" w:eastAsiaTheme="majorEastAsia" w:hAnsiTheme="majorHAnsi" w:cstheme="majorBidi"/>
      <w:b/>
      <w:bCs/>
      <w:color w:val="365F91" w:themeColor="accent1" w:themeShade="BF"/>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35C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5CF"/>
    <w:rPr>
      <w:rFonts w:asciiTheme="majorHAnsi" w:eastAsiaTheme="majorEastAsia" w:hAnsiTheme="majorHAnsi" w:cstheme="majorBidi"/>
      <w:b/>
      <w:bCs/>
      <w:color w:val="365F91"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2026-07-24T14:28:00Z</dcterms:created>
  <dcterms:modified xsi:type="dcterms:W3CDTF">2026-07-24T14:28:00Z</dcterms:modified>
</cp:coreProperties>
</file>