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9027A" w14:textId="77777777" w:rsidR="00B85DAB" w:rsidRDefault="00B85DAB" w:rsidP="00A830F8">
      <w:pPr>
        <w:jc w:val="center"/>
        <w:rPr>
          <w:rFonts w:ascii="Arial" w:hAnsi="Arial" w:cs="Arial"/>
          <w:b/>
          <w:bCs/>
        </w:rPr>
      </w:pPr>
    </w:p>
    <w:p w14:paraId="55B79B1F" w14:textId="77777777" w:rsidR="00B85DAB" w:rsidRDefault="00B85DAB" w:rsidP="00A830F8">
      <w:pPr>
        <w:jc w:val="center"/>
        <w:rPr>
          <w:rFonts w:ascii="Arial" w:hAnsi="Arial" w:cs="Arial"/>
          <w:b/>
          <w:bCs/>
        </w:rPr>
      </w:pPr>
    </w:p>
    <w:p w14:paraId="0A281E40" w14:textId="77777777" w:rsidR="00B85DAB" w:rsidRDefault="00B85DAB" w:rsidP="00A830F8">
      <w:pPr>
        <w:jc w:val="center"/>
        <w:rPr>
          <w:rFonts w:ascii="Arial" w:hAnsi="Arial" w:cs="Arial"/>
          <w:b/>
          <w:bCs/>
        </w:rPr>
      </w:pPr>
    </w:p>
    <w:p w14:paraId="38CC794C" w14:textId="77777777" w:rsidR="00B85DAB" w:rsidRDefault="00B85DAB" w:rsidP="00A830F8">
      <w:pPr>
        <w:jc w:val="center"/>
        <w:rPr>
          <w:rFonts w:ascii="Arial" w:hAnsi="Arial" w:cs="Arial"/>
          <w:b/>
          <w:bCs/>
        </w:rPr>
      </w:pPr>
    </w:p>
    <w:p w14:paraId="60AC3984" w14:textId="77777777" w:rsidR="00B85DAB" w:rsidRDefault="00B85DAB" w:rsidP="00A830F8">
      <w:pPr>
        <w:jc w:val="center"/>
        <w:rPr>
          <w:rFonts w:ascii="Arial" w:hAnsi="Arial" w:cs="Arial"/>
          <w:b/>
          <w:bCs/>
        </w:rPr>
      </w:pPr>
    </w:p>
    <w:p w14:paraId="48BCE8AE" w14:textId="17C72CE5" w:rsidR="004B2DC0" w:rsidRDefault="000941EB" w:rsidP="004B2DC0">
      <w:pPr>
        <w:rPr>
          <w:rFonts w:ascii="Arial" w:hAnsi="Arial" w:cs="Arial"/>
        </w:rPr>
      </w:pPr>
      <w:r>
        <w:rPr>
          <w:noProof/>
        </w:rPr>
        <w:drawing>
          <wp:anchor distT="0" distB="0" distL="114300" distR="114300" simplePos="0" relativeHeight="251657216" behindDoc="0" locked="0" layoutInCell="1" allowOverlap="1" wp14:anchorId="7E16522F" wp14:editId="6F43EBB0">
            <wp:simplePos x="0" y="0"/>
            <wp:positionH relativeFrom="column">
              <wp:posOffset>1638300</wp:posOffset>
            </wp:positionH>
            <wp:positionV relativeFrom="paragraph">
              <wp:posOffset>61595</wp:posOffset>
            </wp:positionV>
            <wp:extent cx="2619375" cy="1165894"/>
            <wp:effectExtent l="0" t="0" r="0" b="0"/>
            <wp:wrapNone/>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1E97A826" w14:textId="298CC0A4" w:rsidR="007864DA" w:rsidRDefault="007864DA" w:rsidP="004B2DC0">
      <w:pPr>
        <w:rPr>
          <w:rFonts w:ascii="Arial" w:hAnsi="Arial" w:cs="Arial"/>
        </w:rPr>
      </w:pPr>
    </w:p>
    <w:p w14:paraId="04B33D39" w14:textId="77777777" w:rsidR="007864DA" w:rsidRDefault="007864DA" w:rsidP="004B2DC0">
      <w:pPr>
        <w:rPr>
          <w:rFonts w:ascii="Arial" w:hAnsi="Arial" w:cs="Arial"/>
        </w:rPr>
      </w:pPr>
    </w:p>
    <w:p w14:paraId="1F985533" w14:textId="77777777" w:rsidR="007864DA" w:rsidRDefault="007864DA" w:rsidP="004B2DC0">
      <w:pPr>
        <w:rPr>
          <w:rFonts w:ascii="Arial" w:hAnsi="Arial" w:cs="Arial"/>
        </w:rPr>
      </w:pPr>
    </w:p>
    <w:p w14:paraId="57E0C225" w14:textId="77777777" w:rsidR="00C44761" w:rsidRDefault="00C44761" w:rsidP="004B2DC0">
      <w:pPr>
        <w:rPr>
          <w:rFonts w:ascii="Arial" w:hAnsi="Arial" w:cs="Arial"/>
        </w:rPr>
      </w:pPr>
    </w:p>
    <w:p w14:paraId="12374098" w14:textId="77777777" w:rsidR="004B2DC0" w:rsidRPr="00F430AB" w:rsidRDefault="004B2DC0" w:rsidP="004B2DC0">
      <w:pPr>
        <w:rPr>
          <w:rFonts w:ascii="Arial" w:hAnsi="Arial" w:cs="Arial"/>
        </w:rPr>
      </w:pPr>
    </w:p>
    <w:p w14:paraId="6CB5B17A" w14:textId="77777777" w:rsidR="004B2DC0" w:rsidRPr="00917122" w:rsidRDefault="004B2DC0" w:rsidP="004B2DC0">
      <w:pPr>
        <w:rPr>
          <w:rFonts w:ascii="Arial" w:hAnsi="Arial" w:cs="Arial"/>
          <w:sz w:val="28"/>
          <w:szCs w:val="28"/>
          <w:lang w:val="es-SV"/>
        </w:rPr>
      </w:pPr>
      <w:r w:rsidRPr="00917122">
        <w:rPr>
          <w:rFonts w:ascii="Arial" w:hAnsi="Arial" w:cs="Arial"/>
          <w:b/>
          <w:bCs/>
          <w:sz w:val="28"/>
          <w:szCs w:val="28"/>
          <w:lang w:val="es-SV"/>
        </w:rPr>
        <w:t>Name:</w:t>
      </w:r>
      <w:r w:rsidRPr="00917122">
        <w:rPr>
          <w:rFonts w:ascii="Arial" w:hAnsi="Arial" w:cs="Arial"/>
          <w:sz w:val="28"/>
          <w:szCs w:val="28"/>
          <w:lang w:val="es-SV"/>
        </w:rPr>
        <w:t xml:space="preserve"> Katya Alexandra Pleitez De Mendez.</w:t>
      </w:r>
    </w:p>
    <w:p w14:paraId="1166803F" w14:textId="77777777" w:rsidR="004B2DC0" w:rsidRPr="00917122" w:rsidRDefault="004B2DC0" w:rsidP="004B2DC0">
      <w:pPr>
        <w:rPr>
          <w:rFonts w:ascii="Arial" w:hAnsi="Arial" w:cs="Arial"/>
          <w:sz w:val="28"/>
          <w:szCs w:val="28"/>
        </w:rPr>
      </w:pPr>
      <w:r w:rsidRPr="00917122">
        <w:rPr>
          <w:rFonts w:ascii="Arial" w:hAnsi="Arial" w:cs="Arial"/>
          <w:b/>
          <w:bCs/>
          <w:sz w:val="28"/>
          <w:szCs w:val="28"/>
        </w:rPr>
        <w:t>Student ID:</w:t>
      </w:r>
      <w:r w:rsidRPr="00917122">
        <w:rPr>
          <w:rFonts w:ascii="Arial" w:hAnsi="Arial" w:cs="Arial"/>
          <w:sz w:val="28"/>
          <w:szCs w:val="28"/>
        </w:rPr>
        <w:t xml:space="preserve"> 24333390.</w:t>
      </w:r>
    </w:p>
    <w:p w14:paraId="2452AC28" w14:textId="35E09F79" w:rsidR="004B2DC0" w:rsidRPr="00917122" w:rsidRDefault="004B2DC0" w:rsidP="004B2DC0">
      <w:pPr>
        <w:rPr>
          <w:rFonts w:ascii="Arial" w:hAnsi="Arial" w:cs="Arial"/>
          <w:sz w:val="28"/>
          <w:szCs w:val="28"/>
        </w:rPr>
      </w:pPr>
      <w:r w:rsidRPr="00917122">
        <w:rPr>
          <w:rFonts w:ascii="Arial" w:hAnsi="Arial" w:cs="Arial"/>
          <w:b/>
          <w:bCs/>
          <w:sz w:val="28"/>
          <w:szCs w:val="28"/>
        </w:rPr>
        <w:t>Module Code:</w:t>
      </w:r>
      <w:r w:rsidRPr="00917122">
        <w:rPr>
          <w:rFonts w:ascii="Arial" w:hAnsi="Arial" w:cs="Arial"/>
          <w:sz w:val="28"/>
          <w:szCs w:val="28"/>
        </w:rPr>
        <w:t xml:space="preserve"> </w:t>
      </w:r>
      <w:r w:rsidR="00DA3F04" w:rsidRPr="00917122">
        <w:rPr>
          <w:rFonts w:ascii="Arial" w:hAnsi="Arial" w:cs="Arial"/>
          <w:sz w:val="28"/>
          <w:szCs w:val="28"/>
        </w:rPr>
        <w:t>LCHS4008_BIRM</w:t>
      </w:r>
      <w:r w:rsidR="008D1E43" w:rsidRPr="00917122">
        <w:rPr>
          <w:rFonts w:ascii="Arial" w:hAnsi="Arial" w:cs="Arial"/>
          <w:sz w:val="28"/>
          <w:szCs w:val="28"/>
        </w:rPr>
        <w:t>.</w:t>
      </w:r>
    </w:p>
    <w:p w14:paraId="12A34803" w14:textId="6484EB44" w:rsidR="004B2DC0" w:rsidRPr="00917122" w:rsidRDefault="004B2DC0" w:rsidP="004B2DC0">
      <w:pPr>
        <w:rPr>
          <w:rFonts w:ascii="Arial" w:hAnsi="Arial" w:cs="Arial"/>
          <w:sz w:val="28"/>
          <w:szCs w:val="28"/>
        </w:rPr>
      </w:pPr>
      <w:r w:rsidRPr="00917122">
        <w:rPr>
          <w:rFonts w:ascii="Arial" w:hAnsi="Arial" w:cs="Arial"/>
          <w:b/>
          <w:bCs/>
          <w:sz w:val="28"/>
          <w:szCs w:val="28"/>
        </w:rPr>
        <w:t>Module:</w:t>
      </w:r>
      <w:r w:rsidRPr="00917122">
        <w:rPr>
          <w:rFonts w:ascii="Arial" w:hAnsi="Arial" w:cs="Arial"/>
          <w:sz w:val="28"/>
          <w:szCs w:val="28"/>
        </w:rPr>
        <w:t xml:space="preserve"> </w:t>
      </w:r>
      <w:r w:rsidR="005203D1" w:rsidRPr="00917122">
        <w:rPr>
          <w:rFonts w:ascii="Arial" w:hAnsi="Arial" w:cs="Arial"/>
          <w:sz w:val="28"/>
          <w:szCs w:val="28"/>
        </w:rPr>
        <w:t>Introduction to Public Health</w:t>
      </w:r>
      <w:r w:rsidR="00C44761" w:rsidRPr="00917122">
        <w:rPr>
          <w:rFonts w:ascii="Arial" w:hAnsi="Arial" w:cs="Arial"/>
          <w:sz w:val="28"/>
          <w:szCs w:val="28"/>
        </w:rPr>
        <w:t>.</w:t>
      </w:r>
    </w:p>
    <w:p w14:paraId="1D0E4786" w14:textId="11B429E9" w:rsidR="004B2DC0" w:rsidRPr="00917122" w:rsidRDefault="004B2DC0" w:rsidP="004B2DC0">
      <w:pPr>
        <w:rPr>
          <w:rFonts w:ascii="Arial" w:hAnsi="Arial" w:cs="Arial"/>
          <w:sz w:val="28"/>
          <w:szCs w:val="28"/>
        </w:rPr>
      </w:pPr>
      <w:r w:rsidRPr="00917122">
        <w:rPr>
          <w:rFonts w:ascii="Arial" w:hAnsi="Arial" w:cs="Arial"/>
          <w:b/>
          <w:bCs/>
          <w:sz w:val="28"/>
          <w:szCs w:val="28"/>
        </w:rPr>
        <w:t>Lecturer:</w:t>
      </w:r>
      <w:r w:rsidRPr="00917122">
        <w:rPr>
          <w:rFonts w:ascii="Arial" w:hAnsi="Arial" w:cs="Arial"/>
          <w:sz w:val="28"/>
          <w:szCs w:val="28"/>
        </w:rPr>
        <w:t xml:space="preserve"> </w:t>
      </w:r>
      <w:r w:rsidR="00917122" w:rsidRPr="00917122">
        <w:rPr>
          <w:rFonts w:ascii="Arial" w:hAnsi="Arial" w:cs="Arial"/>
          <w:sz w:val="28"/>
          <w:szCs w:val="28"/>
        </w:rPr>
        <w:t>Tsiwani Khumalo.</w:t>
      </w:r>
    </w:p>
    <w:p w14:paraId="664A0C9A" w14:textId="77777777" w:rsidR="00B85DAB" w:rsidRDefault="00B85DAB" w:rsidP="00A830F8">
      <w:pPr>
        <w:jc w:val="center"/>
        <w:rPr>
          <w:rFonts w:ascii="Arial" w:hAnsi="Arial" w:cs="Arial"/>
          <w:b/>
          <w:bCs/>
        </w:rPr>
      </w:pPr>
    </w:p>
    <w:p w14:paraId="3BFAEEF8" w14:textId="77777777" w:rsidR="00B85DAB" w:rsidRDefault="00B85DAB" w:rsidP="00A830F8">
      <w:pPr>
        <w:jc w:val="center"/>
        <w:rPr>
          <w:rFonts w:ascii="Arial" w:hAnsi="Arial" w:cs="Arial"/>
          <w:b/>
          <w:bCs/>
        </w:rPr>
      </w:pPr>
    </w:p>
    <w:p w14:paraId="5118FF12" w14:textId="77777777" w:rsidR="00B85DAB" w:rsidRDefault="00B85DAB" w:rsidP="00A830F8">
      <w:pPr>
        <w:jc w:val="center"/>
        <w:rPr>
          <w:rFonts w:ascii="Arial" w:hAnsi="Arial" w:cs="Arial"/>
          <w:b/>
          <w:bCs/>
        </w:rPr>
      </w:pPr>
    </w:p>
    <w:p w14:paraId="1F9D7739" w14:textId="77777777" w:rsidR="00B85DAB" w:rsidRDefault="00B85DAB" w:rsidP="00A830F8">
      <w:pPr>
        <w:jc w:val="center"/>
        <w:rPr>
          <w:rFonts w:ascii="Arial" w:hAnsi="Arial" w:cs="Arial"/>
          <w:b/>
          <w:bCs/>
        </w:rPr>
      </w:pPr>
    </w:p>
    <w:p w14:paraId="79A461E4" w14:textId="77777777" w:rsidR="00B85DAB" w:rsidRDefault="00B85DAB" w:rsidP="00A830F8">
      <w:pPr>
        <w:jc w:val="center"/>
        <w:rPr>
          <w:rFonts w:ascii="Arial" w:hAnsi="Arial" w:cs="Arial"/>
          <w:b/>
          <w:bCs/>
        </w:rPr>
      </w:pPr>
    </w:p>
    <w:p w14:paraId="39A43C9E" w14:textId="77777777" w:rsidR="00B85DAB" w:rsidRDefault="00B85DAB" w:rsidP="00A830F8">
      <w:pPr>
        <w:jc w:val="center"/>
        <w:rPr>
          <w:rFonts w:ascii="Arial" w:hAnsi="Arial" w:cs="Arial"/>
          <w:b/>
          <w:bCs/>
        </w:rPr>
      </w:pPr>
    </w:p>
    <w:p w14:paraId="28C6C6CB" w14:textId="77777777" w:rsidR="00B85DAB" w:rsidRDefault="00B85DAB" w:rsidP="00A830F8">
      <w:pPr>
        <w:jc w:val="center"/>
        <w:rPr>
          <w:rFonts w:ascii="Arial" w:hAnsi="Arial" w:cs="Arial"/>
          <w:b/>
          <w:bCs/>
        </w:rPr>
      </w:pPr>
    </w:p>
    <w:p w14:paraId="601A440C" w14:textId="77777777" w:rsidR="00B85DAB" w:rsidRDefault="00B85DAB" w:rsidP="00A830F8">
      <w:pPr>
        <w:jc w:val="center"/>
        <w:rPr>
          <w:rFonts w:ascii="Arial" w:hAnsi="Arial" w:cs="Arial"/>
          <w:b/>
          <w:bCs/>
        </w:rPr>
      </w:pPr>
    </w:p>
    <w:p w14:paraId="344800E3" w14:textId="77777777" w:rsidR="00B85DAB" w:rsidRDefault="00B85DAB" w:rsidP="00A830F8">
      <w:pPr>
        <w:jc w:val="center"/>
        <w:rPr>
          <w:rFonts w:ascii="Arial" w:hAnsi="Arial" w:cs="Arial"/>
          <w:b/>
          <w:bCs/>
        </w:rPr>
      </w:pPr>
    </w:p>
    <w:p w14:paraId="20C4143D" w14:textId="77777777" w:rsidR="00B85DAB" w:rsidRDefault="00B85DAB" w:rsidP="00A830F8">
      <w:pPr>
        <w:jc w:val="center"/>
        <w:rPr>
          <w:rFonts w:ascii="Arial" w:hAnsi="Arial" w:cs="Arial"/>
          <w:b/>
          <w:bCs/>
        </w:rPr>
      </w:pPr>
    </w:p>
    <w:p w14:paraId="1CE35DC8" w14:textId="77777777" w:rsidR="00B85DAB" w:rsidRDefault="00B85DAB" w:rsidP="00A830F8">
      <w:pPr>
        <w:jc w:val="center"/>
        <w:rPr>
          <w:rFonts w:ascii="Arial" w:hAnsi="Arial" w:cs="Arial"/>
          <w:b/>
          <w:bCs/>
        </w:rPr>
      </w:pPr>
    </w:p>
    <w:p w14:paraId="3C6FA937" w14:textId="77777777" w:rsidR="00B85DAB" w:rsidRDefault="00B85DAB" w:rsidP="00A830F8">
      <w:pPr>
        <w:jc w:val="center"/>
        <w:rPr>
          <w:rFonts w:ascii="Arial" w:hAnsi="Arial" w:cs="Arial"/>
          <w:b/>
          <w:bCs/>
        </w:rPr>
      </w:pPr>
    </w:p>
    <w:p w14:paraId="0AB9781B" w14:textId="77777777" w:rsidR="00B85DAB" w:rsidRDefault="00B85DAB" w:rsidP="00A830F8">
      <w:pPr>
        <w:jc w:val="center"/>
        <w:rPr>
          <w:rFonts w:ascii="Arial" w:hAnsi="Arial" w:cs="Arial"/>
          <w:b/>
          <w:bCs/>
        </w:rPr>
      </w:pPr>
    </w:p>
    <w:p w14:paraId="4FBE062C" w14:textId="77777777" w:rsidR="00B85DAB" w:rsidRDefault="00B85DAB" w:rsidP="00A830F8">
      <w:pPr>
        <w:jc w:val="center"/>
        <w:rPr>
          <w:rFonts w:ascii="Arial" w:hAnsi="Arial" w:cs="Arial"/>
          <w:b/>
          <w:bCs/>
        </w:rPr>
      </w:pPr>
    </w:p>
    <w:p w14:paraId="33DFBC1F" w14:textId="77777777" w:rsidR="00B85DAB" w:rsidRDefault="00B85DAB" w:rsidP="00A830F8">
      <w:pPr>
        <w:jc w:val="center"/>
        <w:rPr>
          <w:rFonts w:ascii="Arial" w:hAnsi="Arial" w:cs="Arial"/>
          <w:b/>
          <w:bCs/>
        </w:rPr>
      </w:pPr>
    </w:p>
    <w:p w14:paraId="31ABE4EF" w14:textId="3C61CC03" w:rsidR="00B85DAB" w:rsidRDefault="00DE597F" w:rsidP="001F6840">
      <w:pPr>
        <w:spacing w:line="360" w:lineRule="auto"/>
        <w:jc w:val="both"/>
        <w:rPr>
          <w:rFonts w:ascii="Arial" w:hAnsi="Arial" w:cs="Arial"/>
          <w:b/>
          <w:bCs/>
        </w:rPr>
      </w:pPr>
      <w:r>
        <w:rPr>
          <w:rFonts w:ascii="Arial" w:hAnsi="Arial" w:cs="Arial"/>
          <w:b/>
          <w:bCs/>
        </w:rPr>
        <w:lastRenderedPageBreak/>
        <w:t>CONTENT.</w:t>
      </w:r>
    </w:p>
    <w:p w14:paraId="37A9D008" w14:textId="77777777" w:rsidR="00DE597F" w:rsidRDefault="00DE597F" w:rsidP="001F6840">
      <w:pPr>
        <w:spacing w:line="360" w:lineRule="auto"/>
        <w:jc w:val="both"/>
        <w:rPr>
          <w:rFonts w:ascii="Arial" w:hAnsi="Arial" w:cs="Arial"/>
          <w:b/>
          <w:bCs/>
        </w:rPr>
      </w:pPr>
    </w:p>
    <w:p w14:paraId="14E1B278" w14:textId="4CBA4FCE" w:rsidR="003C2E63" w:rsidRPr="00222C3D" w:rsidRDefault="00DE597F" w:rsidP="001F6840">
      <w:pPr>
        <w:spacing w:line="360" w:lineRule="auto"/>
        <w:jc w:val="both"/>
        <w:rPr>
          <w:rFonts w:ascii="Arial" w:hAnsi="Arial" w:cs="Arial"/>
          <w:b/>
          <w:bCs/>
        </w:rPr>
      </w:pPr>
      <w:r>
        <w:rPr>
          <w:rFonts w:ascii="Arial" w:hAnsi="Arial" w:cs="Arial"/>
          <w:b/>
          <w:bCs/>
        </w:rPr>
        <w:t>1.</w:t>
      </w:r>
      <w:r w:rsidR="003A41EA">
        <w:rPr>
          <w:rFonts w:ascii="Arial" w:hAnsi="Arial" w:cs="Arial"/>
          <w:b/>
          <w:bCs/>
        </w:rPr>
        <w:t xml:space="preserve"> </w:t>
      </w:r>
      <w:r w:rsidR="003C2E63" w:rsidRPr="00222C3D">
        <w:rPr>
          <w:rFonts w:ascii="Arial" w:hAnsi="Arial" w:cs="Arial"/>
          <w:b/>
          <w:bCs/>
        </w:rPr>
        <w:t>Introduction</w:t>
      </w:r>
      <w:r w:rsidR="002E40FB">
        <w:rPr>
          <w:rFonts w:ascii="Arial" w:hAnsi="Arial" w:cs="Arial"/>
          <w:b/>
          <w:bCs/>
        </w:rPr>
        <w:t>……………………………………………………………………………………   3</w:t>
      </w:r>
    </w:p>
    <w:p w14:paraId="47326598" w14:textId="3188570C" w:rsidR="00DE597F" w:rsidRDefault="00DE597F" w:rsidP="001F6840">
      <w:pPr>
        <w:spacing w:line="360" w:lineRule="auto"/>
        <w:jc w:val="both"/>
        <w:rPr>
          <w:rFonts w:ascii="Arial" w:hAnsi="Arial" w:cs="Arial"/>
          <w:b/>
          <w:bCs/>
        </w:rPr>
      </w:pPr>
    </w:p>
    <w:p w14:paraId="10A59AF6" w14:textId="7511F393" w:rsidR="003C2E63" w:rsidRPr="00401545" w:rsidRDefault="00DE597F" w:rsidP="001F6840">
      <w:pPr>
        <w:spacing w:line="360" w:lineRule="auto"/>
        <w:jc w:val="both"/>
        <w:rPr>
          <w:rFonts w:ascii="Arial" w:hAnsi="Arial" w:cs="Arial"/>
          <w:b/>
          <w:bCs/>
        </w:rPr>
      </w:pPr>
      <w:r>
        <w:rPr>
          <w:rFonts w:ascii="Arial" w:hAnsi="Arial" w:cs="Arial"/>
          <w:b/>
          <w:bCs/>
        </w:rPr>
        <w:t>2.</w:t>
      </w:r>
      <w:r w:rsidR="003A41EA">
        <w:rPr>
          <w:rFonts w:ascii="Arial" w:hAnsi="Arial" w:cs="Arial"/>
          <w:b/>
          <w:bCs/>
        </w:rPr>
        <w:t xml:space="preserve"> </w:t>
      </w:r>
      <w:r w:rsidR="003C2E63">
        <w:rPr>
          <w:rFonts w:ascii="Arial" w:hAnsi="Arial" w:cs="Arial"/>
          <w:b/>
          <w:bCs/>
        </w:rPr>
        <w:t>1.</w:t>
      </w:r>
      <w:r w:rsidR="003C2E63" w:rsidRPr="00401545">
        <w:rPr>
          <w:rFonts w:ascii="Arial" w:hAnsi="Arial" w:cs="Arial"/>
          <w:b/>
          <w:bCs/>
        </w:rPr>
        <w:t xml:space="preserve"> Different Approaches Used to Measure and Monitor Type 1 Diabetes</w:t>
      </w:r>
      <w:r w:rsidR="002E40FB">
        <w:rPr>
          <w:rFonts w:ascii="Arial" w:hAnsi="Arial" w:cs="Arial"/>
          <w:b/>
          <w:bCs/>
        </w:rPr>
        <w:t>………….    4</w:t>
      </w:r>
    </w:p>
    <w:p w14:paraId="31C9D5BF" w14:textId="3C36937A" w:rsidR="00DE597F" w:rsidRDefault="00DE597F" w:rsidP="001F6840">
      <w:pPr>
        <w:spacing w:line="360" w:lineRule="auto"/>
        <w:jc w:val="both"/>
        <w:rPr>
          <w:rFonts w:ascii="Arial" w:hAnsi="Arial" w:cs="Arial"/>
          <w:b/>
          <w:bCs/>
        </w:rPr>
      </w:pPr>
    </w:p>
    <w:p w14:paraId="2DAED193" w14:textId="1FB16F92" w:rsidR="003C2E63" w:rsidRPr="00BB2B98" w:rsidRDefault="00DE597F" w:rsidP="001F6840">
      <w:pPr>
        <w:spacing w:line="360" w:lineRule="auto"/>
        <w:jc w:val="both"/>
        <w:rPr>
          <w:rFonts w:ascii="Arial" w:hAnsi="Arial" w:cs="Arial"/>
          <w:b/>
          <w:bCs/>
        </w:rPr>
      </w:pPr>
      <w:r>
        <w:rPr>
          <w:rFonts w:ascii="Arial" w:hAnsi="Arial" w:cs="Arial"/>
          <w:b/>
          <w:bCs/>
        </w:rPr>
        <w:t>3.</w:t>
      </w:r>
      <w:r w:rsidR="003C2E63" w:rsidRPr="003C2E63">
        <w:rPr>
          <w:rFonts w:ascii="Arial" w:hAnsi="Arial" w:cs="Arial"/>
          <w:b/>
          <w:bCs/>
        </w:rPr>
        <w:t xml:space="preserve"> </w:t>
      </w:r>
      <w:r w:rsidR="003C2E63" w:rsidRPr="009A421E">
        <w:rPr>
          <w:rFonts w:ascii="Arial" w:hAnsi="Arial" w:cs="Arial"/>
          <w:b/>
          <w:bCs/>
        </w:rPr>
        <w:t>2. How Type 1 Diabetes is Controlled</w:t>
      </w:r>
      <w:r w:rsidR="002E40FB">
        <w:rPr>
          <w:rFonts w:ascii="Arial" w:hAnsi="Arial" w:cs="Arial"/>
          <w:b/>
          <w:bCs/>
        </w:rPr>
        <w:t>…………………………………………………….     5</w:t>
      </w:r>
    </w:p>
    <w:p w14:paraId="35391460" w14:textId="26AACFD1" w:rsidR="00DE597F" w:rsidRDefault="00DE597F" w:rsidP="001F6840">
      <w:pPr>
        <w:spacing w:line="360" w:lineRule="auto"/>
        <w:jc w:val="both"/>
        <w:rPr>
          <w:rFonts w:ascii="Arial" w:hAnsi="Arial" w:cs="Arial"/>
          <w:b/>
          <w:bCs/>
        </w:rPr>
      </w:pPr>
    </w:p>
    <w:p w14:paraId="1F6E4BFB" w14:textId="71C56BC3" w:rsidR="003C2E63" w:rsidRPr="00254CE5" w:rsidRDefault="00DE597F" w:rsidP="001F6840">
      <w:pPr>
        <w:spacing w:line="360" w:lineRule="auto"/>
        <w:jc w:val="both"/>
        <w:rPr>
          <w:rFonts w:ascii="Arial" w:hAnsi="Arial" w:cs="Arial"/>
          <w:b/>
          <w:bCs/>
        </w:rPr>
      </w:pPr>
      <w:r>
        <w:rPr>
          <w:rFonts w:ascii="Arial" w:hAnsi="Arial" w:cs="Arial"/>
          <w:b/>
          <w:bCs/>
        </w:rPr>
        <w:t>4.</w:t>
      </w:r>
      <w:r w:rsidR="003C2E63" w:rsidRPr="003C2E63">
        <w:rPr>
          <w:rFonts w:ascii="Arial" w:hAnsi="Arial" w:cs="Arial"/>
          <w:b/>
          <w:bCs/>
        </w:rPr>
        <w:t xml:space="preserve"> </w:t>
      </w:r>
      <w:r w:rsidR="003C2E63" w:rsidRPr="000A6FC1">
        <w:rPr>
          <w:rFonts w:ascii="Arial" w:hAnsi="Arial" w:cs="Arial"/>
          <w:b/>
          <w:bCs/>
        </w:rPr>
        <w:t>3. Consequences of Type 1 Diabetes on People in the Community</w:t>
      </w:r>
      <w:r w:rsidR="002E40FB">
        <w:rPr>
          <w:rFonts w:ascii="Arial" w:hAnsi="Arial" w:cs="Arial"/>
          <w:b/>
          <w:bCs/>
        </w:rPr>
        <w:t>……………….     6</w:t>
      </w:r>
    </w:p>
    <w:p w14:paraId="52712A29" w14:textId="65659833" w:rsidR="00DE597F" w:rsidRDefault="00DE597F" w:rsidP="001F6840">
      <w:pPr>
        <w:spacing w:line="360" w:lineRule="auto"/>
        <w:jc w:val="both"/>
        <w:rPr>
          <w:rFonts w:ascii="Arial" w:hAnsi="Arial" w:cs="Arial"/>
          <w:b/>
          <w:bCs/>
        </w:rPr>
      </w:pPr>
    </w:p>
    <w:p w14:paraId="3584D13B" w14:textId="50489E59" w:rsidR="003C2E63" w:rsidRPr="00895367" w:rsidRDefault="00DE597F" w:rsidP="001F6840">
      <w:pPr>
        <w:spacing w:line="360" w:lineRule="auto"/>
        <w:jc w:val="both"/>
        <w:rPr>
          <w:rFonts w:ascii="Arial" w:hAnsi="Arial" w:cs="Arial"/>
          <w:b/>
          <w:bCs/>
        </w:rPr>
      </w:pPr>
      <w:r>
        <w:rPr>
          <w:rFonts w:ascii="Arial" w:hAnsi="Arial" w:cs="Arial"/>
          <w:b/>
          <w:bCs/>
        </w:rPr>
        <w:t>5.</w:t>
      </w:r>
      <w:r w:rsidR="003C2E63">
        <w:rPr>
          <w:rFonts w:ascii="Arial" w:hAnsi="Arial" w:cs="Arial"/>
          <w:b/>
          <w:bCs/>
        </w:rPr>
        <w:t>4.</w:t>
      </w:r>
      <w:r w:rsidR="003C2E63" w:rsidRPr="00895367">
        <w:rPr>
          <w:rFonts w:ascii="Arial" w:hAnsi="Arial" w:cs="Arial"/>
          <w:b/>
          <w:bCs/>
        </w:rPr>
        <w:t xml:space="preserve"> Health and Social Care Support Services for People Living with Type 1 </w:t>
      </w:r>
      <w:r w:rsidR="002E40FB" w:rsidRPr="00895367">
        <w:rPr>
          <w:rFonts w:ascii="Arial" w:hAnsi="Arial" w:cs="Arial"/>
          <w:b/>
          <w:bCs/>
        </w:rPr>
        <w:t>Diabetes</w:t>
      </w:r>
      <w:r w:rsidR="002E40FB">
        <w:rPr>
          <w:rFonts w:ascii="Arial" w:hAnsi="Arial" w:cs="Arial"/>
          <w:b/>
          <w:bCs/>
        </w:rPr>
        <w:t xml:space="preserve"> 7</w:t>
      </w:r>
    </w:p>
    <w:p w14:paraId="790D9B87" w14:textId="435B8865" w:rsidR="00DE597F" w:rsidRDefault="00DE597F" w:rsidP="001F6840">
      <w:pPr>
        <w:spacing w:line="360" w:lineRule="auto"/>
        <w:jc w:val="both"/>
        <w:rPr>
          <w:rFonts w:ascii="Arial" w:hAnsi="Arial" w:cs="Arial"/>
          <w:b/>
          <w:bCs/>
        </w:rPr>
      </w:pPr>
    </w:p>
    <w:p w14:paraId="616A859A" w14:textId="0CEF9460" w:rsidR="003C2E63" w:rsidRPr="00072751" w:rsidRDefault="00DE597F" w:rsidP="001F6840">
      <w:pPr>
        <w:spacing w:line="360" w:lineRule="auto"/>
        <w:jc w:val="both"/>
        <w:rPr>
          <w:rFonts w:ascii="Arial" w:hAnsi="Arial" w:cs="Arial"/>
          <w:b/>
          <w:bCs/>
        </w:rPr>
      </w:pPr>
      <w:r>
        <w:rPr>
          <w:rFonts w:ascii="Arial" w:hAnsi="Arial" w:cs="Arial"/>
          <w:b/>
          <w:bCs/>
        </w:rPr>
        <w:t>6.</w:t>
      </w:r>
      <w:r w:rsidR="003C2E63" w:rsidRPr="003C2E63">
        <w:rPr>
          <w:rFonts w:ascii="Arial" w:hAnsi="Arial" w:cs="Arial"/>
          <w:b/>
          <w:bCs/>
        </w:rPr>
        <w:t xml:space="preserve"> </w:t>
      </w:r>
      <w:r w:rsidR="003C2E63" w:rsidRPr="00C0196A">
        <w:rPr>
          <w:rFonts w:ascii="Arial" w:hAnsi="Arial" w:cs="Arial"/>
          <w:b/>
          <w:bCs/>
        </w:rPr>
        <w:t>Conclusion</w:t>
      </w:r>
      <w:r w:rsidR="002E40FB">
        <w:rPr>
          <w:rFonts w:ascii="Arial" w:hAnsi="Arial" w:cs="Arial"/>
          <w:b/>
          <w:bCs/>
        </w:rPr>
        <w:t>……………………………………………………………………………………        8</w:t>
      </w:r>
    </w:p>
    <w:p w14:paraId="28F243EC" w14:textId="4E94417B" w:rsidR="00DE597F" w:rsidRDefault="00DE597F" w:rsidP="001F6840">
      <w:pPr>
        <w:spacing w:line="360" w:lineRule="auto"/>
        <w:jc w:val="both"/>
        <w:rPr>
          <w:rFonts w:ascii="Arial" w:hAnsi="Arial" w:cs="Arial"/>
          <w:b/>
          <w:bCs/>
        </w:rPr>
      </w:pPr>
    </w:p>
    <w:p w14:paraId="5285C4D3" w14:textId="260E5C7D" w:rsidR="003C2E63" w:rsidRPr="00254CE5" w:rsidRDefault="00DE597F" w:rsidP="001F6840">
      <w:pPr>
        <w:spacing w:line="360" w:lineRule="auto"/>
        <w:jc w:val="both"/>
        <w:rPr>
          <w:rFonts w:ascii="Arial" w:hAnsi="Arial" w:cs="Arial"/>
          <w:b/>
          <w:bCs/>
        </w:rPr>
      </w:pPr>
      <w:r>
        <w:rPr>
          <w:rFonts w:ascii="Arial" w:hAnsi="Arial" w:cs="Arial"/>
          <w:b/>
          <w:bCs/>
        </w:rPr>
        <w:t>7.</w:t>
      </w:r>
      <w:r w:rsidR="003C2E63" w:rsidRPr="003C2E63">
        <w:rPr>
          <w:rFonts w:ascii="Arial" w:hAnsi="Arial" w:cs="Arial"/>
          <w:b/>
          <w:bCs/>
        </w:rPr>
        <w:t xml:space="preserve"> </w:t>
      </w:r>
      <w:r w:rsidR="009F00AC" w:rsidRPr="005747D7">
        <w:rPr>
          <w:rFonts w:ascii="Arial" w:hAnsi="Arial" w:cs="Arial"/>
          <w:b/>
          <w:bCs/>
        </w:rPr>
        <w:t>References</w:t>
      </w:r>
      <w:r w:rsidR="009F00AC">
        <w:rPr>
          <w:rFonts w:ascii="Arial" w:hAnsi="Arial" w:cs="Arial"/>
          <w:b/>
          <w:bCs/>
        </w:rPr>
        <w:t>…</w:t>
      </w:r>
      <w:r w:rsidR="002E40FB">
        <w:rPr>
          <w:rFonts w:ascii="Arial" w:hAnsi="Arial" w:cs="Arial"/>
          <w:b/>
          <w:bCs/>
        </w:rPr>
        <w:t>……………………………………………………………………………….        9</w:t>
      </w:r>
    </w:p>
    <w:p w14:paraId="2B750720" w14:textId="70DCB914" w:rsidR="00DE597F" w:rsidRDefault="00DE597F" w:rsidP="001F6840">
      <w:pPr>
        <w:spacing w:line="360" w:lineRule="auto"/>
        <w:jc w:val="both"/>
        <w:rPr>
          <w:rFonts w:ascii="Arial" w:hAnsi="Arial" w:cs="Arial"/>
          <w:b/>
          <w:bCs/>
        </w:rPr>
      </w:pPr>
    </w:p>
    <w:p w14:paraId="37A219B5" w14:textId="77777777" w:rsidR="00B85DAB" w:rsidRDefault="00B85DAB" w:rsidP="001F6840">
      <w:pPr>
        <w:spacing w:line="360" w:lineRule="auto"/>
        <w:jc w:val="both"/>
        <w:rPr>
          <w:rFonts w:ascii="Arial" w:hAnsi="Arial" w:cs="Arial"/>
          <w:b/>
          <w:bCs/>
        </w:rPr>
      </w:pPr>
    </w:p>
    <w:p w14:paraId="689077F1" w14:textId="77777777" w:rsidR="00B85DAB" w:rsidRDefault="00B85DAB" w:rsidP="001F6840">
      <w:pPr>
        <w:spacing w:line="360" w:lineRule="auto"/>
        <w:jc w:val="both"/>
        <w:rPr>
          <w:rFonts w:ascii="Arial" w:hAnsi="Arial" w:cs="Arial"/>
          <w:b/>
          <w:bCs/>
        </w:rPr>
      </w:pPr>
    </w:p>
    <w:p w14:paraId="4DC35660" w14:textId="77777777" w:rsidR="00B85DAB" w:rsidRDefault="00B85DAB" w:rsidP="001F6840">
      <w:pPr>
        <w:spacing w:line="360" w:lineRule="auto"/>
        <w:jc w:val="both"/>
        <w:rPr>
          <w:rFonts w:ascii="Arial" w:hAnsi="Arial" w:cs="Arial"/>
          <w:b/>
          <w:bCs/>
        </w:rPr>
      </w:pPr>
    </w:p>
    <w:p w14:paraId="6E27CC45" w14:textId="77777777" w:rsidR="00B85DAB" w:rsidRDefault="00B85DAB" w:rsidP="001F6840">
      <w:pPr>
        <w:spacing w:line="360" w:lineRule="auto"/>
        <w:jc w:val="both"/>
        <w:rPr>
          <w:rFonts w:ascii="Arial" w:hAnsi="Arial" w:cs="Arial"/>
          <w:b/>
          <w:bCs/>
        </w:rPr>
      </w:pPr>
    </w:p>
    <w:p w14:paraId="7AFDFF54" w14:textId="77777777" w:rsidR="00B85DAB" w:rsidRDefault="00B85DAB" w:rsidP="001F6840">
      <w:pPr>
        <w:spacing w:line="360" w:lineRule="auto"/>
        <w:jc w:val="both"/>
        <w:rPr>
          <w:rFonts w:ascii="Arial" w:hAnsi="Arial" w:cs="Arial"/>
          <w:b/>
          <w:bCs/>
        </w:rPr>
      </w:pPr>
    </w:p>
    <w:p w14:paraId="17C135A9" w14:textId="77777777" w:rsidR="00B85DAB" w:rsidRDefault="00B85DAB" w:rsidP="001F6840">
      <w:pPr>
        <w:spacing w:line="360" w:lineRule="auto"/>
        <w:jc w:val="both"/>
        <w:rPr>
          <w:rFonts w:ascii="Arial" w:hAnsi="Arial" w:cs="Arial"/>
          <w:b/>
          <w:bCs/>
        </w:rPr>
      </w:pPr>
    </w:p>
    <w:p w14:paraId="72D88621" w14:textId="77777777" w:rsidR="00B85DAB" w:rsidRDefault="00B85DAB" w:rsidP="001F6840">
      <w:pPr>
        <w:spacing w:line="360" w:lineRule="auto"/>
        <w:jc w:val="both"/>
        <w:rPr>
          <w:rFonts w:ascii="Arial" w:hAnsi="Arial" w:cs="Arial"/>
          <w:b/>
          <w:bCs/>
        </w:rPr>
      </w:pPr>
    </w:p>
    <w:p w14:paraId="19B99D77" w14:textId="77777777" w:rsidR="00B85DAB" w:rsidRDefault="00B85DAB" w:rsidP="001F6840">
      <w:pPr>
        <w:spacing w:line="360" w:lineRule="auto"/>
        <w:jc w:val="both"/>
        <w:rPr>
          <w:rFonts w:ascii="Arial" w:hAnsi="Arial" w:cs="Arial"/>
          <w:b/>
          <w:bCs/>
        </w:rPr>
      </w:pPr>
    </w:p>
    <w:p w14:paraId="1304B69A" w14:textId="77777777" w:rsidR="00B85DAB" w:rsidRDefault="00B85DAB" w:rsidP="001F6840">
      <w:pPr>
        <w:spacing w:line="360" w:lineRule="auto"/>
        <w:jc w:val="both"/>
        <w:rPr>
          <w:rFonts w:ascii="Arial" w:hAnsi="Arial" w:cs="Arial"/>
          <w:b/>
          <w:bCs/>
        </w:rPr>
      </w:pPr>
    </w:p>
    <w:p w14:paraId="6F806757" w14:textId="77777777" w:rsidR="001F6840" w:rsidRDefault="001F6840" w:rsidP="001F6840">
      <w:pPr>
        <w:spacing w:line="360" w:lineRule="auto"/>
        <w:jc w:val="both"/>
        <w:rPr>
          <w:rFonts w:ascii="Arial" w:hAnsi="Arial" w:cs="Arial"/>
          <w:b/>
          <w:bCs/>
        </w:rPr>
      </w:pPr>
    </w:p>
    <w:p w14:paraId="0AC06F4F" w14:textId="4830CBBC" w:rsidR="003E08AD" w:rsidRPr="00222C3D" w:rsidRDefault="00A830F8" w:rsidP="001F6840">
      <w:pPr>
        <w:spacing w:line="360" w:lineRule="auto"/>
        <w:jc w:val="center"/>
        <w:rPr>
          <w:rFonts w:ascii="Arial" w:hAnsi="Arial" w:cs="Arial"/>
          <w:b/>
          <w:bCs/>
        </w:rPr>
      </w:pPr>
      <w:r w:rsidRPr="00222C3D">
        <w:rPr>
          <w:rFonts w:ascii="Arial" w:hAnsi="Arial" w:cs="Arial"/>
          <w:b/>
          <w:bCs/>
        </w:rPr>
        <w:lastRenderedPageBreak/>
        <w:t>Type 1 Diabetes.</w:t>
      </w:r>
    </w:p>
    <w:p w14:paraId="14FEEE6B" w14:textId="0CFF3668" w:rsidR="003F6D26" w:rsidRPr="00E30A8F" w:rsidRDefault="004617D5" w:rsidP="001F6840">
      <w:pPr>
        <w:spacing w:line="360" w:lineRule="auto"/>
        <w:jc w:val="both"/>
        <w:rPr>
          <w:rFonts w:ascii="Arial" w:hAnsi="Arial" w:cs="Arial"/>
          <w:b/>
          <w:bCs/>
        </w:rPr>
      </w:pPr>
      <w:r w:rsidRPr="00222C3D">
        <w:rPr>
          <w:rFonts w:ascii="Arial" w:hAnsi="Arial" w:cs="Arial"/>
          <w:b/>
          <w:bCs/>
        </w:rPr>
        <w:t>Introduction</w:t>
      </w:r>
      <w:r w:rsidR="00072751">
        <w:rPr>
          <w:rFonts w:ascii="Arial" w:hAnsi="Arial" w:cs="Arial"/>
          <w:b/>
          <w:bCs/>
        </w:rPr>
        <w:t>.</w:t>
      </w:r>
    </w:p>
    <w:p w14:paraId="7189F56C" w14:textId="77777777" w:rsidR="003F6D26" w:rsidRPr="003F6D26" w:rsidRDefault="003F6D26" w:rsidP="001F6840">
      <w:pPr>
        <w:spacing w:line="360" w:lineRule="auto"/>
        <w:jc w:val="both"/>
        <w:rPr>
          <w:rFonts w:ascii="Arial" w:hAnsi="Arial" w:cs="Arial"/>
        </w:rPr>
      </w:pPr>
      <w:r w:rsidRPr="003F6D26">
        <w:rPr>
          <w:rFonts w:ascii="Arial" w:hAnsi="Arial" w:cs="Arial"/>
        </w:rPr>
        <w:t>Type 1 diabetes is recognised as a lifelong autoimmune condition in which the insulin-producing beta cells located in the pancreas are progressively destroyed by the body's immune system. As a result, sufficient insulin can no longer be produced. Because insulin is required for glucose to enter body cells and be used as an energy source, glucose remains in the bloodstream when insulin is absent, leading to elevated blood glucose levels. Consequently, lifelong insulin replacement therapy is required to maintain appropriate glycaemic control (National Institute for Health and Care Excellence (NICE), 2022).</w:t>
      </w:r>
    </w:p>
    <w:p w14:paraId="549923C6" w14:textId="77777777" w:rsidR="003F6D26" w:rsidRPr="003F6D26" w:rsidRDefault="003F6D26" w:rsidP="001F6840">
      <w:pPr>
        <w:spacing w:line="360" w:lineRule="auto"/>
        <w:jc w:val="both"/>
        <w:rPr>
          <w:rFonts w:ascii="Arial" w:hAnsi="Arial" w:cs="Arial"/>
        </w:rPr>
      </w:pPr>
      <w:r w:rsidRPr="003F6D26">
        <w:rPr>
          <w:rFonts w:ascii="Arial" w:hAnsi="Arial" w:cs="Arial"/>
        </w:rPr>
        <w:t>Furthermore, several characteristic symptoms are commonly experienced following the onset of the condition. Excessive thirst, frequent urination, unexplained weight loss and persistent fatigue are often reported because glucose cannot be effectively utilised by the body's cells. Blurred vision, recurrent infections and delayed wound healing may also develop. If diagnosis and treatment are delayed, diabetic ketoacidosis may occur as a serious medical emergency requiring immediate intervention (NHS, 2024).</w:t>
      </w:r>
    </w:p>
    <w:p w14:paraId="7DFD9EBB" w14:textId="11FE405E" w:rsidR="003F6D26" w:rsidRDefault="003F6D26" w:rsidP="001F6840">
      <w:pPr>
        <w:spacing w:line="360" w:lineRule="auto"/>
        <w:jc w:val="both"/>
        <w:rPr>
          <w:rFonts w:ascii="Arial" w:hAnsi="Arial" w:cs="Arial"/>
        </w:rPr>
      </w:pPr>
      <w:r w:rsidRPr="003F6D26">
        <w:rPr>
          <w:rFonts w:ascii="Arial" w:hAnsi="Arial" w:cs="Arial"/>
        </w:rPr>
        <w:t>In addition, type 1 diabetes continues to represent an important public health challenge worldwide. It is estimated that more than nine million people are currently living with the condition globally, while approximately 400,000 individuals are affected within the United Kingdom. Continuous clinical monitoring, long-term treatment and coordinated health and social care services are therefore required to support affected individuals and reduce the burden of the disease (Gherbon, 2025; Breakthrough T1D, 2026).</w:t>
      </w:r>
    </w:p>
    <w:p w14:paraId="5546E7FA" w14:textId="77777777" w:rsidR="007E640A" w:rsidRDefault="007E640A" w:rsidP="001F6840">
      <w:pPr>
        <w:spacing w:line="360" w:lineRule="auto"/>
        <w:jc w:val="both"/>
        <w:rPr>
          <w:rFonts w:ascii="Arial" w:hAnsi="Arial" w:cs="Arial"/>
        </w:rPr>
      </w:pPr>
    </w:p>
    <w:p w14:paraId="2B0A9A19" w14:textId="77777777" w:rsidR="002E7500" w:rsidRDefault="002E7500" w:rsidP="001F6840">
      <w:pPr>
        <w:spacing w:line="360" w:lineRule="auto"/>
        <w:jc w:val="both"/>
        <w:rPr>
          <w:rFonts w:ascii="Arial" w:hAnsi="Arial" w:cs="Arial"/>
        </w:rPr>
      </w:pPr>
    </w:p>
    <w:p w14:paraId="69794C2D" w14:textId="77777777" w:rsidR="002E7500" w:rsidRDefault="002E7500" w:rsidP="001F6840">
      <w:pPr>
        <w:spacing w:line="360" w:lineRule="auto"/>
        <w:jc w:val="both"/>
        <w:rPr>
          <w:rFonts w:ascii="Arial" w:hAnsi="Arial" w:cs="Arial"/>
        </w:rPr>
      </w:pPr>
    </w:p>
    <w:p w14:paraId="6C65783C" w14:textId="77777777" w:rsidR="002E7500" w:rsidRDefault="002E7500" w:rsidP="001F6840">
      <w:pPr>
        <w:spacing w:line="360" w:lineRule="auto"/>
        <w:jc w:val="both"/>
        <w:rPr>
          <w:rFonts w:ascii="Arial" w:hAnsi="Arial" w:cs="Arial"/>
        </w:rPr>
      </w:pPr>
    </w:p>
    <w:p w14:paraId="19F3DA89" w14:textId="77777777" w:rsidR="007E640A" w:rsidRDefault="007E640A" w:rsidP="001F6840">
      <w:pPr>
        <w:spacing w:line="360" w:lineRule="auto"/>
        <w:jc w:val="both"/>
        <w:rPr>
          <w:rFonts w:ascii="Arial" w:hAnsi="Arial" w:cs="Arial"/>
        </w:rPr>
      </w:pPr>
    </w:p>
    <w:p w14:paraId="7563C3C2" w14:textId="77777777" w:rsidR="007E640A" w:rsidRDefault="007E640A" w:rsidP="001F6840">
      <w:pPr>
        <w:spacing w:line="360" w:lineRule="auto"/>
        <w:jc w:val="both"/>
        <w:rPr>
          <w:rFonts w:ascii="Arial" w:hAnsi="Arial" w:cs="Arial"/>
        </w:rPr>
      </w:pPr>
    </w:p>
    <w:p w14:paraId="08AE3B38" w14:textId="77777777" w:rsidR="007E640A" w:rsidRDefault="007E640A" w:rsidP="001F6840">
      <w:pPr>
        <w:spacing w:line="360" w:lineRule="auto"/>
        <w:jc w:val="both"/>
        <w:rPr>
          <w:rFonts w:ascii="Arial" w:hAnsi="Arial" w:cs="Arial"/>
        </w:rPr>
      </w:pPr>
    </w:p>
    <w:p w14:paraId="0A2ADD02" w14:textId="77777777" w:rsidR="007E640A" w:rsidRDefault="007E640A" w:rsidP="001F6840">
      <w:pPr>
        <w:spacing w:line="360" w:lineRule="auto"/>
        <w:jc w:val="both"/>
        <w:rPr>
          <w:rFonts w:ascii="Arial" w:hAnsi="Arial" w:cs="Arial"/>
        </w:rPr>
      </w:pPr>
    </w:p>
    <w:p w14:paraId="2498EC3C" w14:textId="77777777" w:rsidR="007D084D" w:rsidRDefault="007D084D" w:rsidP="001F6840">
      <w:pPr>
        <w:spacing w:line="360" w:lineRule="auto"/>
        <w:jc w:val="both"/>
        <w:rPr>
          <w:rFonts w:ascii="Arial" w:hAnsi="Arial" w:cs="Arial"/>
        </w:rPr>
      </w:pPr>
    </w:p>
    <w:p w14:paraId="636BC6FE" w14:textId="77777777" w:rsidR="007D084D" w:rsidRDefault="007D084D" w:rsidP="001F6840">
      <w:pPr>
        <w:spacing w:line="360" w:lineRule="auto"/>
        <w:jc w:val="both"/>
        <w:rPr>
          <w:rFonts w:ascii="Arial" w:hAnsi="Arial" w:cs="Arial"/>
        </w:rPr>
      </w:pPr>
    </w:p>
    <w:p w14:paraId="50138690" w14:textId="6DAF0E4E" w:rsidR="00401545" w:rsidRPr="002E40FB" w:rsidRDefault="009A421E" w:rsidP="001F6840">
      <w:pPr>
        <w:spacing w:line="360" w:lineRule="auto"/>
        <w:jc w:val="both"/>
        <w:rPr>
          <w:rFonts w:ascii="Arial" w:hAnsi="Arial" w:cs="Arial"/>
          <w:b/>
          <w:bCs/>
        </w:rPr>
      </w:pPr>
      <w:r>
        <w:rPr>
          <w:rFonts w:ascii="Arial" w:hAnsi="Arial" w:cs="Arial"/>
          <w:b/>
          <w:bCs/>
        </w:rPr>
        <w:lastRenderedPageBreak/>
        <w:t>1.</w:t>
      </w:r>
      <w:r w:rsidR="00401545" w:rsidRPr="00401545">
        <w:rPr>
          <w:rFonts w:ascii="Arial" w:hAnsi="Arial" w:cs="Arial"/>
          <w:b/>
          <w:bCs/>
        </w:rPr>
        <w:t>Different Approaches Used to Measure and Monitor Type 1 Diabetes</w:t>
      </w:r>
      <w:r w:rsidR="00072751">
        <w:rPr>
          <w:rFonts w:ascii="Arial" w:hAnsi="Arial" w:cs="Arial"/>
          <w:b/>
          <w:bCs/>
        </w:rPr>
        <w:t>.</w:t>
      </w:r>
    </w:p>
    <w:p w14:paraId="65A61D7A" w14:textId="77777777" w:rsidR="00990456" w:rsidRPr="004C1188" w:rsidRDefault="00990456" w:rsidP="001F6840">
      <w:pPr>
        <w:spacing w:line="360" w:lineRule="auto"/>
        <w:jc w:val="both"/>
        <w:rPr>
          <w:rFonts w:ascii="Arial" w:hAnsi="Arial" w:cs="Arial"/>
        </w:rPr>
      </w:pPr>
      <w:r w:rsidRPr="004C1188">
        <w:rPr>
          <w:rFonts w:ascii="Arial" w:hAnsi="Arial" w:cs="Arial"/>
        </w:rPr>
        <w:t>Several approaches are employed to measure and monitor type 1 diabetes, enabling healthcare professionals and public health organisations to evaluate disease patterns, assess treatment outcomes and support the planning of healthcare services across the United Kingdom. Reliable health data are continuously collected and analysed to improve patient care and inform public health decision-making (National Institute for Health and Care Excellence (NICE), 2022).</w:t>
      </w:r>
    </w:p>
    <w:p w14:paraId="30C5AB4F" w14:textId="77777777" w:rsidR="00990456" w:rsidRPr="004C1188" w:rsidRDefault="00990456" w:rsidP="001F6840">
      <w:pPr>
        <w:spacing w:line="360" w:lineRule="auto"/>
        <w:jc w:val="both"/>
        <w:rPr>
          <w:rFonts w:ascii="Arial" w:hAnsi="Arial" w:cs="Arial"/>
        </w:rPr>
      </w:pPr>
      <w:r w:rsidRPr="004C1188">
        <w:rPr>
          <w:rFonts w:ascii="Arial" w:hAnsi="Arial" w:cs="Arial"/>
        </w:rPr>
        <w:t>Furthermore, disease surveillance is recognised as one of the principal methods used to monitor type 1 diabetes. Health information obtained from general practice records, hospitals and specialist diabetes services is systematically collected, analysed and interpreted to identify newly diagnosed cases, evaluate treatment outcomes and monitor the development of diabetes-related complications. As a result, changes in disease trends can be identified, allowing healthcare resources and clinical services to be planned more effectively (Gherbon, 2025).</w:t>
      </w:r>
    </w:p>
    <w:p w14:paraId="2A49D54F" w14:textId="77777777" w:rsidR="00990456" w:rsidRPr="004C1188" w:rsidRDefault="00990456" w:rsidP="001F6840">
      <w:pPr>
        <w:spacing w:line="360" w:lineRule="auto"/>
        <w:jc w:val="both"/>
        <w:rPr>
          <w:rFonts w:ascii="Arial" w:hAnsi="Arial" w:cs="Arial"/>
        </w:rPr>
      </w:pPr>
      <w:r w:rsidRPr="004C1188">
        <w:rPr>
          <w:rFonts w:ascii="Arial" w:hAnsi="Arial" w:cs="Arial"/>
        </w:rPr>
        <w:t>In addition, although a national screening programme for type 1 diabetes is not currently available for the general population within the United Kingdom, individuals who have already been diagnosed are routinely offered structured monitoring. Regular retinal examinations, kidney function assessments and foot examinations are carried out to facilitate the early identification of complications. Consequently, timely treatment can be provided before more serious health problems develop, contributing to improved long-term health outcomes (NHS, 2024; National Institute for Health and Care Excellence (NICE), 2022).</w:t>
      </w:r>
    </w:p>
    <w:p w14:paraId="6D8908D8" w14:textId="77777777" w:rsidR="00990456" w:rsidRPr="004C1188" w:rsidRDefault="00990456" w:rsidP="001F6840">
      <w:pPr>
        <w:spacing w:line="360" w:lineRule="auto"/>
        <w:jc w:val="both"/>
        <w:rPr>
          <w:rFonts w:ascii="Arial" w:hAnsi="Arial" w:cs="Arial"/>
        </w:rPr>
      </w:pPr>
      <w:r w:rsidRPr="004C1188">
        <w:rPr>
          <w:rFonts w:ascii="Arial" w:hAnsi="Arial" w:cs="Arial"/>
        </w:rPr>
        <w:t>Moreover, disease registries are used to record comprehensive clinical information relating to people living with type 1 diabetes. Details concerning diagnosis, treatment, glycaemic management and long-term clinical outcomes are maintained within these databases. The information collected is subsequently used to evaluate the quality of diabetes care, monitor patient outcomes and support research aimed at improving future clinical practice (Chlup et al., 2023).</w:t>
      </w:r>
    </w:p>
    <w:p w14:paraId="40103BB9" w14:textId="309E53A0" w:rsidR="00401545" w:rsidRPr="00DB5789" w:rsidRDefault="00990456" w:rsidP="001F6840">
      <w:pPr>
        <w:spacing w:line="360" w:lineRule="auto"/>
        <w:jc w:val="both"/>
        <w:rPr>
          <w:rFonts w:ascii="Arial" w:hAnsi="Arial" w:cs="Arial"/>
        </w:rPr>
      </w:pPr>
      <w:r w:rsidRPr="004C1188">
        <w:rPr>
          <w:rFonts w:ascii="Arial" w:hAnsi="Arial" w:cs="Arial"/>
        </w:rPr>
        <w:t>Finally, public health surveillance is strengthened through the integration of information obtained from national databases, epidemiological research and healthcare reports. By combining these sources, changes in the prevalence and incidence of type 1 diabetes can be monitored over time. The increasing number of reported cases worldwide highlights the importance of continuous surveillance, as evidence generated through these systems can be used to guide healthcare planning, allocate resources effectively and support future prevention and management strategies (Gherbon, 2025; Breakthrough T1D, 2026)</w:t>
      </w:r>
      <w:r w:rsidR="00DB5789">
        <w:rPr>
          <w:rFonts w:ascii="Arial" w:hAnsi="Arial" w:cs="Arial"/>
        </w:rPr>
        <w:t>.</w:t>
      </w:r>
    </w:p>
    <w:p w14:paraId="4DDCF698" w14:textId="77777777" w:rsidR="003F16C9" w:rsidRPr="003F16C9" w:rsidRDefault="003F16C9" w:rsidP="001F6840">
      <w:pPr>
        <w:spacing w:line="360" w:lineRule="auto"/>
        <w:jc w:val="both"/>
        <w:rPr>
          <w:rFonts w:ascii="Arial" w:hAnsi="Arial" w:cs="Arial"/>
          <w:b/>
          <w:bCs/>
        </w:rPr>
      </w:pPr>
      <w:r w:rsidRPr="003F16C9">
        <w:rPr>
          <w:rFonts w:ascii="Arial" w:hAnsi="Arial" w:cs="Arial"/>
          <w:b/>
          <w:bCs/>
        </w:rPr>
        <w:lastRenderedPageBreak/>
        <w:t>2. How Type 1 Diabetes is Controlled</w:t>
      </w:r>
    </w:p>
    <w:p w14:paraId="30ED0CB2" w14:textId="77777777" w:rsidR="003F16C9" w:rsidRPr="003F16C9" w:rsidRDefault="003F16C9" w:rsidP="001F6840">
      <w:pPr>
        <w:spacing w:line="360" w:lineRule="auto"/>
        <w:jc w:val="both"/>
        <w:rPr>
          <w:rFonts w:ascii="Arial" w:hAnsi="Arial" w:cs="Arial"/>
        </w:rPr>
      </w:pPr>
      <w:r w:rsidRPr="003F16C9">
        <w:rPr>
          <w:rFonts w:ascii="Arial" w:hAnsi="Arial" w:cs="Arial"/>
        </w:rPr>
        <w:t>As type 1 diabetes is an autoimmune condition, its onset cannot currently be prevented. Consequently, disease management is focused on maintaining blood glucose levels within the recommended range, reducing the risk of complications and supporting individuals in the long-term management of their condition (Gherbon, 2025).</w:t>
      </w:r>
    </w:p>
    <w:p w14:paraId="110CDC96" w14:textId="77777777" w:rsidR="003F16C9" w:rsidRPr="003F16C9" w:rsidRDefault="003F16C9" w:rsidP="001F6840">
      <w:pPr>
        <w:spacing w:line="360" w:lineRule="auto"/>
        <w:jc w:val="both"/>
        <w:rPr>
          <w:rFonts w:ascii="Arial" w:hAnsi="Arial" w:cs="Arial"/>
        </w:rPr>
      </w:pPr>
      <w:r w:rsidRPr="003F16C9">
        <w:rPr>
          <w:rFonts w:ascii="Arial" w:hAnsi="Arial" w:cs="Arial"/>
        </w:rPr>
        <w:t>Furthermore, healthy lifestyle practices are encouraged alongside medical treatment. Although dietary changes cannot prevent type 1 diabetes, a balanced diet is recommended to support blood glucose control and maintain a healthy body weight. Regular physical activity is also encouraged because insulin sensitivity and cardiovascular health may be improved. In addition, smoking cessation is advised, as the risk of cardiovascular disease and other diabetes-related complications can be reduced (NHS, 2024).</w:t>
      </w:r>
    </w:p>
    <w:p w14:paraId="35772AC1" w14:textId="79BFBCD2" w:rsidR="003F16C9" w:rsidRPr="003F16C9" w:rsidRDefault="003F16C9" w:rsidP="001F6840">
      <w:pPr>
        <w:spacing w:line="360" w:lineRule="auto"/>
        <w:jc w:val="both"/>
        <w:rPr>
          <w:rFonts w:ascii="Arial" w:hAnsi="Arial" w:cs="Arial"/>
        </w:rPr>
      </w:pPr>
      <w:r w:rsidRPr="003F16C9">
        <w:rPr>
          <w:rFonts w:ascii="Arial" w:hAnsi="Arial" w:cs="Arial"/>
        </w:rPr>
        <w:t xml:space="preserve">Moreover, insulin replacement therapy remains the cornerstone of treatment because endogenous insulin production is no longer possible. Insulin is administered either by multiple daily injections or through continuous subcutaneous insulin infusion (insulin pump). Dosages are adjusted according to blood glucose measurements, carbohydrate intake and physical activity. Regular monitoring of blood glucose levels is required to ensure that treatment can be modified </w:t>
      </w:r>
      <w:r w:rsidRPr="003F16C9">
        <w:rPr>
          <w:rFonts w:ascii="Arial" w:hAnsi="Arial" w:cs="Arial"/>
        </w:rPr>
        <w:t>appropriately,</w:t>
      </w:r>
      <w:r w:rsidRPr="003F16C9">
        <w:rPr>
          <w:rFonts w:ascii="Arial" w:hAnsi="Arial" w:cs="Arial"/>
        </w:rPr>
        <w:t xml:space="preserve"> and optimal glycaemic control can be achieved (Chlup et al., 2023).</w:t>
      </w:r>
    </w:p>
    <w:p w14:paraId="4C70D099" w14:textId="37AFF3CC" w:rsidR="001515DD" w:rsidRPr="009A421E" w:rsidRDefault="003F16C9" w:rsidP="001F6840">
      <w:pPr>
        <w:spacing w:line="360" w:lineRule="auto"/>
        <w:jc w:val="both"/>
        <w:rPr>
          <w:rFonts w:ascii="Arial" w:hAnsi="Arial" w:cs="Arial"/>
        </w:rPr>
      </w:pPr>
      <w:r w:rsidRPr="003F16C9">
        <w:rPr>
          <w:rFonts w:ascii="Arial" w:hAnsi="Arial" w:cs="Arial"/>
        </w:rPr>
        <w:t>Finally, effective disease control is supported through evidence-based national guidelines and multidisciplinary diabetes services. Routine HbA1c monitoring, retinal screening, kidney assessments and foot examinations are recommended by NICE to facilitate the early detection of complications. Ongoing education, personalised care planning and regular clinical reviews are also provided through NHS diabetes services. Furthermore, educational resources and self-management support offered by Breakthrough T1D encourage individuals to participate actively in their own care, contributing to improved health outcomes and quality of life (National Institute for Health and Care Excellence (NICE), 2022; NHS, 2024; Breakthrough T1D, 2026).</w:t>
      </w:r>
    </w:p>
    <w:p w14:paraId="47C359A2" w14:textId="77777777" w:rsidR="001515DD" w:rsidRDefault="001515DD" w:rsidP="001F6840">
      <w:pPr>
        <w:spacing w:line="360" w:lineRule="auto"/>
        <w:jc w:val="both"/>
        <w:rPr>
          <w:rFonts w:ascii="Arial" w:hAnsi="Arial" w:cs="Arial"/>
          <w:b/>
          <w:bCs/>
        </w:rPr>
      </w:pPr>
    </w:p>
    <w:p w14:paraId="75795671" w14:textId="77777777" w:rsidR="001515DD" w:rsidRDefault="001515DD" w:rsidP="001F6840">
      <w:pPr>
        <w:spacing w:line="360" w:lineRule="auto"/>
        <w:jc w:val="both"/>
        <w:rPr>
          <w:rFonts w:ascii="Arial" w:hAnsi="Arial" w:cs="Arial"/>
          <w:b/>
          <w:bCs/>
        </w:rPr>
      </w:pPr>
    </w:p>
    <w:p w14:paraId="056C5EA1" w14:textId="77777777" w:rsidR="000C4682" w:rsidRDefault="000C4682" w:rsidP="001F6840">
      <w:pPr>
        <w:spacing w:line="360" w:lineRule="auto"/>
        <w:jc w:val="both"/>
        <w:rPr>
          <w:rFonts w:ascii="Arial" w:hAnsi="Arial" w:cs="Arial"/>
          <w:b/>
          <w:bCs/>
        </w:rPr>
      </w:pPr>
    </w:p>
    <w:p w14:paraId="0F077A4E" w14:textId="77777777" w:rsidR="000C4682" w:rsidRDefault="000C4682" w:rsidP="001F6840">
      <w:pPr>
        <w:spacing w:line="360" w:lineRule="auto"/>
        <w:jc w:val="both"/>
        <w:rPr>
          <w:rFonts w:ascii="Arial" w:hAnsi="Arial" w:cs="Arial"/>
          <w:b/>
          <w:bCs/>
        </w:rPr>
      </w:pPr>
    </w:p>
    <w:p w14:paraId="6D11B70C" w14:textId="77777777" w:rsidR="000C4682" w:rsidRDefault="000C4682" w:rsidP="001F6840">
      <w:pPr>
        <w:spacing w:line="360" w:lineRule="auto"/>
        <w:jc w:val="both"/>
        <w:rPr>
          <w:rFonts w:ascii="Arial" w:hAnsi="Arial" w:cs="Arial"/>
          <w:b/>
          <w:bCs/>
        </w:rPr>
      </w:pPr>
    </w:p>
    <w:p w14:paraId="5E953619" w14:textId="77777777" w:rsidR="000C4682" w:rsidRDefault="000C4682" w:rsidP="001F6840">
      <w:pPr>
        <w:spacing w:line="360" w:lineRule="auto"/>
        <w:jc w:val="both"/>
        <w:rPr>
          <w:rFonts w:ascii="Arial" w:hAnsi="Arial" w:cs="Arial"/>
          <w:b/>
          <w:bCs/>
        </w:rPr>
      </w:pPr>
    </w:p>
    <w:p w14:paraId="554A0E35" w14:textId="77777777" w:rsidR="002E40FB" w:rsidRDefault="002E40FB" w:rsidP="001F6840">
      <w:pPr>
        <w:spacing w:line="360" w:lineRule="auto"/>
        <w:jc w:val="both"/>
        <w:rPr>
          <w:rFonts w:ascii="Arial" w:hAnsi="Arial" w:cs="Arial"/>
          <w:b/>
          <w:bCs/>
        </w:rPr>
      </w:pPr>
    </w:p>
    <w:p w14:paraId="3751A6AA" w14:textId="77777777" w:rsidR="00DA2B3A" w:rsidRPr="00DA2B3A" w:rsidRDefault="00DA2B3A" w:rsidP="001F6840">
      <w:pPr>
        <w:spacing w:line="360" w:lineRule="auto"/>
        <w:jc w:val="both"/>
        <w:rPr>
          <w:rFonts w:ascii="Arial" w:hAnsi="Arial" w:cs="Arial"/>
          <w:b/>
          <w:bCs/>
        </w:rPr>
      </w:pPr>
      <w:r w:rsidRPr="00DA2B3A">
        <w:rPr>
          <w:rFonts w:ascii="Arial" w:hAnsi="Arial" w:cs="Arial"/>
          <w:b/>
          <w:bCs/>
        </w:rPr>
        <w:lastRenderedPageBreak/>
        <w:t>3. Consequences of Type 1 Diabetes on People in the Community</w:t>
      </w:r>
    </w:p>
    <w:p w14:paraId="527393CF" w14:textId="77777777" w:rsidR="00DA2B3A" w:rsidRPr="00142879" w:rsidRDefault="00DA2B3A" w:rsidP="001F6840">
      <w:pPr>
        <w:spacing w:line="360" w:lineRule="auto"/>
        <w:jc w:val="both"/>
        <w:rPr>
          <w:rFonts w:ascii="Arial" w:hAnsi="Arial" w:cs="Arial"/>
        </w:rPr>
      </w:pPr>
      <w:r w:rsidRPr="00142879">
        <w:rPr>
          <w:rFonts w:ascii="Arial" w:hAnsi="Arial" w:cs="Arial"/>
        </w:rPr>
        <w:t>Type 1 diabetes has substantial physical, psychological, social and economic consequences that extend beyond the individual and affect families, healthcare services and the wider community. As lifelong treatment is required, continuous disease management must be maintained to minimise complications and promote long-term wellbeing (Gherbon, 2025).</w:t>
      </w:r>
    </w:p>
    <w:p w14:paraId="36FA540D" w14:textId="77777777" w:rsidR="00DA2B3A" w:rsidRPr="00142879" w:rsidRDefault="00DA2B3A" w:rsidP="001F6840">
      <w:pPr>
        <w:spacing w:line="360" w:lineRule="auto"/>
        <w:jc w:val="both"/>
        <w:rPr>
          <w:rFonts w:ascii="Arial" w:hAnsi="Arial" w:cs="Arial"/>
        </w:rPr>
      </w:pPr>
      <w:r w:rsidRPr="00142879">
        <w:rPr>
          <w:rFonts w:ascii="Arial" w:hAnsi="Arial" w:cs="Arial"/>
        </w:rPr>
        <w:t>Furthermore, poor glycaemic control may result in serious long-term complications. Damage to blood vessels and peripheral nerves can lead to diabetic retinopathy, chronic kidney disease and peripheral neuropathy. Reduced sensation in the feet may increase the risk of ulcers, infection and, in severe cases, lower-limb amputation. In addition, acute complications, including diabetic ketoacidosis and severe hypoglycaemia, may require emergency medical treatment if not managed promptly (NHS, 2024).</w:t>
      </w:r>
    </w:p>
    <w:p w14:paraId="3C77471F" w14:textId="77777777" w:rsidR="00DA2B3A" w:rsidRPr="00142879" w:rsidRDefault="00DA2B3A" w:rsidP="001F6840">
      <w:pPr>
        <w:spacing w:line="360" w:lineRule="auto"/>
        <w:jc w:val="both"/>
        <w:rPr>
          <w:rFonts w:ascii="Arial" w:hAnsi="Arial" w:cs="Arial"/>
        </w:rPr>
      </w:pPr>
      <w:r w:rsidRPr="00142879">
        <w:rPr>
          <w:rFonts w:ascii="Arial" w:hAnsi="Arial" w:cs="Arial"/>
        </w:rPr>
        <w:t>Moreover, considerable psychological challenges may also be experienced. The continuous demands of blood glucose monitoring, insulin administration and daily self-management can contribute to diabetes-related distress, anxiety and emotional exhaustion. As a result, social participation may be reduced, while the risk of depression and diminished self-confidence may increase because of stigma associated with the condition (Housby et al., 2026).</w:t>
      </w:r>
    </w:p>
    <w:p w14:paraId="46F04648" w14:textId="77777777" w:rsidR="00DA2B3A" w:rsidRPr="00142879" w:rsidRDefault="00DA2B3A" w:rsidP="001F6840">
      <w:pPr>
        <w:spacing w:line="360" w:lineRule="auto"/>
        <w:jc w:val="both"/>
        <w:rPr>
          <w:rFonts w:ascii="Arial" w:hAnsi="Arial" w:cs="Arial"/>
        </w:rPr>
      </w:pPr>
      <w:r w:rsidRPr="00142879">
        <w:rPr>
          <w:rFonts w:ascii="Arial" w:hAnsi="Arial" w:cs="Arial"/>
        </w:rPr>
        <w:t>Similarly, education, employment and recreational activities may be affected by the need for regular treatment and careful daily planning. Ongoing support is frequently provided by family members, whose responsibilities and routines may also be altered. Consequently, both individuals and their families may experience a reduced quality of life (Breakthrough T1D, 2026).</w:t>
      </w:r>
    </w:p>
    <w:p w14:paraId="3F302CC6" w14:textId="0AC4FFB7" w:rsidR="001515DD" w:rsidRPr="00142879" w:rsidRDefault="00DA2B3A" w:rsidP="001F6840">
      <w:pPr>
        <w:spacing w:line="360" w:lineRule="auto"/>
        <w:jc w:val="both"/>
        <w:rPr>
          <w:rFonts w:ascii="Arial" w:hAnsi="Arial" w:cs="Arial"/>
        </w:rPr>
      </w:pPr>
      <w:r w:rsidRPr="00142879">
        <w:rPr>
          <w:rFonts w:ascii="Arial" w:hAnsi="Arial" w:cs="Arial"/>
        </w:rPr>
        <w:t>Finally, significant economic demands are associated with the lifelong management of the condition. Continuous access to insulin, glucose monitoring technologies, specialist reviews and healthcare services is required, creating financial pressures for both individuals and the NHS. Continued investment in education, prevention and community-based services is therefore essential to improve health outcomes and reduce avoidable healthcare costs (Breakthrough T1D, 2026; Gherbon, 2025).</w:t>
      </w:r>
    </w:p>
    <w:p w14:paraId="034D0D7C" w14:textId="77777777" w:rsidR="00142879" w:rsidRPr="00142879" w:rsidRDefault="00142879" w:rsidP="001F6840">
      <w:pPr>
        <w:spacing w:line="360" w:lineRule="auto"/>
        <w:jc w:val="both"/>
        <w:rPr>
          <w:rFonts w:ascii="Arial" w:hAnsi="Arial" w:cs="Arial"/>
        </w:rPr>
      </w:pPr>
    </w:p>
    <w:p w14:paraId="4723C4E8" w14:textId="77777777" w:rsidR="00142879" w:rsidRPr="00142879" w:rsidRDefault="00142879" w:rsidP="001F6840">
      <w:pPr>
        <w:spacing w:line="360" w:lineRule="auto"/>
        <w:jc w:val="both"/>
        <w:rPr>
          <w:rFonts w:ascii="Arial" w:hAnsi="Arial" w:cs="Arial"/>
        </w:rPr>
      </w:pPr>
    </w:p>
    <w:p w14:paraId="0AE5A916" w14:textId="77777777" w:rsidR="00142879" w:rsidRPr="00142879" w:rsidRDefault="00142879" w:rsidP="001F6840">
      <w:pPr>
        <w:spacing w:line="360" w:lineRule="auto"/>
        <w:jc w:val="both"/>
        <w:rPr>
          <w:rFonts w:ascii="Arial" w:hAnsi="Arial" w:cs="Arial"/>
        </w:rPr>
      </w:pPr>
    </w:p>
    <w:p w14:paraId="64825522" w14:textId="77777777" w:rsidR="00B02E81" w:rsidRDefault="00B02E81" w:rsidP="001F6840">
      <w:pPr>
        <w:spacing w:line="360" w:lineRule="auto"/>
        <w:jc w:val="both"/>
        <w:rPr>
          <w:rFonts w:ascii="Arial" w:hAnsi="Arial" w:cs="Arial"/>
          <w:b/>
          <w:bCs/>
        </w:rPr>
      </w:pPr>
    </w:p>
    <w:p w14:paraId="2BDC6AF8" w14:textId="77777777" w:rsidR="00B02E81" w:rsidRDefault="00B02E81" w:rsidP="001F6840">
      <w:pPr>
        <w:spacing w:line="360" w:lineRule="auto"/>
        <w:jc w:val="both"/>
        <w:rPr>
          <w:rFonts w:ascii="Arial" w:hAnsi="Arial" w:cs="Arial"/>
          <w:b/>
          <w:bCs/>
        </w:rPr>
      </w:pPr>
    </w:p>
    <w:p w14:paraId="203F3E31" w14:textId="7D1D0E02" w:rsidR="00895367" w:rsidRPr="00895367" w:rsidRDefault="00895367" w:rsidP="001F6840">
      <w:pPr>
        <w:spacing w:line="360" w:lineRule="auto"/>
        <w:jc w:val="both"/>
        <w:rPr>
          <w:rFonts w:ascii="Arial" w:hAnsi="Arial" w:cs="Arial"/>
          <w:b/>
          <w:bCs/>
        </w:rPr>
      </w:pPr>
      <w:r>
        <w:rPr>
          <w:rFonts w:ascii="Arial" w:hAnsi="Arial" w:cs="Arial"/>
          <w:b/>
          <w:bCs/>
        </w:rPr>
        <w:lastRenderedPageBreak/>
        <w:t>4.</w:t>
      </w:r>
      <w:r w:rsidRPr="00895367">
        <w:rPr>
          <w:rFonts w:ascii="Arial" w:hAnsi="Arial" w:cs="Arial"/>
          <w:b/>
          <w:bCs/>
        </w:rPr>
        <w:t>Health and Social Care Support Services for People Living with Type 1 Diabetes</w:t>
      </w:r>
      <w:r w:rsidR="00072751">
        <w:rPr>
          <w:rFonts w:ascii="Arial" w:hAnsi="Arial" w:cs="Arial"/>
          <w:b/>
          <w:bCs/>
        </w:rPr>
        <w:t>.</w:t>
      </w:r>
    </w:p>
    <w:p w14:paraId="4B5738CD" w14:textId="77777777" w:rsidR="0004314F" w:rsidRPr="0004314F" w:rsidRDefault="0004314F" w:rsidP="001F6840">
      <w:pPr>
        <w:spacing w:line="360" w:lineRule="auto"/>
        <w:jc w:val="both"/>
        <w:rPr>
          <w:rFonts w:ascii="Arial" w:hAnsi="Arial" w:cs="Arial"/>
        </w:rPr>
      </w:pPr>
      <w:r w:rsidRPr="0004314F">
        <w:rPr>
          <w:rFonts w:ascii="Arial" w:hAnsi="Arial" w:cs="Arial"/>
        </w:rPr>
        <w:t>People living with type 1 diabetes require coordinated health and social care services to support effective disease management, minimise complications and improve quality of life. A multidisciplinary approach is considered essential because lifelong treatment and regular clinical monitoring are required (National Institute for Health and Care Excellence (NICE), 2022).</w:t>
      </w:r>
    </w:p>
    <w:p w14:paraId="6C2B00F0" w14:textId="77777777" w:rsidR="0004314F" w:rsidRPr="0004314F" w:rsidRDefault="0004314F" w:rsidP="001F6840">
      <w:pPr>
        <w:spacing w:line="360" w:lineRule="auto"/>
        <w:jc w:val="both"/>
        <w:rPr>
          <w:rFonts w:ascii="Arial" w:hAnsi="Arial" w:cs="Arial"/>
        </w:rPr>
      </w:pPr>
      <w:r w:rsidRPr="0004314F">
        <w:rPr>
          <w:rFonts w:ascii="Arial" w:hAnsi="Arial" w:cs="Arial"/>
        </w:rPr>
        <w:t>Furthermore, primary healthcare services, including General Practitioners (GPs) and specialist diabetes clinics, play a central role in ongoing disease management. Routine reviews are undertaken to assess HbA1c levels, monitor blood glucose control and identify complications through retinal screening, kidney assessments and foot examinations. Early intervention enables treatment plans to be adjusted before complications progress (NHS, 2024).</w:t>
      </w:r>
    </w:p>
    <w:p w14:paraId="48CFE9AD" w14:textId="77777777" w:rsidR="0004314F" w:rsidRPr="0004314F" w:rsidRDefault="0004314F" w:rsidP="001F6840">
      <w:pPr>
        <w:spacing w:line="360" w:lineRule="auto"/>
        <w:jc w:val="both"/>
        <w:rPr>
          <w:rFonts w:ascii="Arial" w:hAnsi="Arial" w:cs="Arial"/>
        </w:rPr>
      </w:pPr>
      <w:r w:rsidRPr="0004314F">
        <w:rPr>
          <w:rFonts w:ascii="Arial" w:hAnsi="Arial" w:cs="Arial"/>
        </w:rPr>
        <w:t>In addition, comprehensive care is delivered through multidisciplinary teams. Education regarding insulin administration and self-management is provided by diabetes specialist nurses, while dietary advice and carbohydrate-counting support are delivered by dietitians. Regular foot assessments are carried out by podiatrists, and ophthalmologists monitor eye health to reduce the risk of visual impairment. This collaborative approach ensures that person-centred care is delivered throughout the disease course (National Institute for Health and Care Excellence (NICE), 2022).</w:t>
      </w:r>
    </w:p>
    <w:p w14:paraId="6B4480AA" w14:textId="77777777" w:rsidR="0004314F" w:rsidRPr="0004314F" w:rsidRDefault="0004314F" w:rsidP="001F6840">
      <w:pPr>
        <w:spacing w:line="360" w:lineRule="auto"/>
        <w:jc w:val="both"/>
        <w:rPr>
          <w:rFonts w:ascii="Arial" w:hAnsi="Arial" w:cs="Arial"/>
        </w:rPr>
      </w:pPr>
      <w:r w:rsidRPr="0004314F">
        <w:rPr>
          <w:rFonts w:ascii="Arial" w:hAnsi="Arial" w:cs="Arial"/>
        </w:rPr>
        <w:t>Moreover, psychological wellbeing should also be addressed. Emotional distress, anxiety and depression may develop because of the ongoing demands associated with disease management. Access to counselling, mental health services and peer-support groups can improve emotional wellbeing and encourage long-term engagement with treatment (Housby et al., 2026).</w:t>
      </w:r>
    </w:p>
    <w:p w14:paraId="0AEAB9E7" w14:textId="3E08EC66" w:rsidR="00254CE5" w:rsidRDefault="0004314F" w:rsidP="001F6840">
      <w:pPr>
        <w:spacing w:line="360" w:lineRule="auto"/>
        <w:jc w:val="both"/>
        <w:rPr>
          <w:rFonts w:ascii="Arial" w:hAnsi="Arial" w:cs="Arial"/>
          <w:b/>
          <w:bCs/>
        </w:rPr>
      </w:pPr>
      <w:r w:rsidRPr="0004314F">
        <w:rPr>
          <w:rFonts w:ascii="Arial" w:hAnsi="Arial" w:cs="Arial"/>
        </w:rPr>
        <w:t>Finally, additional support is provided by organisations such as Breakthrough T1D, which offer educational resources, advocacy and community programmes designed to strengthen self-management skills and improve quality of life for people living with the condition (Breakthrough T1D, 2026).</w:t>
      </w:r>
    </w:p>
    <w:p w14:paraId="6685D31A" w14:textId="77777777" w:rsidR="00254CE5" w:rsidRDefault="00254CE5" w:rsidP="001F6840">
      <w:pPr>
        <w:spacing w:line="360" w:lineRule="auto"/>
        <w:jc w:val="both"/>
        <w:rPr>
          <w:rFonts w:ascii="Arial" w:hAnsi="Arial" w:cs="Arial"/>
          <w:b/>
          <w:bCs/>
        </w:rPr>
      </w:pPr>
    </w:p>
    <w:p w14:paraId="272CBB80" w14:textId="77777777" w:rsidR="00254CE5" w:rsidRDefault="00254CE5" w:rsidP="001F6840">
      <w:pPr>
        <w:spacing w:line="360" w:lineRule="auto"/>
        <w:jc w:val="both"/>
        <w:rPr>
          <w:rFonts w:ascii="Arial" w:hAnsi="Arial" w:cs="Arial"/>
          <w:b/>
          <w:bCs/>
        </w:rPr>
      </w:pPr>
    </w:p>
    <w:p w14:paraId="02F56379" w14:textId="77777777" w:rsidR="00254CE5" w:rsidRDefault="00254CE5" w:rsidP="001F6840">
      <w:pPr>
        <w:spacing w:line="360" w:lineRule="auto"/>
        <w:jc w:val="both"/>
        <w:rPr>
          <w:rFonts w:ascii="Arial" w:hAnsi="Arial" w:cs="Arial"/>
          <w:b/>
          <w:bCs/>
        </w:rPr>
      </w:pPr>
    </w:p>
    <w:p w14:paraId="2D5B5C3B" w14:textId="77777777" w:rsidR="001515DD" w:rsidRDefault="001515DD" w:rsidP="001F6840">
      <w:pPr>
        <w:spacing w:line="360" w:lineRule="auto"/>
        <w:jc w:val="both"/>
        <w:rPr>
          <w:rFonts w:ascii="Arial" w:hAnsi="Arial" w:cs="Arial"/>
          <w:b/>
          <w:bCs/>
        </w:rPr>
      </w:pPr>
    </w:p>
    <w:p w14:paraId="15CB02A5" w14:textId="2A79A68F" w:rsidR="00E67184" w:rsidRPr="00072751" w:rsidRDefault="00C0196A" w:rsidP="001F6840">
      <w:pPr>
        <w:spacing w:line="360" w:lineRule="auto"/>
        <w:jc w:val="both"/>
        <w:rPr>
          <w:rFonts w:ascii="Arial" w:hAnsi="Arial" w:cs="Arial"/>
          <w:b/>
          <w:bCs/>
        </w:rPr>
      </w:pPr>
      <w:r w:rsidRPr="00C0196A">
        <w:rPr>
          <w:rFonts w:ascii="Arial" w:hAnsi="Arial" w:cs="Arial"/>
          <w:b/>
          <w:bCs/>
        </w:rPr>
        <w:lastRenderedPageBreak/>
        <w:t>Conclusion</w:t>
      </w:r>
      <w:r w:rsidR="00C87E28">
        <w:rPr>
          <w:rFonts w:ascii="Arial" w:hAnsi="Arial" w:cs="Arial"/>
          <w:b/>
          <w:bCs/>
        </w:rPr>
        <w:t>.</w:t>
      </w:r>
    </w:p>
    <w:p w14:paraId="5C4272BB" w14:textId="77777777" w:rsidR="007B7D7A" w:rsidRPr="007B7D7A" w:rsidRDefault="007B7D7A" w:rsidP="001F6840">
      <w:pPr>
        <w:spacing w:line="360" w:lineRule="auto"/>
        <w:jc w:val="both"/>
        <w:rPr>
          <w:rFonts w:ascii="Arial" w:hAnsi="Arial" w:cs="Arial"/>
        </w:rPr>
      </w:pPr>
      <w:r w:rsidRPr="007B7D7A">
        <w:rPr>
          <w:rFonts w:ascii="Arial" w:hAnsi="Arial" w:cs="Arial"/>
        </w:rPr>
        <w:t>In conclusion, type 1 diabetes remains a significant public health condition that requires lifelong clinical management and coordinated health and social care support. Throughout this report, it has been demonstrated that effective disease monitoring, routine screening and evidence-based treatment strategies are essential for reducing complications and improving long-term health outcomes. Although prevention is not currently possible, effective glycaemic control can be achieved through insulin replacement therapy, healthy lifestyle practices and regular clinical review.</w:t>
      </w:r>
    </w:p>
    <w:p w14:paraId="3D21E12D" w14:textId="7C3846B2" w:rsidR="00254CE5" w:rsidRDefault="007B7D7A" w:rsidP="001F6840">
      <w:pPr>
        <w:spacing w:line="360" w:lineRule="auto"/>
        <w:jc w:val="both"/>
        <w:rPr>
          <w:rFonts w:ascii="Arial" w:hAnsi="Arial" w:cs="Arial"/>
          <w:b/>
          <w:bCs/>
        </w:rPr>
      </w:pPr>
      <w:r w:rsidRPr="007B7D7A">
        <w:rPr>
          <w:rFonts w:ascii="Arial" w:hAnsi="Arial" w:cs="Arial"/>
        </w:rPr>
        <w:t>Furthermore, the physical, psychological, social and economic consequences associated with the condition highlight the importance of providing comprehensive, person-centred care. Consequently, continued collaboration between healthcare professionals, support organisations and individuals living with the condition is required to promote self-management, enhance quality of life and reduce the long-term impact of type 1 diabetes on both individuals and the wider community (National Institute for Health and Care Excellence (NICE), 2022; Breakthrough T1D, 2026).</w:t>
      </w:r>
    </w:p>
    <w:p w14:paraId="38CFA2C3" w14:textId="77777777" w:rsidR="00254CE5" w:rsidRDefault="00254CE5" w:rsidP="001F6840">
      <w:pPr>
        <w:spacing w:line="360" w:lineRule="auto"/>
        <w:jc w:val="both"/>
        <w:rPr>
          <w:rFonts w:ascii="Arial" w:hAnsi="Arial" w:cs="Arial"/>
          <w:b/>
          <w:bCs/>
        </w:rPr>
      </w:pPr>
    </w:p>
    <w:p w14:paraId="788E257B" w14:textId="77777777" w:rsidR="00254CE5" w:rsidRDefault="00254CE5" w:rsidP="001F6840">
      <w:pPr>
        <w:spacing w:line="360" w:lineRule="auto"/>
        <w:jc w:val="both"/>
        <w:rPr>
          <w:rFonts w:ascii="Arial" w:hAnsi="Arial" w:cs="Arial"/>
          <w:b/>
          <w:bCs/>
        </w:rPr>
      </w:pPr>
    </w:p>
    <w:p w14:paraId="505621C4" w14:textId="77777777" w:rsidR="00254CE5" w:rsidRDefault="00254CE5" w:rsidP="00222C3D">
      <w:pPr>
        <w:jc w:val="center"/>
        <w:rPr>
          <w:rFonts w:ascii="Arial" w:hAnsi="Arial" w:cs="Arial"/>
          <w:b/>
          <w:bCs/>
        </w:rPr>
      </w:pPr>
    </w:p>
    <w:p w14:paraId="06B2C5BD" w14:textId="77777777" w:rsidR="00254CE5" w:rsidRDefault="00254CE5" w:rsidP="00222C3D">
      <w:pPr>
        <w:jc w:val="center"/>
        <w:rPr>
          <w:rFonts w:ascii="Arial" w:hAnsi="Arial" w:cs="Arial"/>
          <w:b/>
          <w:bCs/>
        </w:rPr>
      </w:pPr>
    </w:p>
    <w:p w14:paraId="4A293A30" w14:textId="77777777" w:rsidR="00254CE5" w:rsidRDefault="00254CE5" w:rsidP="00222C3D">
      <w:pPr>
        <w:jc w:val="center"/>
        <w:rPr>
          <w:rFonts w:ascii="Arial" w:hAnsi="Arial" w:cs="Arial"/>
          <w:b/>
          <w:bCs/>
        </w:rPr>
      </w:pPr>
    </w:p>
    <w:p w14:paraId="597A3240" w14:textId="77777777" w:rsidR="00254CE5" w:rsidRDefault="00254CE5" w:rsidP="00222C3D">
      <w:pPr>
        <w:jc w:val="center"/>
        <w:rPr>
          <w:rFonts w:ascii="Arial" w:hAnsi="Arial" w:cs="Arial"/>
          <w:b/>
          <w:bCs/>
        </w:rPr>
      </w:pPr>
    </w:p>
    <w:p w14:paraId="0F4856F8" w14:textId="77777777" w:rsidR="00254CE5" w:rsidRDefault="00254CE5" w:rsidP="00222C3D">
      <w:pPr>
        <w:jc w:val="center"/>
        <w:rPr>
          <w:rFonts w:ascii="Arial" w:hAnsi="Arial" w:cs="Arial"/>
          <w:b/>
          <w:bCs/>
        </w:rPr>
      </w:pPr>
    </w:p>
    <w:p w14:paraId="727D370C" w14:textId="77777777" w:rsidR="00254CE5" w:rsidRDefault="00254CE5" w:rsidP="00222C3D">
      <w:pPr>
        <w:jc w:val="center"/>
        <w:rPr>
          <w:rFonts w:ascii="Arial" w:hAnsi="Arial" w:cs="Arial"/>
          <w:b/>
          <w:bCs/>
        </w:rPr>
      </w:pPr>
    </w:p>
    <w:p w14:paraId="7F0F23FE" w14:textId="77777777" w:rsidR="00254CE5" w:rsidRDefault="00254CE5" w:rsidP="00222C3D">
      <w:pPr>
        <w:jc w:val="center"/>
        <w:rPr>
          <w:rFonts w:ascii="Arial" w:hAnsi="Arial" w:cs="Arial"/>
          <w:b/>
          <w:bCs/>
        </w:rPr>
      </w:pPr>
    </w:p>
    <w:p w14:paraId="1C8093C2" w14:textId="77777777" w:rsidR="00254CE5" w:rsidRDefault="00254CE5" w:rsidP="00222C3D">
      <w:pPr>
        <w:jc w:val="center"/>
        <w:rPr>
          <w:rFonts w:ascii="Arial" w:hAnsi="Arial" w:cs="Arial"/>
          <w:b/>
          <w:bCs/>
        </w:rPr>
      </w:pPr>
    </w:p>
    <w:p w14:paraId="29E7F4DB" w14:textId="77777777" w:rsidR="00254CE5" w:rsidRDefault="00254CE5" w:rsidP="00222C3D">
      <w:pPr>
        <w:jc w:val="center"/>
        <w:rPr>
          <w:rFonts w:ascii="Arial" w:hAnsi="Arial" w:cs="Arial"/>
          <w:b/>
          <w:bCs/>
        </w:rPr>
      </w:pPr>
    </w:p>
    <w:p w14:paraId="77266EDB" w14:textId="77777777" w:rsidR="007D084D" w:rsidRDefault="007D084D" w:rsidP="00222C3D">
      <w:pPr>
        <w:jc w:val="both"/>
        <w:rPr>
          <w:rFonts w:ascii="Arial" w:hAnsi="Arial" w:cs="Arial"/>
        </w:rPr>
      </w:pPr>
    </w:p>
    <w:p w14:paraId="4465AA8A" w14:textId="77777777" w:rsidR="007D084D" w:rsidRDefault="007D084D">
      <w:pPr>
        <w:rPr>
          <w:rFonts w:ascii="Arial" w:hAnsi="Arial" w:cs="Arial"/>
        </w:rPr>
      </w:pPr>
    </w:p>
    <w:p w14:paraId="06492375" w14:textId="77777777" w:rsidR="007D084D" w:rsidRDefault="007D084D">
      <w:pPr>
        <w:rPr>
          <w:rFonts w:ascii="Arial" w:hAnsi="Arial" w:cs="Arial"/>
        </w:rPr>
      </w:pPr>
    </w:p>
    <w:p w14:paraId="7A67990E" w14:textId="77777777" w:rsidR="007D084D" w:rsidRDefault="007D084D">
      <w:pPr>
        <w:rPr>
          <w:rFonts w:ascii="Arial" w:hAnsi="Arial" w:cs="Arial"/>
        </w:rPr>
      </w:pPr>
    </w:p>
    <w:p w14:paraId="6A121003" w14:textId="77777777" w:rsidR="007D084D" w:rsidRDefault="007D084D">
      <w:pPr>
        <w:rPr>
          <w:rFonts w:ascii="Arial" w:hAnsi="Arial" w:cs="Arial"/>
        </w:rPr>
      </w:pPr>
    </w:p>
    <w:p w14:paraId="7810DC69" w14:textId="77777777" w:rsidR="005747D7" w:rsidRDefault="005747D7">
      <w:pPr>
        <w:rPr>
          <w:rFonts w:ascii="Arial" w:hAnsi="Arial" w:cs="Arial"/>
        </w:rPr>
      </w:pPr>
    </w:p>
    <w:p w14:paraId="5C76959D" w14:textId="77777777" w:rsidR="00072751" w:rsidRDefault="00072751">
      <w:pPr>
        <w:rPr>
          <w:rFonts w:ascii="Arial" w:hAnsi="Arial" w:cs="Arial"/>
        </w:rPr>
      </w:pPr>
    </w:p>
    <w:p w14:paraId="7C7D99AF" w14:textId="59FC21D4" w:rsidR="005747D7" w:rsidRPr="005747D7" w:rsidRDefault="005747D7" w:rsidP="005747D7">
      <w:pPr>
        <w:jc w:val="center"/>
        <w:rPr>
          <w:rFonts w:ascii="Arial" w:hAnsi="Arial" w:cs="Arial"/>
          <w:b/>
          <w:bCs/>
        </w:rPr>
      </w:pPr>
      <w:r w:rsidRPr="005747D7">
        <w:rPr>
          <w:rFonts w:ascii="Arial" w:hAnsi="Arial" w:cs="Arial"/>
          <w:b/>
          <w:bCs/>
        </w:rPr>
        <w:t>References</w:t>
      </w:r>
      <w:r w:rsidRPr="005747D7">
        <w:rPr>
          <w:rFonts w:ascii="Arial" w:hAnsi="Arial" w:cs="Arial"/>
          <w:b/>
          <w:bCs/>
        </w:rPr>
        <w:t>.</w:t>
      </w:r>
    </w:p>
    <w:p w14:paraId="797DCB67" w14:textId="77777777" w:rsidR="005747D7" w:rsidRPr="005747D7" w:rsidRDefault="005747D7" w:rsidP="005747D7">
      <w:pPr>
        <w:rPr>
          <w:rFonts w:ascii="Arial" w:hAnsi="Arial" w:cs="Arial"/>
        </w:rPr>
      </w:pPr>
      <w:r w:rsidRPr="005747D7">
        <w:rPr>
          <w:rFonts w:ascii="Arial" w:hAnsi="Arial" w:cs="Arial"/>
        </w:rPr>
        <w:t>Breakthrough T1D (2026) Managing type 1 diabetes. Available at: https://breakthrought1d.org.uk/knowledge-support/about-type-1-diabetes/ (Accessed: 10 July 2026).</w:t>
      </w:r>
    </w:p>
    <w:p w14:paraId="69F11FEF" w14:textId="3D7CDB9F" w:rsidR="005747D7" w:rsidRPr="005747D7" w:rsidRDefault="005747D7" w:rsidP="005747D7">
      <w:pPr>
        <w:rPr>
          <w:rFonts w:ascii="Arial" w:hAnsi="Arial" w:cs="Arial"/>
        </w:rPr>
      </w:pPr>
      <w:r w:rsidRPr="005747D7">
        <w:rPr>
          <w:rFonts w:ascii="Arial" w:hAnsi="Arial" w:cs="Arial"/>
        </w:rPr>
        <w:t>Chlup, R., Krystyník, O., Mlčák, P., et al. (2023) Intensive management of type 1 diabetes in adults: One centre experience 1970–2022, in Type 1 Diabetes in 2023 From Real Practice to Open Questions. IntechOpen. Available at: https://doi.org/10.5772/intechopen.108032 (Accessed: 10 July 2026).</w:t>
      </w:r>
    </w:p>
    <w:p w14:paraId="6262F4DB" w14:textId="384C983B" w:rsidR="005747D7" w:rsidRPr="005747D7" w:rsidRDefault="005747D7" w:rsidP="005747D7">
      <w:pPr>
        <w:rPr>
          <w:rFonts w:ascii="Arial" w:hAnsi="Arial" w:cs="Arial"/>
        </w:rPr>
      </w:pPr>
      <w:r w:rsidRPr="005747D7">
        <w:rPr>
          <w:rFonts w:ascii="Arial" w:hAnsi="Arial" w:cs="Arial"/>
        </w:rPr>
        <w:t>Gherbon, A. (2025) Epidemiology of Type 1 Diabetes, in Type 1 Diabetes: Causes, Treatments and Management. IntechOpen. Available at: https://doi.org/10.5772/intechopen.1009817 (Accessed: 10 July 2026).</w:t>
      </w:r>
    </w:p>
    <w:p w14:paraId="09585805" w14:textId="3643C072" w:rsidR="005747D7" w:rsidRPr="005747D7" w:rsidRDefault="005747D7" w:rsidP="005747D7">
      <w:pPr>
        <w:rPr>
          <w:rFonts w:ascii="Arial" w:hAnsi="Arial" w:cs="Arial"/>
        </w:rPr>
      </w:pPr>
      <w:r w:rsidRPr="005747D7">
        <w:rPr>
          <w:rFonts w:ascii="Arial" w:hAnsi="Arial" w:cs="Arial"/>
        </w:rPr>
        <w:t xml:space="preserve">Housby, H., Kaur, A., Godsland, I., et al. (2026) Type 1 diabetes stigma: A UK survey of adults living with type 1 diabetes, Diabetic Medicine, 43, e70365. Available at: https://doi.org/10.1111/dme.70365 (Accessed: </w:t>
      </w:r>
      <w:r w:rsidR="00CE721F">
        <w:rPr>
          <w:rFonts w:ascii="Arial" w:hAnsi="Arial" w:cs="Arial"/>
        </w:rPr>
        <w:t>10</w:t>
      </w:r>
      <w:r w:rsidRPr="005747D7">
        <w:rPr>
          <w:rFonts w:ascii="Arial" w:hAnsi="Arial" w:cs="Arial"/>
        </w:rPr>
        <w:t xml:space="preserve"> July 2026).</w:t>
      </w:r>
    </w:p>
    <w:p w14:paraId="1D355EDB" w14:textId="77777777" w:rsidR="005747D7" w:rsidRPr="005747D7" w:rsidRDefault="005747D7" w:rsidP="005747D7">
      <w:pPr>
        <w:rPr>
          <w:rFonts w:ascii="Arial" w:hAnsi="Arial" w:cs="Arial"/>
        </w:rPr>
      </w:pPr>
      <w:r w:rsidRPr="005747D7">
        <w:rPr>
          <w:rFonts w:ascii="Arial" w:hAnsi="Arial" w:cs="Arial"/>
        </w:rPr>
        <w:t>National Institute for Health and Care Excellence (NICE) (2022) Type 1 diabetes in adults: Diagnosis and management (NG17). Available at: https://www.nice.org.uk/guidance/ng17 (Accessed: 10 July 2026).</w:t>
      </w:r>
    </w:p>
    <w:p w14:paraId="736C4439" w14:textId="71D6AD03" w:rsidR="00E67184" w:rsidRDefault="005747D7" w:rsidP="005747D7">
      <w:pPr>
        <w:rPr>
          <w:rFonts w:ascii="Arial" w:hAnsi="Arial" w:cs="Arial"/>
        </w:rPr>
      </w:pPr>
      <w:r w:rsidRPr="005747D7">
        <w:rPr>
          <w:rFonts w:ascii="Arial" w:hAnsi="Arial" w:cs="Arial"/>
        </w:rPr>
        <w:t xml:space="preserve">NHS (2024) Complications of type 1 diabetes. Available at: https://www.nhs.uk/conditions/type-1-diabetes/complications/ (Accessed: </w:t>
      </w:r>
      <w:r w:rsidR="00CE721F">
        <w:rPr>
          <w:rFonts w:ascii="Arial" w:hAnsi="Arial" w:cs="Arial"/>
        </w:rPr>
        <w:t xml:space="preserve">11 </w:t>
      </w:r>
      <w:r w:rsidRPr="005747D7">
        <w:rPr>
          <w:rFonts w:ascii="Arial" w:hAnsi="Arial" w:cs="Arial"/>
        </w:rPr>
        <w:t>July 2026).</w:t>
      </w:r>
    </w:p>
    <w:p w14:paraId="6E1069D6" w14:textId="77777777" w:rsidR="00E67184" w:rsidRDefault="00E67184" w:rsidP="000C5534">
      <w:pPr>
        <w:rPr>
          <w:rFonts w:ascii="Arial" w:hAnsi="Arial" w:cs="Arial"/>
        </w:rPr>
      </w:pPr>
    </w:p>
    <w:p w14:paraId="07787687" w14:textId="77777777" w:rsidR="00E67184" w:rsidRDefault="00E67184" w:rsidP="000C5534">
      <w:pPr>
        <w:rPr>
          <w:rFonts w:ascii="Arial" w:hAnsi="Arial" w:cs="Arial"/>
        </w:rPr>
      </w:pPr>
    </w:p>
    <w:p w14:paraId="283F485F" w14:textId="77777777" w:rsidR="00E67184" w:rsidRDefault="00E67184" w:rsidP="000C5534">
      <w:pPr>
        <w:rPr>
          <w:rFonts w:ascii="Arial" w:hAnsi="Arial" w:cs="Arial"/>
        </w:rPr>
      </w:pPr>
    </w:p>
    <w:p w14:paraId="7EA8E6EE" w14:textId="77777777" w:rsidR="00E67184" w:rsidRDefault="00E67184" w:rsidP="000C5534">
      <w:pPr>
        <w:rPr>
          <w:rFonts w:ascii="Arial" w:hAnsi="Arial" w:cs="Arial"/>
        </w:rPr>
      </w:pPr>
    </w:p>
    <w:p w14:paraId="318AEB91" w14:textId="77777777" w:rsidR="00E67184" w:rsidRDefault="00E67184" w:rsidP="000C5534">
      <w:pPr>
        <w:rPr>
          <w:rFonts w:ascii="Arial" w:hAnsi="Arial" w:cs="Arial"/>
        </w:rPr>
      </w:pPr>
    </w:p>
    <w:p w14:paraId="5F76EBF3" w14:textId="77777777" w:rsidR="00E67184" w:rsidRDefault="00E67184" w:rsidP="000C5534">
      <w:pPr>
        <w:rPr>
          <w:rFonts w:ascii="Arial" w:hAnsi="Arial" w:cs="Arial"/>
        </w:rPr>
      </w:pPr>
    </w:p>
    <w:p w14:paraId="60C72940" w14:textId="77777777" w:rsidR="00E67184" w:rsidRDefault="00E67184" w:rsidP="000C5534">
      <w:pPr>
        <w:rPr>
          <w:rFonts w:ascii="Arial" w:hAnsi="Arial" w:cs="Arial"/>
        </w:rPr>
      </w:pPr>
    </w:p>
    <w:p w14:paraId="65DAA86B" w14:textId="77777777" w:rsidR="00E67184" w:rsidRDefault="00E67184" w:rsidP="000C5534">
      <w:pPr>
        <w:rPr>
          <w:rFonts w:ascii="Arial" w:hAnsi="Arial" w:cs="Arial"/>
        </w:rPr>
      </w:pPr>
    </w:p>
    <w:p w14:paraId="0109EA34" w14:textId="77777777" w:rsidR="00E67184" w:rsidRDefault="00E67184" w:rsidP="000C5534">
      <w:pPr>
        <w:rPr>
          <w:rFonts w:ascii="Arial" w:hAnsi="Arial" w:cs="Arial"/>
        </w:rPr>
      </w:pPr>
    </w:p>
    <w:p w14:paraId="31AC4BC6" w14:textId="77777777" w:rsidR="00E67184" w:rsidRDefault="00E67184" w:rsidP="000C5534">
      <w:pPr>
        <w:rPr>
          <w:rFonts w:ascii="Arial" w:hAnsi="Arial" w:cs="Arial"/>
        </w:rPr>
      </w:pPr>
    </w:p>
    <w:p w14:paraId="72E0C126" w14:textId="77777777" w:rsidR="00E67184" w:rsidRDefault="00E67184" w:rsidP="000C5534">
      <w:pPr>
        <w:rPr>
          <w:rFonts w:ascii="Arial" w:hAnsi="Arial" w:cs="Arial"/>
        </w:rPr>
      </w:pPr>
    </w:p>
    <w:p w14:paraId="54F96B56" w14:textId="77777777" w:rsidR="00E67184" w:rsidRDefault="00E67184" w:rsidP="000C5534">
      <w:pPr>
        <w:rPr>
          <w:rFonts w:ascii="Arial" w:hAnsi="Arial" w:cs="Arial"/>
        </w:rPr>
      </w:pPr>
    </w:p>
    <w:p w14:paraId="37D1D28B" w14:textId="77777777" w:rsidR="00BC2294" w:rsidRPr="00A830F8" w:rsidRDefault="00BC2294">
      <w:pPr>
        <w:rPr>
          <w:rFonts w:ascii="Arial" w:hAnsi="Arial" w:cs="Arial"/>
        </w:rPr>
      </w:pPr>
    </w:p>
    <w:sectPr w:rsidR="00BC2294" w:rsidRPr="00A830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BBC57" w14:textId="77777777" w:rsidR="00276C97" w:rsidRDefault="00276C97" w:rsidP="002E40FB">
      <w:pPr>
        <w:spacing w:after="0" w:line="240" w:lineRule="auto"/>
      </w:pPr>
      <w:r>
        <w:separator/>
      </w:r>
    </w:p>
  </w:endnote>
  <w:endnote w:type="continuationSeparator" w:id="0">
    <w:p w14:paraId="27D0409C" w14:textId="77777777" w:rsidR="00276C97" w:rsidRDefault="00276C97" w:rsidP="002E4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26432"/>
      <w:docPartObj>
        <w:docPartGallery w:val="Page Numbers (Bottom of Page)"/>
        <w:docPartUnique/>
      </w:docPartObj>
    </w:sdtPr>
    <w:sdtEndPr/>
    <w:sdtContent>
      <w:p w14:paraId="158A6D36" w14:textId="779DD63D" w:rsidR="002E40FB" w:rsidRDefault="002E40FB">
        <w:pPr>
          <w:pStyle w:val="Piedepgina"/>
          <w:jc w:val="right"/>
        </w:pPr>
        <w:r>
          <w:fldChar w:fldCharType="begin"/>
        </w:r>
        <w:r>
          <w:instrText>PAGE   \* MERGEFORMAT</w:instrText>
        </w:r>
        <w:r>
          <w:fldChar w:fldCharType="separate"/>
        </w:r>
        <w:r>
          <w:rPr>
            <w:lang w:val="es-ES"/>
          </w:rPr>
          <w:t>2</w:t>
        </w:r>
        <w:r>
          <w:fldChar w:fldCharType="end"/>
        </w:r>
      </w:p>
    </w:sdtContent>
  </w:sdt>
  <w:p w14:paraId="421A60F6" w14:textId="77777777" w:rsidR="002E40FB" w:rsidRDefault="002E40F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C3916" w14:textId="77777777" w:rsidR="00276C97" w:rsidRDefault="00276C97" w:rsidP="002E40FB">
      <w:pPr>
        <w:spacing w:after="0" w:line="240" w:lineRule="auto"/>
      </w:pPr>
      <w:r>
        <w:separator/>
      </w:r>
    </w:p>
  </w:footnote>
  <w:footnote w:type="continuationSeparator" w:id="0">
    <w:p w14:paraId="7205B4E2" w14:textId="77777777" w:rsidR="00276C97" w:rsidRDefault="00276C97" w:rsidP="002E40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96"/>
    <w:rsid w:val="0004314F"/>
    <w:rsid w:val="0006511C"/>
    <w:rsid w:val="00072751"/>
    <w:rsid w:val="000941EB"/>
    <w:rsid w:val="000A6FC1"/>
    <w:rsid w:val="000C4682"/>
    <w:rsid w:val="000C4C61"/>
    <w:rsid w:val="000C5534"/>
    <w:rsid w:val="00142879"/>
    <w:rsid w:val="001515DD"/>
    <w:rsid w:val="001F6840"/>
    <w:rsid w:val="00206996"/>
    <w:rsid w:val="002108A1"/>
    <w:rsid w:val="00222C3D"/>
    <w:rsid w:val="00254CE5"/>
    <w:rsid w:val="00276C97"/>
    <w:rsid w:val="002921FA"/>
    <w:rsid w:val="002E40FB"/>
    <w:rsid w:val="002E7500"/>
    <w:rsid w:val="00351661"/>
    <w:rsid w:val="003A41EA"/>
    <w:rsid w:val="003B3890"/>
    <w:rsid w:val="003C2E63"/>
    <w:rsid w:val="003E08AD"/>
    <w:rsid w:val="003F16C9"/>
    <w:rsid w:val="003F6D26"/>
    <w:rsid w:val="00401545"/>
    <w:rsid w:val="004331AB"/>
    <w:rsid w:val="00447355"/>
    <w:rsid w:val="004617D5"/>
    <w:rsid w:val="004B2DC0"/>
    <w:rsid w:val="004C1188"/>
    <w:rsid w:val="004E0E89"/>
    <w:rsid w:val="004F1EF0"/>
    <w:rsid w:val="00515DE3"/>
    <w:rsid w:val="005203D1"/>
    <w:rsid w:val="00526FAA"/>
    <w:rsid w:val="0056483B"/>
    <w:rsid w:val="005747D7"/>
    <w:rsid w:val="00672274"/>
    <w:rsid w:val="006A32A2"/>
    <w:rsid w:val="006D7724"/>
    <w:rsid w:val="00733918"/>
    <w:rsid w:val="007864DA"/>
    <w:rsid w:val="007A14EC"/>
    <w:rsid w:val="007B7D7A"/>
    <w:rsid w:val="007D084D"/>
    <w:rsid w:val="007E640A"/>
    <w:rsid w:val="0081063A"/>
    <w:rsid w:val="008264E7"/>
    <w:rsid w:val="00895367"/>
    <w:rsid w:val="008C1F3A"/>
    <w:rsid w:val="008C583C"/>
    <w:rsid w:val="008D1E43"/>
    <w:rsid w:val="00917122"/>
    <w:rsid w:val="00952D21"/>
    <w:rsid w:val="00975FDD"/>
    <w:rsid w:val="00990456"/>
    <w:rsid w:val="009A421E"/>
    <w:rsid w:val="009E1966"/>
    <w:rsid w:val="009F00AC"/>
    <w:rsid w:val="00A77F52"/>
    <w:rsid w:val="00A830F8"/>
    <w:rsid w:val="00AA3AF9"/>
    <w:rsid w:val="00B02E81"/>
    <w:rsid w:val="00B51639"/>
    <w:rsid w:val="00B7025B"/>
    <w:rsid w:val="00B85DAB"/>
    <w:rsid w:val="00BA5CD4"/>
    <w:rsid w:val="00BB2B98"/>
    <w:rsid w:val="00BB4C03"/>
    <w:rsid w:val="00BC2294"/>
    <w:rsid w:val="00C0196A"/>
    <w:rsid w:val="00C313C0"/>
    <w:rsid w:val="00C44761"/>
    <w:rsid w:val="00C87E28"/>
    <w:rsid w:val="00CE721F"/>
    <w:rsid w:val="00D55D38"/>
    <w:rsid w:val="00D57C47"/>
    <w:rsid w:val="00DA2B3A"/>
    <w:rsid w:val="00DA3F04"/>
    <w:rsid w:val="00DB5789"/>
    <w:rsid w:val="00DD76E6"/>
    <w:rsid w:val="00DE1CB6"/>
    <w:rsid w:val="00DE597F"/>
    <w:rsid w:val="00E07412"/>
    <w:rsid w:val="00E30A8F"/>
    <w:rsid w:val="00E67184"/>
    <w:rsid w:val="00E70707"/>
    <w:rsid w:val="00E93C25"/>
    <w:rsid w:val="00EB2109"/>
    <w:rsid w:val="00ED28B8"/>
    <w:rsid w:val="00F22F06"/>
    <w:rsid w:val="00FC4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8C137"/>
  <w15:chartTrackingRefBased/>
  <w15:docId w15:val="{645CCD0E-DB4D-4A13-B388-BC2ACC246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206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206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206996"/>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206996"/>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206996"/>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206996"/>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206996"/>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206996"/>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206996"/>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06996"/>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206996"/>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206996"/>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206996"/>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206996"/>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206996"/>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206996"/>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206996"/>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206996"/>
    <w:rPr>
      <w:rFonts w:eastAsiaTheme="majorEastAsia" w:cstheme="majorBidi"/>
      <w:color w:val="272727" w:themeColor="text1" w:themeTint="D8"/>
    </w:rPr>
  </w:style>
  <w:style w:type="paragraph" w:styleId="Ttulo">
    <w:name w:val="Title"/>
    <w:basedOn w:val="Normal"/>
    <w:next w:val="Normal"/>
    <w:link w:val="TtuloCar"/>
    <w:uiPriority w:val="10"/>
    <w:qFormat/>
    <w:rsid w:val="00206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206996"/>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206996"/>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206996"/>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206996"/>
    <w:pPr>
      <w:spacing w:before="160"/>
      <w:jc w:val="center"/>
    </w:pPr>
    <w:rPr>
      <w:i/>
      <w:iCs/>
      <w:color w:val="404040" w:themeColor="text1" w:themeTint="BF"/>
    </w:rPr>
  </w:style>
  <w:style w:type="character" w:customStyle="1" w:styleId="CitaCar">
    <w:name w:val="Cita Car"/>
    <w:basedOn w:val="Fuentedeprrafopredeter"/>
    <w:link w:val="Cita"/>
    <w:uiPriority w:val="29"/>
    <w:rsid w:val="00206996"/>
    <w:rPr>
      <w:i/>
      <w:iCs/>
      <w:color w:val="404040" w:themeColor="text1" w:themeTint="BF"/>
    </w:rPr>
  </w:style>
  <w:style w:type="paragraph" w:styleId="Prrafodelista">
    <w:name w:val="List Paragraph"/>
    <w:basedOn w:val="Normal"/>
    <w:uiPriority w:val="34"/>
    <w:qFormat/>
    <w:rsid w:val="00206996"/>
    <w:pPr>
      <w:ind w:left="720"/>
      <w:contextualSpacing/>
    </w:pPr>
  </w:style>
  <w:style w:type="character" w:styleId="nfasisintenso">
    <w:name w:val="Intense Emphasis"/>
    <w:basedOn w:val="Fuentedeprrafopredeter"/>
    <w:uiPriority w:val="21"/>
    <w:qFormat/>
    <w:rsid w:val="00206996"/>
    <w:rPr>
      <w:i/>
      <w:iCs/>
      <w:color w:val="0F4761" w:themeColor="accent1" w:themeShade="BF"/>
    </w:rPr>
  </w:style>
  <w:style w:type="paragraph" w:styleId="Citadestacada">
    <w:name w:val="Intense Quote"/>
    <w:basedOn w:val="Normal"/>
    <w:next w:val="Normal"/>
    <w:link w:val="CitadestacadaCar"/>
    <w:uiPriority w:val="30"/>
    <w:qFormat/>
    <w:rsid w:val="00206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206996"/>
    <w:rPr>
      <w:i/>
      <w:iCs/>
      <w:color w:val="0F4761" w:themeColor="accent1" w:themeShade="BF"/>
    </w:rPr>
  </w:style>
  <w:style w:type="character" w:styleId="Referenciaintensa">
    <w:name w:val="Intense Reference"/>
    <w:basedOn w:val="Fuentedeprrafopredeter"/>
    <w:uiPriority w:val="32"/>
    <w:qFormat/>
    <w:rsid w:val="00206996"/>
    <w:rPr>
      <w:b/>
      <w:bCs/>
      <w:smallCaps/>
      <w:color w:val="0F4761" w:themeColor="accent1" w:themeShade="BF"/>
      <w:spacing w:val="5"/>
    </w:rPr>
  </w:style>
  <w:style w:type="character" w:styleId="Hipervnculo">
    <w:name w:val="Hyperlink"/>
    <w:basedOn w:val="Fuentedeprrafopredeter"/>
    <w:uiPriority w:val="99"/>
    <w:unhideWhenUsed/>
    <w:rsid w:val="003E08AD"/>
    <w:rPr>
      <w:color w:val="467886" w:themeColor="hyperlink"/>
      <w:u w:val="single"/>
    </w:rPr>
  </w:style>
  <w:style w:type="character" w:styleId="Mencinsinresolver">
    <w:name w:val="Unresolved Mention"/>
    <w:basedOn w:val="Fuentedeprrafopredeter"/>
    <w:uiPriority w:val="99"/>
    <w:semiHidden/>
    <w:unhideWhenUsed/>
    <w:rsid w:val="003E08AD"/>
    <w:rPr>
      <w:color w:val="605E5C"/>
      <w:shd w:val="clear" w:color="auto" w:fill="E1DFDD"/>
    </w:rPr>
  </w:style>
  <w:style w:type="character" w:styleId="Hipervnculovisitado">
    <w:name w:val="FollowedHyperlink"/>
    <w:basedOn w:val="Fuentedeprrafopredeter"/>
    <w:uiPriority w:val="99"/>
    <w:semiHidden/>
    <w:unhideWhenUsed/>
    <w:rsid w:val="003E08AD"/>
    <w:rPr>
      <w:color w:val="96607D" w:themeColor="followedHyperlink"/>
      <w:u w:val="single"/>
    </w:rPr>
  </w:style>
  <w:style w:type="paragraph" w:styleId="Encabezado">
    <w:name w:val="header"/>
    <w:basedOn w:val="Normal"/>
    <w:link w:val="EncabezadoCar"/>
    <w:uiPriority w:val="99"/>
    <w:unhideWhenUsed/>
    <w:rsid w:val="002E40F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E40FB"/>
  </w:style>
  <w:style w:type="paragraph" w:styleId="Piedepgina">
    <w:name w:val="footer"/>
    <w:basedOn w:val="Normal"/>
    <w:link w:val="PiedepginaCar"/>
    <w:uiPriority w:val="99"/>
    <w:unhideWhenUsed/>
    <w:rsid w:val="002E40F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E4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2099</Words>
  <Characters>11970</Characters>
  <Application>Microsoft Office Word</Application>
  <DocSecurity>0</DocSecurity>
  <Lines>99</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Pleitez</dc:creator>
  <cp:keywords/>
  <dc:description/>
  <cp:lastModifiedBy>Katya Pleitez</cp:lastModifiedBy>
  <cp:revision>4</cp:revision>
  <dcterms:created xsi:type="dcterms:W3CDTF">2026-07-20T20:47:00Z</dcterms:created>
  <dcterms:modified xsi:type="dcterms:W3CDTF">2026-07-20T20:49:00Z</dcterms:modified>
</cp:coreProperties>
</file>