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F464B5" w14:textId="6515C44F" w:rsidR="00E4036A" w:rsidRDefault="00D935FA">
      <w:pPr>
        <w:rPr>
          <w:rFonts w:cstheme="minorHAnsi"/>
          <w:sz w:val="36"/>
          <w:szCs w:val="36"/>
        </w:rPr>
      </w:pPr>
      <w:r>
        <w:t xml:space="preserve">                                                      </w:t>
      </w:r>
      <w:r>
        <w:rPr>
          <w:rFonts w:cstheme="minorHAnsi"/>
          <w:sz w:val="36"/>
          <w:szCs w:val="36"/>
        </w:rPr>
        <w:t>Individual report</w:t>
      </w:r>
    </w:p>
    <w:p w14:paraId="31E66C08" w14:textId="4E63EEB1" w:rsidR="00D935FA" w:rsidRDefault="00D935FA">
      <w:pPr>
        <w:rPr>
          <w:rFonts w:cstheme="minorHAnsi"/>
          <w:sz w:val="36"/>
          <w:szCs w:val="36"/>
        </w:rPr>
      </w:pPr>
      <w:r>
        <w:rPr>
          <w:rFonts w:cstheme="minorHAnsi"/>
          <w:sz w:val="36"/>
          <w:szCs w:val="36"/>
        </w:rPr>
        <w:t xml:space="preserve">          </w:t>
      </w:r>
      <w:r w:rsidRPr="00D935FA">
        <w:rPr>
          <w:rFonts w:cstheme="minorHAnsi"/>
          <w:sz w:val="36"/>
          <w:szCs w:val="36"/>
        </w:rPr>
        <w:t xml:space="preserve">Principles of Human Resource Management   </w:t>
      </w:r>
    </w:p>
    <w:p w14:paraId="69E9417B" w14:textId="4EB20EE9" w:rsidR="00D935FA" w:rsidRDefault="00D935FA">
      <w:pPr>
        <w:rPr>
          <w:rFonts w:cstheme="minorHAnsi"/>
          <w:sz w:val="36"/>
          <w:szCs w:val="36"/>
        </w:rPr>
      </w:pPr>
      <w:r>
        <w:rPr>
          <w:rFonts w:cstheme="minorHAnsi"/>
          <w:sz w:val="36"/>
          <w:szCs w:val="36"/>
        </w:rPr>
        <w:t xml:space="preserve">                          Module code: LCBB5012</w:t>
      </w:r>
    </w:p>
    <w:p w14:paraId="3AD885EE" w14:textId="29BFB4FA" w:rsidR="00D935FA" w:rsidRDefault="00D935FA">
      <w:pPr>
        <w:rPr>
          <w:rFonts w:cstheme="minorHAnsi"/>
          <w:sz w:val="36"/>
          <w:szCs w:val="36"/>
        </w:rPr>
      </w:pPr>
      <w:r>
        <w:rPr>
          <w:rFonts w:cstheme="minorHAnsi"/>
          <w:sz w:val="36"/>
          <w:szCs w:val="36"/>
        </w:rPr>
        <w:t xml:space="preserve">                          Student name: Cristina Cioroba</w:t>
      </w:r>
    </w:p>
    <w:p w14:paraId="0FE946BE" w14:textId="57F114A0" w:rsidR="00D935FA" w:rsidRDefault="00D935FA">
      <w:pPr>
        <w:rPr>
          <w:rFonts w:cstheme="minorHAnsi"/>
          <w:sz w:val="36"/>
          <w:szCs w:val="36"/>
        </w:rPr>
      </w:pPr>
      <w:r>
        <w:rPr>
          <w:rFonts w:cstheme="minorHAnsi"/>
          <w:sz w:val="36"/>
          <w:szCs w:val="36"/>
        </w:rPr>
        <w:t xml:space="preserve">                          Student ID:2225510</w:t>
      </w:r>
    </w:p>
    <w:p w14:paraId="67609D51" w14:textId="4C0D9E3A" w:rsidR="00D935FA" w:rsidRDefault="00D935FA">
      <w:pPr>
        <w:rPr>
          <w:rFonts w:cstheme="minorHAnsi"/>
          <w:sz w:val="36"/>
          <w:szCs w:val="36"/>
        </w:rPr>
      </w:pPr>
      <w:r>
        <w:rPr>
          <w:rFonts w:cstheme="minorHAnsi"/>
          <w:sz w:val="36"/>
          <w:szCs w:val="36"/>
        </w:rPr>
        <w:t xml:space="preserve">                          Lecturer: Dr Anupam Mazumdar</w:t>
      </w:r>
    </w:p>
    <w:p w14:paraId="27B3B5AD" w14:textId="77777777" w:rsidR="00D935FA" w:rsidRDefault="00D935FA">
      <w:pPr>
        <w:rPr>
          <w:rFonts w:cstheme="minorHAnsi"/>
          <w:sz w:val="36"/>
          <w:szCs w:val="36"/>
        </w:rPr>
      </w:pPr>
    </w:p>
    <w:p w14:paraId="1A2241BA" w14:textId="6959B9E0" w:rsidR="00D935FA" w:rsidRDefault="00D935FA">
      <w:pPr>
        <w:rPr>
          <w:rFonts w:cstheme="minorHAnsi"/>
          <w:sz w:val="36"/>
          <w:szCs w:val="36"/>
        </w:rPr>
      </w:pPr>
    </w:p>
    <w:p w14:paraId="323CAD1A" w14:textId="77777777" w:rsidR="00D935FA" w:rsidRDefault="00D935FA">
      <w:pPr>
        <w:rPr>
          <w:rFonts w:cstheme="minorHAnsi"/>
          <w:sz w:val="36"/>
          <w:szCs w:val="36"/>
        </w:rPr>
      </w:pPr>
      <w:r>
        <w:rPr>
          <w:rFonts w:cstheme="minorHAnsi"/>
          <w:sz w:val="36"/>
          <w:szCs w:val="36"/>
        </w:rPr>
        <w:br w:type="page"/>
      </w:r>
    </w:p>
    <w:p w14:paraId="7298C20F" w14:textId="073541DA" w:rsidR="00D935FA" w:rsidRDefault="00D935FA">
      <w:pPr>
        <w:rPr>
          <w:rFonts w:cstheme="minorHAnsi"/>
          <w:sz w:val="36"/>
          <w:szCs w:val="36"/>
        </w:rPr>
      </w:pPr>
      <w:r>
        <w:rPr>
          <w:rFonts w:cstheme="minorHAnsi"/>
          <w:sz w:val="36"/>
          <w:szCs w:val="36"/>
        </w:rPr>
        <w:lastRenderedPageBreak/>
        <w:t>Table of content:</w:t>
      </w:r>
    </w:p>
    <w:p w14:paraId="2CEA639C" w14:textId="48D2D69B" w:rsidR="00D935FA" w:rsidRDefault="00D935FA" w:rsidP="00D935FA">
      <w:pPr>
        <w:pStyle w:val="ListParagraph"/>
        <w:numPr>
          <w:ilvl w:val="0"/>
          <w:numId w:val="1"/>
        </w:numPr>
        <w:rPr>
          <w:rFonts w:cstheme="minorHAnsi"/>
          <w:sz w:val="36"/>
          <w:szCs w:val="36"/>
        </w:rPr>
      </w:pPr>
      <w:r>
        <w:rPr>
          <w:rFonts w:cstheme="minorHAnsi"/>
          <w:sz w:val="36"/>
          <w:szCs w:val="36"/>
        </w:rPr>
        <w:t xml:space="preserve">Introduction </w:t>
      </w:r>
    </w:p>
    <w:p w14:paraId="5004609E" w14:textId="188D1F68" w:rsidR="00D935FA" w:rsidRPr="00D935FA" w:rsidRDefault="00D935FA" w:rsidP="00D935FA">
      <w:pPr>
        <w:pStyle w:val="ListParagraph"/>
        <w:numPr>
          <w:ilvl w:val="0"/>
          <w:numId w:val="1"/>
        </w:numPr>
        <w:rPr>
          <w:rFonts w:cstheme="minorHAnsi"/>
          <w:sz w:val="36"/>
          <w:szCs w:val="36"/>
        </w:rPr>
      </w:pPr>
      <w:r w:rsidRPr="00D935FA">
        <w:rPr>
          <w:rFonts w:cstheme="minorHAnsi"/>
          <w:sz w:val="36"/>
          <w:szCs w:val="36"/>
        </w:rPr>
        <w:t>Internal and External Environment</w:t>
      </w:r>
      <w:r>
        <w:rPr>
          <w:rFonts w:cstheme="minorHAnsi"/>
          <w:sz w:val="36"/>
          <w:szCs w:val="36"/>
        </w:rPr>
        <w:t xml:space="preserve"> (</w:t>
      </w:r>
      <w:r w:rsidRPr="00D935FA">
        <w:rPr>
          <w:rFonts w:cstheme="minorHAnsi"/>
          <w:sz w:val="36"/>
          <w:szCs w:val="36"/>
        </w:rPr>
        <w:t>Business Environment Model</w:t>
      </w:r>
      <w:r>
        <w:rPr>
          <w:rFonts w:cstheme="minorHAnsi"/>
          <w:sz w:val="36"/>
          <w:szCs w:val="36"/>
        </w:rPr>
        <w:t>, Link</w:t>
      </w:r>
      <w:r w:rsidRPr="00D935FA">
        <w:rPr>
          <w:rFonts w:cstheme="minorHAnsi"/>
          <w:sz w:val="36"/>
          <w:szCs w:val="36"/>
        </w:rPr>
        <w:t xml:space="preserve"> to HR Functions</w:t>
      </w:r>
      <w:r>
        <w:rPr>
          <w:rFonts w:cstheme="minorHAnsi"/>
          <w:sz w:val="36"/>
          <w:szCs w:val="36"/>
        </w:rPr>
        <w:t>)</w:t>
      </w:r>
    </w:p>
    <w:p w14:paraId="752F47CF" w14:textId="676FCA49" w:rsidR="00D935FA" w:rsidRDefault="00D935FA" w:rsidP="00D935FA">
      <w:pPr>
        <w:pStyle w:val="ListParagraph"/>
        <w:numPr>
          <w:ilvl w:val="0"/>
          <w:numId w:val="1"/>
        </w:numPr>
        <w:rPr>
          <w:rFonts w:cstheme="minorHAnsi"/>
          <w:sz w:val="36"/>
          <w:szCs w:val="36"/>
        </w:rPr>
      </w:pPr>
      <w:r w:rsidRPr="00D935FA">
        <w:rPr>
          <w:rFonts w:cstheme="minorHAnsi"/>
          <w:sz w:val="36"/>
          <w:szCs w:val="36"/>
        </w:rPr>
        <w:t>Organisation Application</w:t>
      </w:r>
      <w:r>
        <w:rPr>
          <w:rFonts w:cstheme="minorHAnsi"/>
          <w:sz w:val="36"/>
          <w:szCs w:val="36"/>
        </w:rPr>
        <w:t xml:space="preserve"> (</w:t>
      </w:r>
      <w:r w:rsidR="00141F9E" w:rsidRPr="00141F9E">
        <w:rPr>
          <w:rFonts w:cstheme="minorHAnsi"/>
          <w:sz w:val="36"/>
          <w:szCs w:val="36"/>
        </w:rPr>
        <w:t>Organisation</w:t>
      </w:r>
      <w:r w:rsidR="00141F9E">
        <w:rPr>
          <w:rFonts w:cstheme="minorHAnsi"/>
          <w:sz w:val="36"/>
          <w:szCs w:val="36"/>
        </w:rPr>
        <w:t>,</w:t>
      </w:r>
      <w:r w:rsidR="00141F9E" w:rsidRPr="00141F9E">
        <w:rPr>
          <w:rFonts w:cstheme="minorHAnsi"/>
          <w:sz w:val="36"/>
          <w:szCs w:val="36"/>
        </w:rPr>
        <w:t xml:space="preserve"> Introduction HR Practices</w:t>
      </w:r>
      <w:r w:rsidR="00141F9E">
        <w:rPr>
          <w:rFonts w:cstheme="minorHAnsi"/>
          <w:sz w:val="36"/>
          <w:szCs w:val="36"/>
        </w:rPr>
        <w:t>)</w:t>
      </w:r>
    </w:p>
    <w:p w14:paraId="676C829A" w14:textId="72DC98FC" w:rsidR="00D935FA" w:rsidRDefault="00D935FA" w:rsidP="00D935FA">
      <w:pPr>
        <w:pStyle w:val="ListParagraph"/>
        <w:numPr>
          <w:ilvl w:val="0"/>
          <w:numId w:val="1"/>
        </w:numPr>
        <w:rPr>
          <w:rFonts w:cstheme="minorHAnsi"/>
          <w:sz w:val="36"/>
          <w:szCs w:val="36"/>
        </w:rPr>
      </w:pPr>
      <w:r w:rsidRPr="00D935FA">
        <w:rPr>
          <w:rFonts w:cstheme="minorHAnsi"/>
          <w:sz w:val="36"/>
          <w:szCs w:val="36"/>
        </w:rPr>
        <w:t>Application of Model</w:t>
      </w:r>
      <w:r w:rsidR="00141F9E">
        <w:rPr>
          <w:rFonts w:cstheme="minorHAnsi"/>
          <w:sz w:val="36"/>
          <w:szCs w:val="36"/>
        </w:rPr>
        <w:t xml:space="preserve"> (</w:t>
      </w:r>
      <w:r w:rsidR="00141F9E" w:rsidRPr="00141F9E">
        <w:rPr>
          <w:rFonts w:cstheme="minorHAnsi"/>
          <w:sz w:val="36"/>
          <w:szCs w:val="36"/>
        </w:rPr>
        <w:t>Impact on Organisation</w:t>
      </w:r>
      <w:r w:rsidR="00141F9E">
        <w:rPr>
          <w:rFonts w:cstheme="minorHAnsi"/>
          <w:sz w:val="36"/>
          <w:szCs w:val="36"/>
        </w:rPr>
        <w:t>, Country</w:t>
      </w:r>
      <w:r w:rsidR="00141F9E" w:rsidRPr="00141F9E">
        <w:rPr>
          <w:rFonts w:cstheme="minorHAnsi"/>
          <w:sz w:val="36"/>
          <w:szCs w:val="36"/>
        </w:rPr>
        <w:t xml:space="preserve"> Differences</w:t>
      </w:r>
      <w:r w:rsidR="00141F9E">
        <w:rPr>
          <w:rFonts w:cstheme="minorHAnsi"/>
          <w:sz w:val="36"/>
          <w:szCs w:val="36"/>
        </w:rPr>
        <w:t>)</w:t>
      </w:r>
    </w:p>
    <w:p w14:paraId="1DC5933A" w14:textId="0A4F2A5C" w:rsidR="00141F9E" w:rsidRDefault="00D935FA" w:rsidP="00D935FA">
      <w:pPr>
        <w:pStyle w:val="ListParagraph"/>
        <w:numPr>
          <w:ilvl w:val="0"/>
          <w:numId w:val="1"/>
        </w:numPr>
        <w:rPr>
          <w:rFonts w:cstheme="minorHAnsi"/>
          <w:sz w:val="36"/>
          <w:szCs w:val="36"/>
        </w:rPr>
      </w:pPr>
      <w:r>
        <w:rPr>
          <w:rFonts w:cstheme="minorHAnsi"/>
          <w:sz w:val="36"/>
          <w:szCs w:val="36"/>
        </w:rPr>
        <w:t xml:space="preserve">Conclusion </w:t>
      </w:r>
    </w:p>
    <w:p w14:paraId="7548F0EA" w14:textId="28E4B928" w:rsidR="00D935FA" w:rsidRPr="0086640D" w:rsidRDefault="00141F9E" w:rsidP="007C1BA7">
      <w:pPr>
        <w:rPr>
          <w:rFonts w:cstheme="minorHAnsi"/>
          <w:sz w:val="32"/>
          <w:szCs w:val="32"/>
        </w:rPr>
      </w:pPr>
      <w:r>
        <w:rPr>
          <w:rFonts w:cstheme="minorHAnsi"/>
          <w:sz w:val="36"/>
          <w:szCs w:val="36"/>
        </w:rPr>
        <w:br w:type="page"/>
      </w:r>
      <w:r w:rsidRPr="0086640D">
        <w:rPr>
          <w:rFonts w:cstheme="minorHAnsi"/>
          <w:sz w:val="32"/>
          <w:szCs w:val="32"/>
        </w:rPr>
        <w:lastRenderedPageBreak/>
        <w:t>Introduction:</w:t>
      </w:r>
      <w:r w:rsidR="007C1BA7" w:rsidRPr="0086640D">
        <w:rPr>
          <w:rFonts w:cstheme="minorHAnsi"/>
          <w:sz w:val="32"/>
          <w:szCs w:val="32"/>
        </w:rPr>
        <w:t xml:space="preserve"> </w:t>
      </w:r>
      <w:r w:rsidR="007C1BA7" w:rsidRPr="0086640D">
        <w:rPr>
          <w:rFonts w:cstheme="minorHAnsi"/>
          <w:b/>
          <w:bCs/>
          <w:sz w:val="32"/>
          <w:szCs w:val="32"/>
        </w:rPr>
        <w:t>Identify key HR functions such as recruitment, training and development, performance management, and employee relations. Briefly explain why these functions are essential for the effective functioning of organisations</w:t>
      </w:r>
      <w:r w:rsidR="007C1BA7" w:rsidRPr="0086640D">
        <w:rPr>
          <w:rFonts w:cstheme="minorHAnsi"/>
          <w:sz w:val="32"/>
          <w:szCs w:val="32"/>
        </w:rPr>
        <w:t>.</w:t>
      </w:r>
    </w:p>
    <w:p w14:paraId="35368415" w14:textId="59D9949E" w:rsidR="00141F9E" w:rsidRPr="0086640D" w:rsidRDefault="00141F9E" w:rsidP="00141F9E">
      <w:pPr>
        <w:rPr>
          <w:rFonts w:cstheme="minorHAnsi"/>
          <w:sz w:val="32"/>
          <w:szCs w:val="32"/>
        </w:rPr>
      </w:pPr>
      <w:r w:rsidRPr="0086640D">
        <w:rPr>
          <w:rFonts w:cstheme="minorHAnsi"/>
          <w:b/>
          <w:bCs/>
          <w:sz w:val="32"/>
          <w:szCs w:val="32"/>
        </w:rPr>
        <w:t>Human resource (HR)</w:t>
      </w:r>
      <w:r w:rsidRPr="0086640D">
        <w:rPr>
          <w:rFonts w:cstheme="minorHAnsi"/>
          <w:sz w:val="32"/>
          <w:szCs w:val="32"/>
        </w:rPr>
        <w:t xml:space="preserve"> procedures are critical to the profitable growth of businesses because they guarantee employees are administered purposefully and morally. The recruitment and selection processes concentrate on magnetising and recruiting persons with the required abilities, expertise, and cultural match, which is crucial for accomplishing organisational goals while preserving efficiency (Armstrong, 2020).</w:t>
      </w:r>
      <w:r w:rsidR="007C1BA7" w:rsidRPr="0086640D">
        <w:rPr>
          <w:rFonts w:cstheme="minorHAnsi"/>
          <w:sz w:val="32"/>
          <w:szCs w:val="32"/>
        </w:rPr>
        <w:t xml:space="preserve"> </w:t>
      </w:r>
      <w:r w:rsidR="007C1BA7" w:rsidRPr="0086640D">
        <w:rPr>
          <w:rFonts w:cstheme="minorHAnsi"/>
          <w:b/>
          <w:bCs/>
          <w:sz w:val="32"/>
          <w:szCs w:val="32"/>
        </w:rPr>
        <w:t>Training and development</w:t>
      </w:r>
      <w:r w:rsidR="007C1BA7" w:rsidRPr="0086640D">
        <w:rPr>
          <w:rFonts w:cstheme="minorHAnsi"/>
          <w:sz w:val="32"/>
          <w:szCs w:val="32"/>
        </w:rPr>
        <w:t xml:space="preserve"> boost individuals' abilities via ongoing education, allowing companies to respond change, increase productivity, and maintain bright people by facilitating career advancement (Armstrong, 2020). </w:t>
      </w:r>
      <w:r w:rsidR="007C1BA7" w:rsidRPr="0086640D">
        <w:rPr>
          <w:rFonts w:cstheme="minorHAnsi"/>
          <w:b/>
          <w:bCs/>
          <w:sz w:val="32"/>
          <w:szCs w:val="32"/>
        </w:rPr>
        <w:t>Performance management</w:t>
      </w:r>
      <w:r w:rsidR="007C1BA7" w:rsidRPr="0086640D">
        <w:rPr>
          <w:rFonts w:cstheme="minorHAnsi"/>
          <w:sz w:val="32"/>
          <w:szCs w:val="32"/>
        </w:rPr>
        <w:t xml:space="preserve"> is establishing specific targets, evaluating achievements, and offering evaluation to match individual achievement with corporate objectives, hence boosting responsibility and incentive (Bratton &amp; Gold, 2017). </w:t>
      </w:r>
      <w:r w:rsidR="007C1BA7" w:rsidRPr="0086640D">
        <w:rPr>
          <w:rFonts w:cstheme="minorHAnsi"/>
          <w:b/>
          <w:bCs/>
          <w:sz w:val="32"/>
          <w:szCs w:val="32"/>
        </w:rPr>
        <w:t>Employee relations</w:t>
      </w:r>
      <w:r w:rsidR="007C1BA7" w:rsidRPr="0086640D">
        <w:rPr>
          <w:rFonts w:cstheme="minorHAnsi"/>
          <w:sz w:val="32"/>
          <w:szCs w:val="32"/>
        </w:rPr>
        <w:t xml:space="preserve"> strive to establish healthy connections among both employers and staff by controlling interaction, resolving issues, and guaranteeing equal opportunity, all of which lead to increased morale, engagement, and retention (Dessler, 2020). These HR activities assist corporations in developing enthusiastic and capable staff, reducing workplace friction and attrition, and maintaining sustained organisational viability in a competitive climate.</w:t>
      </w:r>
    </w:p>
    <w:p w14:paraId="3B870EAF" w14:textId="044FA6DC" w:rsidR="007C1BA7" w:rsidRPr="0086640D" w:rsidRDefault="007C1BA7" w:rsidP="00141F9E">
      <w:pPr>
        <w:rPr>
          <w:rFonts w:cstheme="minorHAnsi"/>
          <w:sz w:val="32"/>
          <w:szCs w:val="32"/>
        </w:rPr>
      </w:pPr>
    </w:p>
    <w:p w14:paraId="5DB9C78F" w14:textId="77777777" w:rsidR="007C1BA7" w:rsidRPr="0086640D" w:rsidRDefault="007C1BA7">
      <w:pPr>
        <w:rPr>
          <w:rFonts w:cstheme="minorHAnsi"/>
          <w:sz w:val="32"/>
          <w:szCs w:val="32"/>
        </w:rPr>
      </w:pPr>
      <w:r w:rsidRPr="0086640D">
        <w:rPr>
          <w:rFonts w:cstheme="minorHAnsi"/>
          <w:sz w:val="32"/>
          <w:szCs w:val="32"/>
        </w:rPr>
        <w:t xml:space="preserve">Internal and External Environment </w:t>
      </w:r>
    </w:p>
    <w:p w14:paraId="4611FC8F" w14:textId="77777777" w:rsidR="001123EF" w:rsidRPr="0086640D" w:rsidRDefault="007C1BA7">
      <w:pPr>
        <w:rPr>
          <w:rFonts w:cstheme="minorHAnsi"/>
          <w:b/>
          <w:bCs/>
          <w:sz w:val="32"/>
          <w:szCs w:val="32"/>
        </w:rPr>
      </w:pPr>
      <w:r w:rsidRPr="0086640D">
        <w:rPr>
          <w:rFonts w:cstheme="minorHAnsi"/>
          <w:b/>
          <w:bCs/>
          <w:sz w:val="32"/>
          <w:szCs w:val="32"/>
        </w:rPr>
        <w:t xml:space="preserve">Business Environment Model: Choose a relevant business environment model (e.g., PESTLE, SWOT, Porter's Five Forces). Explain the model's usefulness in understanding the business environment and its limitations </w:t>
      </w:r>
    </w:p>
    <w:p w14:paraId="5BD543BE" w14:textId="77777777" w:rsidR="001123EF" w:rsidRPr="0086640D" w:rsidRDefault="001123EF">
      <w:pPr>
        <w:rPr>
          <w:rFonts w:cstheme="minorHAnsi"/>
          <w:sz w:val="32"/>
          <w:szCs w:val="32"/>
        </w:rPr>
      </w:pPr>
    </w:p>
    <w:p w14:paraId="3806B4F5" w14:textId="3D8F2C17" w:rsidR="00D436F9" w:rsidRDefault="001123EF">
      <w:pPr>
        <w:rPr>
          <w:rFonts w:cstheme="minorHAnsi"/>
          <w:sz w:val="32"/>
          <w:szCs w:val="32"/>
        </w:rPr>
      </w:pPr>
      <w:r w:rsidRPr="0086640D">
        <w:rPr>
          <w:rFonts w:cstheme="minorHAnsi"/>
          <w:sz w:val="32"/>
          <w:szCs w:val="32"/>
        </w:rPr>
        <w:t>Porter's Five Forces is a strategy structure for analysing a business's competitive context by focussing on five fundamental forces: rivalry among competitors, supplier and buyer negotiating power, threat of new entrants, and danger of substitutes (Forbes Advisor, 2025). The concept is valuable due to how it assists businesses comprehend the basic components that influence competitiveness and profitability. Businesses may evaluate these factors to determine sector popularity, determine competitive possibilities as well as risks, while making educated decisions regarding positioning, market entrance, costing, and resource allocation. Understanding substantial buyer power, for example, might motivate a business to distinguish its product to decrease the impact of prices, whereas acknowledging strong supplier influence could result in supply source heterogeneity to reduce risk (Forbes Advisor, 2025; VCMO, 2025).</w:t>
      </w:r>
    </w:p>
    <w:p w14:paraId="39136D7E" w14:textId="77777777" w:rsidR="0086640D" w:rsidRDefault="0086640D">
      <w:pPr>
        <w:rPr>
          <w:rFonts w:cstheme="minorHAnsi"/>
          <w:sz w:val="32"/>
          <w:szCs w:val="32"/>
        </w:rPr>
      </w:pPr>
    </w:p>
    <w:p w14:paraId="22ABC4CD" w14:textId="77777777" w:rsidR="0086640D" w:rsidRPr="0086640D" w:rsidRDefault="0086640D">
      <w:pPr>
        <w:rPr>
          <w:rFonts w:cstheme="minorHAnsi"/>
          <w:sz w:val="32"/>
          <w:szCs w:val="32"/>
        </w:rPr>
      </w:pPr>
    </w:p>
    <w:p w14:paraId="10435BD9" w14:textId="77777777" w:rsidR="00D436F9" w:rsidRPr="0086640D" w:rsidRDefault="00D436F9">
      <w:pPr>
        <w:rPr>
          <w:rFonts w:cstheme="minorHAnsi"/>
          <w:sz w:val="32"/>
          <w:szCs w:val="32"/>
        </w:rPr>
      </w:pPr>
    </w:p>
    <w:p w14:paraId="7DF1997F" w14:textId="3306E8A5" w:rsidR="00AB34AC" w:rsidRPr="0086640D" w:rsidRDefault="00D436F9">
      <w:pPr>
        <w:rPr>
          <w:rFonts w:cstheme="minorHAnsi"/>
          <w:sz w:val="32"/>
          <w:szCs w:val="32"/>
        </w:rPr>
      </w:pPr>
      <w:r w:rsidRPr="0086640D">
        <w:rPr>
          <w:rFonts w:cstheme="minorHAnsi"/>
          <w:sz w:val="32"/>
          <w:szCs w:val="32"/>
        </w:rPr>
        <w:t xml:space="preserve">Despite its widespread use, the model exhibits several limitations that constrain its relevance in contemporary business environments. A primary limitation is its static perspective, as it offers only a snapshot of competitive forces at a specific moment and may not adequately reflect rapid changes resulting from technological innovation, globalisation, or evolving consumer preferences (Smart Life Skills, 2025; KnowWhatIs.com, 2025). Furthermore, Porter’s framework emphasizes external industry forces and may neglect internal firm resources and capabilities that are essential for achieving competitive advantage. The model also presumes clearly defined industry boundaries, which is increasingly problematic in digital economies </w:t>
      </w:r>
      <w:r w:rsidR="0086640D" w:rsidRPr="0086640D">
        <w:rPr>
          <w:rFonts w:cstheme="minorHAnsi"/>
          <w:sz w:val="32"/>
          <w:szCs w:val="32"/>
        </w:rPr>
        <w:t>were</w:t>
      </w:r>
      <w:r w:rsidRPr="0086640D">
        <w:rPr>
          <w:rFonts w:cstheme="minorHAnsi"/>
          <w:sz w:val="32"/>
          <w:szCs w:val="32"/>
        </w:rPr>
        <w:t xml:space="preserve"> platforms and ecosystems obscure traditional sector </w:t>
      </w:r>
      <w:r w:rsidR="0086640D" w:rsidRPr="0086640D">
        <w:rPr>
          <w:rFonts w:cstheme="minorHAnsi"/>
          <w:sz w:val="32"/>
          <w:szCs w:val="32"/>
        </w:rPr>
        <w:t>distinctions. Consequently</w:t>
      </w:r>
      <w:r w:rsidRPr="0086640D">
        <w:rPr>
          <w:rFonts w:cstheme="minorHAnsi"/>
          <w:sz w:val="32"/>
          <w:szCs w:val="32"/>
        </w:rPr>
        <w:t xml:space="preserve">, although Porter’s Five Forces </w:t>
      </w:r>
      <w:r w:rsidRPr="0086640D">
        <w:rPr>
          <w:rFonts w:cstheme="minorHAnsi"/>
          <w:sz w:val="32"/>
          <w:szCs w:val="32"/>
        </w:rPr>
        <w:lastRenderedPageBreak/>
        <w:t xml:space="preserve">remains a foundational tool for competition analysis, it is most effective when integrated with other analytical approaches and adapted to dynamic market conditions. </w:t>
      </w:r>
    </w:p>
    <w:p w14:paraId="0E35E58B" w14:textId="77777777" w:rsidR="00AB34AC" w:rsidRPr="0086640D" w:rsidRDefault="00AB34AC">
      <w:pPr>
        <w:rPr>
          <w:rFonts w:cstheme="minorHAnsi"/>
          <w:sz w:val="32"/>
          <w:szCs w:val="32"/>
        </w:rPr>
      </w:pPr>
    </w:p>
    <w:p w14:paraId="3E25161F" w14:textId="77777777" w:rsidR="00AB34AC" w:rsidRPr="0086640D" w:rsidRDefault="00AB34AC">
      <w:pPr>
        <w:rPr>
          <w:rFonts w:cstheme="minorHAnsi"/>
          <w:sz w:val="32"/>
          <w:szCs w:val="32"/>
        </w:rPr>
      </w:pPr>
    </w:p>
    <w:p w14:paraId="1C933B60" w14:textId="77777777" w:rsidR="00AB34AC" w:rsidRPr="0086640D" w:rsidRDefault="00AB34AC">
      <w:pPr>
        <w:rPr>
          <w:rFonts w:cstheme="minorHAnsi"/>
          <w:sz w:val="32"/>
          <w:szCs w:val="32"/>
        </w:rPr>
      </w:pPr>
    </w:p>
    <w:p w14:paraId="65C440FE" w14:textId="77777777" w:rsidR="00AB34AC" w:rsidRPr="0086640D" w:rsidRDefault="00AB34AC">
      <w:pPr>
        <w:rPr>
          <w:rFonts w:cstheme="minorHAnsi"/>
          <w:b/>
          <w:bCs/>
          <w:sz w:val="32"/>
          <w:szCs w:val="32"/>
        </w:rPr>
      </w:pPr>
      <w:r w:rsidRPr="0086640D">
        <w:rPr>
          <w:rFonts w:cstheme="minorHAnsi"/>
          <w:b/>
          <w:bCs/>
          <w:sz w:val="32"/>
          <w:szCs w:val="32"/>
        </w:rPr>
        <w:t xml:space="preserve">Link to HR Functions: Discuss how the chosen model can be linked to HR functions, highlighting how internal and external factors influence HR practices. </w:t>
      </w:r>
    </w:p>
    <w:p w14:paraId="1A96132D" w14:textId="77777777" w:rsidR="00AB34AC" w:rsidRPr="0086640D" w:rsidRDefault="00AB34AC">
      <w:pPr>
        <w:rPr>
          <w:rFonts w:cstheme="minorHAnsi"/>
          <w:sz w:val="32"/>
          <w:szCs w:val="32"/>
        </w:rPr>
      </w:pPr>
    </w:p>
    <w:p w14:paraId="5C153124" w14:textId="77777777" w:rsidR="005A33F0" w:rsidRPr="0086640D" w:rsidRDefault="00AB34AC" w:rsidP="00AB34AC">
      <w:pPr>
        <w:rPr>
          <w:rFonts w:cstheme="minorHAnsi"/>
          <w:sz w:val="32"/>
          <w:szCs w:val="32"/>
        </w:rPr>
      </w:pPr>
      <w:r w:rsidRPr="0086640D">
        <w:rPr>
          <w:rFonts w:cstheme="minorHAnsi"/>
          <w:sz w:val="32"/>
          <w:szCs w:val="32"/>
        </w:rPr>
        <w:t xml:space="preserve">Porter's Five Forces approach is also relevant to HR activities since it emphasises other rivalries that affect organisational planning, which in turn influences how HR operates inside. The approach examines rivalry among vendors, supplier and buyer negotiating power, risks from new entrants and substitutes, and other forces that influence an organization's strategic objectives and, as a result, personnel requirements (Porter's Five Forces framework). For example, in industries with fierce competition or significant purchasing power, businesses might have to spend more in attracting and keeping employees to uphold excellent productivity and client service expectations, making recruiting and training essential HR objectives. Similarly, risks from competitors might prompt HR to concentrate on employer image and development programs to make the business a more appealing place to work than rivals. In human resource terminology, supplier bargaining power may also apply to the personnel market: when skilled people are in limited supply, HR must modify salary, training, and professional growth initiatives to attract and retain talent. Linking Five Forces to HR demonstrates how external influences affect internal HR processes. (Armstrong, 2020). External competitive dynamics affect the skills and behaviours </w:t>
      </w:r>
      <w:r w:rsidRPr="0086640D">
        <w:rPr>
          <w:rFonts w:cstheme="minorHAnsi"/>
          <w:sz w:val="32"/>
          <w:szCs w:val="32"/>
        </w:rPr>
        <w:lastRenderedPageBreak/>
        <w:t xml:space="preserve">required for strategic achievement, influencing HR strategy, employee growth, and achievement monitoring. Additionally, within managerial variables such as environment, management, and current employee abilities influence how well HR can cope with external circumstances, ensuring consistency between company objectives and HR practices. (Bratton &amp; Gold, 2017). </w:t>
      </w:r>
    </w:p>
    <w:p w14:paraId="2BB48FEB" w14:textId="77777777" w:rsidR="005A33F0" w:rsidRPr="0086640D" w:rsidRDefault="005A33F0" w:rsidP="00AB34AC">
      <w:pPr>
        <w:rPr>
          <w:rFonts w:cstheme="minorHAnsi"/>
          <w:sz w:val="32"/>
          <w:szCs w:val="32"/>
        </w:rPr>
      </w:pPr>
    </w:p>
    <w:p w14:paraId="4182F323" w14:textId="77777777" w:rsidR="005A33F0" w:rsidRPr="0086640D" w:rsidRDefault="005A33F0" w:rsidP="00AB34AC">
      <w:pPr>
        <w:rPr>
          <w:rFonts w:cstheme="minorHAnsi"/>
          <w:sz w:val="32"/>
          <w:szCs w:val="32"/>
        </w:rPr>
      </w:pPr>
      <w:r w:rsidRPr="0086640D">
        <w:rPr>
          <w:rFonts w:cstheme="minorHAnsi"/>
          <w:sz w:val="32"/>
          <w:szCs w:val="32"/>
        </w:rPr>
        <w:t xml:space="preserve">Organisation Application </w:t>
      </w:r>
    </w:p>
    <w:p w14:paraId="2DEC143E" w14:textId="77777777" w:rsidR="005A33F0" w:rsidRPr="0086640D" w:rsidRDefault="005A33F0" w:rsidP="005A33F0">
      <w:pPr>
        <w:rPr>
          <w:rFonts w:cstheme="minorHAnsi"/>
          <w:b/>
          <w:bCs/>
          <w:sz w:val="32"/>
          <w:szCs w:val="32"/>
        </w:rPr>
      </w:pPr>
      <w:r w:rsidRPr="0086640D">
        <w:rPr>
          <w:rFonts w:cstheme="minorHAnsi"/>
          <w:b/>
          <w:bCs/>
          <w:sz w:val="32"/>
          <w:szCs w:val="32"/>
        </w:rPr>
        <w:t xml:space="preserve">Organisation Introduction: Introduce a global organisation that operates in more than one country. Provide a brief overview of the organisation's operations and its global presence. </w:t>
      </w:r>
    </w:p>
    <w:p w14:paraId="7F7576C6" w14:textId="77777777" w:rsidR="005A33F0" w:rsidRPr="0086640D" w:rsidRDefault="005A33F0" w:rsidP="005A33F0">
      <w:pPr>
        <w:rPr>
          <w:rFonts w:cstheme="minorHAnsi"/>
          <w:sz w:val="32"/>
          <w:szCs w:val="32"/>
        </w:rPr>
      </w:pPr>
    </w:p>
    <w:p w14:paraId="2FE16E9D" w14:textId="428D6423" w:rsidR="005D4F70" w:rsidRPr="0086640D" w:rsidRDefault="005D4F70" w:rsidP="005A33F0">
      <w:pPr>
        <w:rPr>
          <w:rFonts w:cstheme="minorHAnsi"/>
          <w:sz w:val="32"/>
          <w:szCs w:val="32"/>
        </w:rPr>
      </w:pPr>
      <w:r w:rsidRPr="0086640D">
        <w:rPr>
          <w:rFonts w:cstheme="minorHAnsi"/>
          <w:sz w:val="32"/>
          <w:szCs w:val="32"/>
        </w:rPr>
        <w:t>Unilever PLC is a British Dutch transnational merchandise firm with operations in over 190 countries and a global workforce of over 149,000 people. The corporation manufactures and sells a diverse variety of goods in the food and beverage, health and residential care, and cosmetics and health care areas, featuring popular brands featuring Dove, Lipton, and Persil (Unilever, 2025). Unilever has a significant worldwide footprint, with production facilities, R&amp;D centres, and shipping infrastructures ideally placed in Europe, Asia, Africa, and the Americas to suit the different regional customer demands (Statista, 2025). Its worldwide subsidiaries allow it to harness efficiencies of scale while customising items to local markets, strengthening its position as a major international consumer goods firm.</w:t>
      </w:r>
    </w:p>
    <w:p w14:paraId="7EC0F160" w14:textId="61F4D088" w:rsidR="007C1BA7" w:rsidRDefault="007C1BA7" w:rsidP="005A33F0">
      <w:pPr>
        <w:rPr>
          <w:rFonts w:cstheme="minorHAnsi"/>
          <w:sz w:val="32"/>
          <w:szCs w:val="32"/>
        </w:rPr>
      </w:pPr>
    </w:p>
    <w:p w14:paraId="32136BCF" w14:textId="77777777" w:rsidR="0086640D" w:rsidRDefault="0086640D" w:rsidP="005A33F0">
      <w:pPr>
        <w:rPr>
          <w:rFonts w:cstheme="minorHAnsi"/>
          <w:sz w:val="32"/>
          <w:szCs w:val="32"/>
        </w:rPr>
      </w:pPr>
    </w:p>
    <w:p w14:paraId="79DA915A" w14:textId="77777777" w:rsidR="0086640D" w:rsidRDefault="0086640D" w:rsidP="005A33F0">
      <w:pPr>
        <w:rPr>
          <w:rFonts w:cstheme="minorHAnsi"/>
          <w:sz w:val="32"/>
          <w:szCs w:val="32"/>
        </w:rPr>
      </w:pPr>
    </w:p>
    <w:p w14:paraId="1B242B33" w14:textId="77777777" w:rsidR="0086640D" w:rsidRPr="0086640D" w:rsidRDefault="0086640D" w:rsidP="005A33F0">
      <w:pPr>
        <w:rPr>
          <w:rFonts w:cstheme="minorHAnsi"/>
          <w:sz w:val="32"/>
          <w:szCs w:val="32"/>
        </w:rPr>
      </w:pPr>
    </w:p>
    <w:p w14:paraId="2AC28AB2" w14:textId="5479FFA4" w:rsidR="007C1BA7" w:rsidRPr="0086640D" w:rsidRDefault="005D4F70" w:rsidP="00141F9E">
      <w:pPr>
        <w:rPr>
          <w:rFonts w:cstheme="minorHAnsi"/>
          <w:b/>
          <w:bCs/>
          <w:sz w:val="32"/>
          <w:szCs w:val="32"/>
        </w:rPr>
      </w:pPr>
      <w:r w:rsidRPr="0086640D">
        <w:rPr>
          <w:rFonts w:cstheme="minorHAnsi"/>
          <w:b/>
          <w:bCs/>
          <w:sz w:val="32"/>
          <w:szCs w:val="32"/>
        </w:rPr>
        <w:lastRenderedPageBreak/>
        <w:t>HR Practices: Describe the organisation's HR practices, focusing on how they manage recruitment, training, performance management, and employee relations across different countries.</w:t>
      </w:r>
    </w:p>
    <w:p w14:paraId="793349B1" w14:textId="77777777" w:rsidR="005D4F70" w:rsidRPr="0086640D" w:rsidRDefault="005D4F70" w:rsidP="00141F9E">
      <w:pPr>
        <w:rPr>
          <w:rFonts w:cstheme="minorHAnsi"/>
          <w:sz w:val="32"/>
          <w:szCs w:val="32"/>
        </w:rPr>
      </w:pPr>
    </w:p>
    <w:p w14:paraId="54F6ED22" w14:textId="38AF582D" w:rsidR="005D4F70" w:rsidRPr="0086640D" w:rsidRDefault="002F08E0" w:rsidP="00141F9E">
      <w:pPr>
        <w:rPr>
          <w:rFonts w:cstheme="minorHAnsi"/>
          <w:sz w:val="32"/>
          <w:szCs w:val="32"/>
        </w:rPr>
      </w:pPr>
      <w:r w:rsidRPr="0086640D">
        <w:rPr>
          <w:rFonts w:cstheme="minorHAnsi"/>
          <w:sz w:val="32"/>
          <w:szCs w:val="32"/>
        </w:rPr>
        <w:t xml:space="preserve">Unilever's human resources strategies use organised and strategic processes to handle recruiting, training, performance management, and employee interactions across all its global businesses. Unilever Careers (2025) focusses on attracting talent and employer recognition to draw a variety of highly qualified people globally, especially students along with seasoned professionals, through global programs that link recruiting with business objectives. HR promotes training and development through global learning programs and career paths that improve leadership and future capabilities among geographies (Unilever Careers, 2025). Unilever's performance oversight is meant to link personal objectives with organisational strategy, with frequent assessments and criticism to drive high performance internationally (studocu.vn). Unilever promotes fairness and cooperation across borders through inclusive ways to communicate, engagement surveys, and employee voice platforms (Smart Life Skills, 2025). This integrated strategy guarantees that HR policies not only adhere to local </w:t>
      </w:r>
      <w:r w:rsidR="007E08E1" w:rsidRPr="0086640D">
        <w:rPr>
          <w:rFonts w:cstheme="minorHAnsi"/>
          <w:sz w:val="32"/>
          <w:szCs w:val="32"/>
        </w:rPr>
        <w:t>conditions but</w:t>
      </w:r>
      <w:r w:rsidRPr="0086640D">
        <w:rPr>
          <w:rFonts w:cstheme="minorHAnsi"/>
          <w:sz w:val="32"/>
          <w:szCs w:val="32"/>
        </w:rPr>
        <w:t xml:space="preserve"> also promote a consistent worldwide attitude and corporate objectives.</w:t>
      </w:r>
    </w:p>
    <w:p w14:paraId="59045A61" w14:textId="77777777" w:rsidR="007C1BA7" w:rsidRPr="0086640D" w:rsidRDefault="007C1BA7">
      <w:pPr>
        <w:rPr>
          <w:rFonts w:cstheme="minorHAnsi"/>
          <w:sz w:val="32"/>
          <w:szCs w:val="32"/>
        </w:rPr>
      </w:pPr>
      <w:r w:rsidRPr="0086640D">
        <w:rPr>
          <w:rFonts w:cstheme="minorHAnsi"/>
          <w:sz w:val="32"/>
          <w:szCs w:val="32"/>
        </w:rPr>
        <w:br w:type="page"/>
      </w:r>
    </w:p>
    <w:p w14:paraId="4D2469BC" w14:textId="02013905" w:rsidR="007C1BA7" w:rsidRPr="0086640D" w:rsidRDefault="002F08E0" w:rsidP="00141F9E">
      <w:pPr>
        <w:rPr>
          <w:rFonts w:cstheme="minorHAnsi"/>
          <w:sz w:val="32"/>
          <w:szCs w:val="32"/>
        </w:rPr>
      </w:pPr>
      <w:r w:rsidRPr="0086640D">
        <w:rPr>
          <w:rFonts w:cstheme="minorHAnsi"/>
          <w:sz w:val="32"/>
          <w:szCs w:val="32"/>
        </w:rPr>
        <w:lastRenderedPageBreak/>
        <w:t>Application of Model</w:t>
      </w:r>
    </w:p>
    <w:p w14:paraId="48F49113" w14:textId="1D9053DB" w:rsidR="002F08E0" w:rsidRPr="0086640D" w:rsidRDefault="002F08E0" w:rsidP="00141F9E">
      <w:pPr>
        <w:rPr>
          <w:rFonts w:cstheme="minorHAnsi"/>
          <w:b/>
          <w:bCs/>
          <w:sz w:val="32"/>
          <w:szCs w:val="32"/>
        </w:rPr>
      </w:pPr>
      <w:r w:rsidRPr="0086640D">
        <w:rPr>
          <w:rFonts w:cstheme="minorHAnsi"/>
          <w:b/>
          <w:bCs/>
          <w:sz w:val="32"/>
          <w:szCs w:val="32"/>
        </w:rPr>
        <w:t>Impact on Organisation: Explain how the chosen business environment model impacts the organisation's HR practices. Discuss how internal and external environmental factors influence HR managers' effectiveness.</w:t>
      </w:r>
    </w:p>
    <w:p w14:paraId="5E6DF75C" w14:textId="77777777" w:rsidR="002F08E0" w:rsidRPr="0086640D" w:rsidRDefault="002F08E0" w:rsidP="00141F9E">
      <w:pPr>
        <w:rPr>
          <w:rFonts w:cstheme="minorHAnsi"/>
          <w:sz w:val="32"/>
          <w:szCs w:val="32"/>
        </w:rPr>
      </w:pPr>
    </w:p>
    <w:p w14:paraId="49FF583A" w14:textId="1694B51D" w:rsidR="002333E9" w:rsidRPr="0086640D" w:rsidRDefault="002F08E0" w:rsidP="00141F9E">
      <w:pPr>
        <w:rPr>
          <w:rFonts w:cstheme="minorHAnsi"/>
          <w:sz w:val="32"/>
          <w:szCs w:val="32"/>
        </w:rPr>
      </w:pPr>
      <w:r w:rsidRPr="0086640D">
        <w:rPr>
          <w:rFonts w:cstheme="minorHAnsi"/>
          <w:sz w:val="32"/>
          <w:szCs w:val="32"/>
        </w:rPr>
        <w:t xml:space="preserve">By influencing strategic workforce priorities and reactions to internal as well as external environmental factors, Porter's Five Forces framework, which examines competitive forces like competition in the industry, danger from new competitors, the power of vendors and consumers, and risk of alternatives, has a substantial impact on an organization's HR practices. HR managers' choices about hiring, retaining, and developing personnel are influenced by the level of industry competition. For instance, in times of intense competition, organisations need to draw in and keep top talent </w:t>
      </w:r>
      <w:r w:rsidR="002037EB" w:rsidRPr="0086640D">
        <w:rPr>
          <w:rFonts w:cstheme="minorHAnsi"/>
          <w:sz w:val="32"/>
          <w:szCs w:val="32"/>
        </w:rPr>
        <w:t>to</w:t>
      </w:r>
      <w:r w:rsidRPr="0086640D">
        <w:rPr>
          <w:rFonts w:cstheme="minorHAnsi"/>
          <w:sz w:val="32"/>
          <w:szCs w:val="32"/>
        </w:rPr>
        <w:t xml:space="preserve"> innovate and produce high-quality work; this frequently necessitates HR creating competitive recruitment campaigns, customised compensation plans, and comprehensive training programs to develop critical capabilities (Porter's Five Forces theoretical adaptation to HR).</w:t>
      </w:r>
      <w:r w:rsidR="002037EB" w:rsidRPr="0086640D">
        <w:rPr>
          <w:rFonts w:cstheme="minorHAnsi"/>
          <w:sz w:val="32"/>
          <w:szCs w:val="32"/>
        </w:rPr>
        <w:t xml:space="preserve"> HR effectiveness is also impacted by outside variables including the state of the economy, the dynamics of the labour market, laws, and advancements in technology. Legislative settings demand HR to guarantee that employees comply with labour regulations and workplace norms across nations, while economic downturns or vacant positions may drive HR to modify recruiting efforts, halt hiring, or restructure perks to retain employer appeal (SLM, 2025). To ensure that employees have the skills required to promote organisational competitiveness, HR must invest in digital technologies for recruiting, performance management, and educational platforms due to technological improvements (SLM, 2025). HR's internal response to these and other demands from outside is influenced by company culture, strategy, and leadership. HR can emphasise worker </w:t>
      </w:r>
      <w:r w:rsidR="002037EB" w:rsidRPr="0086640D">
        <w:rPr>
          <w:rFonts w:cstheme="minorHAnsi"/>
          <w:sz w:val="32"/>
          <w:szCs w:val="32"/>
        </w:rPr>
        <w:lastRenderedPageBreak/>
        <w:t>abilities that contribute to corporate objectives by using a clear business strategy that is in line with Porter's analysis. For example, an emphasis on creativity may lead HR to offer ongoing learning and development programs that improve skills necessary for future advancement (Elms, 2025). Similarly, HR may put in place performance management methods that inspire workers and promote resilience in changing situations thanks to a supportive corporate culture. HR's ability to successfully execute strategic objectives is influenced by internal elements including organisational framework and funding, which also affect its ability to adjust to competitive dynamics (Elms, 2025)</w:t>
      </w:r>
    </w:p>
    <w:p w14:paraId="6982DB5C" w14:textId="77777777" w:rsidR="002333E9" w:rsidRPr="0086640D" w:rsidRDefault="002333E9" w:rsidP="00141F9E">
      <w:pPr>
        <w:rPr>
          <w:rFonts w:cstheme="minorHAnsi"/>
          <w:sz w:val="32"/>
          <w:szCs w:val="32"/>
        </w:rPr>
      </w:pPr>
    </w:p>
    <w:p w14:paraId="41689A3E" w14:textId="77777777" w:rsidR="002333E9" w:rsidRPr="0086640D" w:rsidRDefault="002333E9" w:rsidP="00141F9E">
      <w:pPr>
        <w:rPr>
          <w:rFonts w:cstheme="minorHAnsi"/>
          <w:b/>
          <w:bCs/>
          <w:sz w:val="32"/>
          <w:szCs w:val="32"/>
        </w:rPr>
      </w:pPr>
    </w:p>
    <w:p w14:paraId="3DA771E8" w14:textId="16E2A626" w:rsidR="002333E9" w:rsidRPr="0086640D" w:rsidRDefault="002333E9" w:rsidP="00141F9E">
      <w:pPr>
        <w:rPr>
          <w:rFonts w:cstheme="minorHAnsi"/>
          <w:b/>
          <w:bCs/>
          <w:sz w:val="32"/>
          <w:szCs w:val="32"/>
        </w:rPr>
      </w:pPr>
      <w:r w:rsidRPr="0086640D">
        <w:rPr>
          <w:rFonts w:cstheme="minorHAnsi"/>
          <w:b/>
          <w:bCs/>
          <w:sz w:val="32"/>
          <w:szCs w:val="32"/>
        </w:rPr>
        <w:t>Country Differences: Evaluate the differences in the impact of these environmental forces due to variations in country-specific factors such as culture, legal regulations, and economic conditions.</w:t>
      </w:r>
    </w:p>
    <w:p w14:paraId="6337F874" w14:textId="6E191263" w:rsidR="002333E9" w:rsidRPr="0086640D" w:rsidRDefault="002333E9" w:rsidP="00141F9E">
      <w:pPr>
        <w:rPr>
          <w:rFonts w:cstheme="minorHAnsi"/>
          <w:sz w:val="32"/>
          <w:szCs w:val="32"/>
        </w:rPr>
      </w:pPr>
      <w:r w:rsidRPr="0086640D">
        <w:rPr>
          <w:rFonts w:cstheme="minorHAnsi"/>
          <w:sz w:val="32"/>
          <w:szCs w:val="32"/>
        </w:rPr>
        <w:t>The way that environmental influences affect HR practices in large companies is greatly influenced by country-specific elements including culture, laws, and economic situations. Employee values, beliefs, and workplace behaviours are shaped by national culture, which has an impact on hiring, training, and performance management strategies. For instance, hierarchical structures and team-oriented practices may be more successful in societies with a great deal of power distance or collaborative perspectives, while individualistic cultures may place a higher value on autonomy and individual performance rewards, necessitating that HR modify performance appraisal systems appropriately (</w:t>
      </w:r>
      <w:proofErr w:type="spellStart"/>
      <w:r w:rsidRPr="0086640D">
        <w:rPr>
          <w:rFonts w:cstheme="minorHAnsi"/>
          <w:sz w:val="32"/>
          <w:szCs w:val="32"/>
        </w:rPr>
        <w:t>Ojakorotu</w:t>
      </w:r>
      <w:proofErr w:type="spellEnd"/>
      <w:r w:rsidRPr="0086640D">
        <w:rPr>
          <w:rFonts w:cstheme="minorHAnsi"/>
          <w:sz w:val="32"/>
          <w:szCs w:val="32"/>
        </w:rPr>
        <w:t xml:space="preserve">, 2024; Hofstede's cultural dimensions). Agreements, hours of work, rights for staff, advantages, and termination processes are just a few of the many legal and regulatory frameworks that place different demands on HRM practices. To avoid fines and preserve their validity, </w:t>
      </w:r>
      <w:r w:rsidRPr="0086640D">
        <w:rPr>
          <w:rFonts w:cstheme="minorHAnsi"/>
          <w:sz w:val="32"/>
          <w:szCs w:val="32"/>
        </w:rPr>
        <w:lastRenderedPageBreak/>
        <w:t>multinational corporations must abide by the labour laws of each host countries, which may limit the transfer of uniform HR practices from the parent company. For example, constitutional nations frequently have different regulatory standards than civil law systems, which affects the strictness of labour laws and how HR organises hiring and employee relations programs (SLM, 2025; culture, legal history, and labour regulation study). Variation is also caused by economic factors such as workforce structure, unemployment rates, living expenses, and levels of economic development. While HR managers may prioritise cost-effective development and flexible hiring techniques in emerging nations to meet financial restrictions, they may use competitive remuneration and extensive training in established nations with limited hiring markets to entice expertise. (Hive College, 2025)</w:t>
      </w:r>
    </w:p>
    <w:p w14:paraId="36DC291C" w14:textId="77777777" w:rsidR="002333E9" w:rsidRPr="0086640D" w:rsidRDefault="002333E9" w:rsidP="00141F9E">
      <w:pPr>
        <w:rPr>
          <w:rFonts w:cstheme="minorHAnsi"/>
          <w:sz w:val="32"/>
          <w:szCs w:val="32"/>
        </w:rPr>
      </w:pPr>
    </w:p>
    <w:p w14:paraId="5FE23686" w14:textId="65947C5F" w:rsidR="0086640D" w:rsidRPr="0086640D" w:rsidRDefault="0086640D" w:rsidP="00141F9E">
      <w:pPr>
        <w:rPr>
          <w:rFonts w:cstheme="minorHAnsi"/>
          <w:sz w:val="32"/>
          <w:szCs w:val="32"/>
        </w:rPr>
      </w:pPr>
    </w:p>
    <w:p w14:paraId="0C7444D2" w14:textId="77777777" w:rsidR="0086640D" w:rsidRPr="0086640D" w:rsidRDefault="0086640D">
      <w:pPr>
        <w:rPr>
          <w:rFonts w:cstheme="minorHAnsi"/>
          <w:sz w:val="32"/>
          <w:szCs w:val="32"/>
        </w:rPr>
      </w:pPr>
      <w:r w:rsidRPr="0086640D">
        <w:rPr>
          <w:rFonts w:cstheme="minorHAnsi"/>
          <w:sz w:val="32"/>
          <w:szCs w:val="32"/>
        </w:rPr>
        <w:br w:type="page"/>
      </w:r>
    </w:p>
    <w:p w14:paraId="04DE7754" w14:textId="7BEDD39A" w:rsidR="002333E9" w:rsidRPr="0086640D" w:rsidRDefault="0086640D" w:rsidP="00141F9E">
      <w:pPr>
        <w:rPr>
          <w:rFonts w:cstheme="minorHAnsi"/>
          <w:sz w:val="32"/>
          <w:szCs w:val="32"/>
        </w:rPr>
      </w:pPr>
      <w:r w:rsidRPr="0086640D">
        <w:rPr>
          <w:rFonts w:cstheme="minorHAnsi"/>
          <w:sz w:val="32"/>
          <w:szCs w:val="32"/>
        </w:rPr>
        <w:lastRenderedPageBreak/>
        <w:t xml:space="preserve">Conclusion and future implications </w:t>
      </w:r>
    </w:p>
    <w:p w14:paraId="1F7F8B62" w14:textId="1B1241C3" w:rsidR="0086640D" w:rsidRPr="0086640D" w:rsidRDefault="0086640D" w:rsidP="00141F9E">
      <w:pPr>
        <w:rPr>
          <w:rFonts w:cstheme="minorHAnsi"/>
          <w:sz w:val="32"/>
          <w:szCs w:val="32"/>
        </w:rPr>
      </w:pPr>
      <w:r w:rsidRPr="0086640D">
        <w:rPr>
          <w:rFonts w:cstheme="minorHAnsi"/>
          <w:sz w:val="32"/>
          <w:szCs w:val="32"/>
        </w:rPr>
        <w:t>This report looked at the function of managing human resources (HR) in a global business, emphasising the need of recognising environmental conditions. Staffing, learning and development, evaluating performance, and employee relations are essential HR tasks that ensure the workforce is competent, engaged, and aligned with strategic goals (Armstrong, 2020; Bratton &amp; Gold, 2017). The use of Porter's Five Forces model highlighted how external competitive forces impact HR practices, while internal elements such as company culture, management, and financial capabilities shape the efficacy of HR initiatives. Additionally, the paper investigated country-specific variances, demonstrating that culture, legal restrictions, and economic situations necessitate HR managers to adjust procedures to local contexts while preserving consistency worldwide (</w:t>
      </w:r>
      <w:proofErr w:type="spellStart"/>
      <w:r w:rsidRPr="0086640D">
        <w:rPr>
          <w:rFonts w:cstheme="minorHAnsi"/>
          <w:sz w:val="32"/>
          <w:szCs w:val="32"/>
        </w:rPr>
        <w:t>Ojakorotu</w:t>
      </w:r>
      <w:proofErr w:type="spellEnd"/>
      <w:r w:rsidRPr="0086640D">
        <w:rPr>
          <w:rFonts w:cstheme="minorHAnsi"/>
          <w:sz w:val="32"/>
          <w:szCs w:val="32"/>
        </w:rPr>
        <w:t>, 2024; SLM, 2025).</w:t>
      </w:r>
    </w:p>
    <w:p w14:paraId="6FB8B70C" w14:textId="77777777" w:rsidR="0086640D" w:rsidRPr="0086640D" w:rsidRDefault="0086640D" w:rsidP="00141F9E">
      <w:pPr>
        <w:rPr>
          <w:rFonts w:cstheme="minorHAnsi"/>
          <w:sz w:val="32"/>
          <w:szCs w:val="32"/>
        </w:rPr>
      </w:pPr>
    </w:p>
    <w:p w14:paraId="41381922" w14:textId="0B298E89" w:rsidR="0086640D" w:rsidRDefault="0086640D" w:rsidP="00141F9E">
      <w:pPr>
        <w:rPr>
          <w:rFonts w:cstheme="minorHAnsi"/>
          <w:sz w:val="32"/>
          <w:szCs w:val="32"/>
        </w:rPr>
      </w:pPr>
      <w:r w:rsidRPr="0086640D">
        <w:rPr>
          <w:rFonts w:cstheme="minorHAnsi"/>
          <w:sz w:val="32"/>
          <w:szCs w:val="32"/>
        </w:rPr>
        <w:t>Human resources directors in multinational firms confront continual difficulties as technology advances, workforce diversity grows, and competitive landscapes change. To be effective, HR must implement adaptable strategies that combine international norms with local adaptability, employing data analytics, digital HR technologies, and continuous learning programs to recruit, develop, and retain personnel. Understanding environmental influences will become increasingly important for strategic workforce preparation, regulation oversight, and employee engagement in many locales. Finally, HR's position as a strategic partner will expand to promote organisational resilience and competitiveness over the long run in a complex, linked business setting.</w:t>
      </w:r>
    </w:p>
    <w:p w14:paraId="544DC40F" w14:textId="77777777" w:rsidR="0086640D" w:rsidRDefault="0086640D">
      <w:pPr>
        <w:rPr>
          <w:rFonts w:cstheme="minorHAnsi"/>
          <w:sz w:val="32"/>
          <w:szCs w:val="32"/>
        </w:rPr>
      </w:pPr>
      <w:r>
        <w:rPr>
          <w:rFonts w:cstheme="minorHAnsi"/>
          <w:sz w:val="32"/>
          <w:szCs w:val="32"/>
        </w:rPr>
        <w:br w:type="page"/>
      </w:r>
    </w:p>
    <w:p w14:paraId="4949DA90" w14:textId="42BA8663" w:rsidR="007E08E1" w:rsidRDefault="0086640D" w:rsidP="00141F9E">
      <w:pPr>
        <w:rPr>
          <w:rFonts w:cstheme="minorHAnsi"/>
          <w:sz w:val="32"/>
          <w:szCs w:val="32"/>
        </w:rPr>
      </w:pPr>
      <w:r>
        <w:rPr>
          <w:rFonts w:cstheme="minorHAnsi"/>
          <w:sz w:val="32"/>
          <w:szCs w:val="32"/>
        </w:rPr>
        <w:lastRenderedPageBreak/>
        <w:t xml:space="preserve">References </w:t>
      </w:r>
    </w:p>
    <w:p w14:paraId="3E814042" w14:textId="77B33AF1" w:rsidR="007E08E1" w:rsidRPr="007E08E1" w:rsidRDefault="007E08E1" w:rsidP="007E08E1">
      <w:pPr>
        <w:pStyle w:val="ListParagraph"/>
        <w:numPr>
          <w:ilvl w:val="0"/>
          <w:numId w:val="2"/>
        </w:numPr>
        <w:rPr>
          <w:rFonts w:cstheme="minorHAnsi"/>
          <w:sz w:val="32"/>
          <w:szCs w:val="32"/>
        </w:rPr>
      </w:pPr>
      <w:r w:rsidRPr="007E08E1">
        <w:rPr>
          <w:rFonts w:cstheme="minorHAnsi"/>
          <w:sz w:val="32"/>
          <w:szCs w:val="32"/>
        </w:rPr>
        <w:t xml:space="preserve">Armstrong, M. (2020) Armstrong’s Handbook of Human Resource Management Practice. 15th </w:t>
      </w:r>
      <w:proofErr w:type="spellStart"/>
      <w:r w:rsidRPr="007E08E1">
        <w:rPr>
          <w:rFonts w:cstheme="minorHAnsi"/>
          <w:sz w:val="32"/>
          <w:szCs w:val="32"/>
        </w:rPr>
        <w:t>edn</w:t>
      </w:r>
      <w:proofErr w:type="spellEnd"/>
      <w:r w:rsidRPr="007E08E1">
        <w:rPr>
          <w:rFonts w:cstheme="minorHAnsi"/>
          <w:sz w:val="32"/>
          <w:szCs w:val="32"/>
        </w:rPr>
        <w:t>. London: Kogan Page.</w:t>
      </w:r>
    </w:p>
    <w:p w14:paraId="0B482320" w14:textId="42E7D5CB" w:rsidR="007E08E1" w:rsidRPr="007E08E1" w:rsidRDefault="007E08E1" w:rsidP="007E08E1">
      <w:pPr>
        <w:pStyle w:val="ListParagraph"/>
        <w:numPr>
          <w:ilvl w:val="0"/>
          <w:numId w:val="2"/>
        </w:numPr>
        <w:rPr>
          <w:rFonts w:cstheme="minorHAnsi"/>
          <w:sz w:val="32"/>
          <w:szCs w:val="32"/>
        </w:rPr>
      </w:pPr>
      <w:r w:rsidRPr="007E08E1">
        <w:rPr>
          <w:rFonts w:cstheme="minorHAnsi"/>
          <w:sz w:val="32"/>
          <w:szCs w:val="32"/>
        </w:rPr>
        <w:t xml:space="preserve">Bratton, J. and Gold, J. (2017) Human Resource Management: Theory and Practice. 6th </w:t>
      </w:r>
      <w:proofErr w:type="spellStart"/>
      <w:r w:rsidRPr="007E08E1">
        <w:rPr>
          <w:rFonts w:cstheme="minorHAnsi"/>
          <w:sz w:val="32"/>
          <w:szCs w:val="32"/>
        </w:rPr>
        <w:t>edn</w:t>
      </w:r>
      <w:proofErr w:type="spellEnd"/>
      <w:r w:rsidRPr="007E08E1">
        <w:rPr>
          <w:rFonts w:cstheme="minorHAnsi"/>
          <w:sz w:val="32"/>
          <w:szCs w:val="32"/>
        </w:rPr>
        <w:t>. London: Palgrave.</w:t>
      </w:r>
    </w:p>
    <w:p w14:paraId="1F150BE7" w14:textId="37FD2645" w:rsidR="007E08E1" w:rsidRPr="007E08E1" w:rsidRDefault="007E08E1" w:rsidP="007E08E1">
      <w:pPr>
        <w:pStyle w:val="ListParagraph"/>
        <w:numPr>
          <w:ilvl w:val="0"/>
          <w:numId w:val="2"/>
        </w:numPr>
        <w:rPr>
          <w:rFonts w:cstheme="minorHAnsi"/>
          <w:sz w:val="32"/>
          <w:szCs w:val="32"/>
        </w:rPr>
      </w:pPr>
      <w:proofErr w:type="spellStart"/>
      <w:r w:rsidRPr="007E08E1">
        <w:rPr>
          <w:rFonts w:cstheme="minorHAnsi"/>
          <w:sz w:val="32"/>
          <w:szCs w:val="32"/>
        </w:rPr>
        <w:t>Elms</w:t>
      </w:r>
      <w:proofErr w:type="spellEnd"/>
      <w:r w:rsidRPr="007E08E1">
        <w:rPr>
          <w:rFonts w:cstheme="minorHAnsi"/>
          <w:sz w:val="32"/>
          <w:szCs w:val="32"/>
        </w:rPr>
        <w:t xml:space="preserve">, R. (2025) Internal and External Influences on HR. Available at: </w:t>
      </w:r>
      <w:hyperlink r:id="rId7" w:history="1">
        <w:r w:rsidRPr="00A54153">
          <w:rPr>
            <w:rStyle w:val="Hyperlink"/>
            <w:rFonts w:cstheme="minorHAnsi"/>
            <w:sz w:val="32"/>
            <w:szCs w:val="32"/>
          </w:rPr>
          <w:t>https://elms.org.uk/external-and-internal-factors-affecting-hrm-decision-making/</w:t>
        </w:r>
      </w:hyperlink>
      <w:r>
        <w:rPr>
          <w:rFonts w:cstheme="minorHAnsi"/>
          <w:sz w:val="32"/>
          <w:szCs w:val="32"/>
        </w:rPr>
        <w:t xml:space="preserve"> </w:t>
      </w:r>
      <w:r w:rsidRPr="007E08E1">
        <w:rPr>
          <w:rFonts w:cstheme="minorHAnsi"/>
          <w:sz w:val="32"/>
          <w:szCs w:val="32"/>
        </w:rPr>
        <w:t xml:space="preserve">   (Accessed: </w:t>
      </w:r>
      <w:r>
        <w:rPr>
          <w:rFonts w:cstheme="minorHAnsi"/>
          <w:sz w:val="32"/>
          <w:szCs w:val="32"/>
        </w:rPr>
        <w:t xml:space="preserve">14 </w:t>
      </w:r>
      <w:r w:rsidRPr="007E08E1">
        <w:rPr>
          <w:rFonts w:cstheme="minorHAnsi"/>
          <w:sz w:val="32"/>
          <w:szCs w:val="32"/>
        </w:rPr>
        <w:t>December 2025).</w:t>
      </w:r>
    </w:p>
    <w:p w14:paraId="6D6F3D2C" w14:textId="696F23C8" w:rsidR="007E08E1" w:rsidRPr="007E08E1" w:rsidRDefault="007E08E1" w:rsidP="007E08E1">
      <w:pPr>
        <w:pStyle w:val="ListParagraph"/>
        <w:numPr>
          <w:ilvl w:val="0"/>
          <w:numId w:val="2"/>
        </w:numPr>
        <w:rPr>
          <w:rFonts w:cstheme="minorHAnsi"/>
          <w:sz w:val="32"/>
          <w:szCs w:val="32"/>
        </w:rPr>
      </w:pPr>
      <w:r w:rsidRPr="007E08E1">
        <w:rPr>
          <w:rFonts w:cstheme="minorHAnsi"/>
          <w:sz w:val="32"/>
          <w:szCs w:val="32"/>
        </w:rPr>
        <w:t xml:space="preserve">MDPI. (2025) Sustainability and HR Strategy in Competitive Markets. Available at: </w:t>
      </w:r>
      <w:hyperlink r:id="rId8" w:history="1">
        <w:r w:rsidRPr="007E08E1">
          <w:rPr>
            <w:rStyle w:val="Hyperlink"/>
            <w:rFonts w:cstheme="minorHAnsi"/>
            <w:sz w:val="32"/>
            <w:szCs w:val="32"/>
          </w:rPr>
          <w:t>https://www.mdpi.com/2071-1050/12/6/2300</w:t>
        </w:r>
      </w:hyperlink>
      <w:r w:rsidRPr="007E08E1">
        <w:rPr>
          <w:rFonts w:cstheme="minorHAnsi"/>
          <w:sz w:val="32"/>
          <w:szCs w:val="32"/>
        </w:rPr>
        <w:t xml:space="preserve"> (Accessed: 15 December 2025).</w:t>
      </w:r>
    </w:p>
    <w:p w14:paraId="18948E83" w14:textId="24459DF4" w:rsidR="007E08E1" w:rsidRPr="007E08E1" w:rsidRDefault="007E08E1" w:rsidP="007E08E1">
      <w:pPr>
        <w:pStyle w:val="ListParagraph"/>
        <w:numPr>
          <w:ilvl w:val="0"/>
          <w:numId w:val="2"/>
        </w:numPr>
        <w:rPr>
          <w:rFonts w:cstheme="minorHAnsi"/>
          <w:sz w:val="32"/>
          <w:szCs w:val="32"/>
        </w:rPr>
      </w:pPr>
      <w:proofErr w:type="spellStart"/>
      <w:r w:rsidRPr="007E08E1">
        <w:rPr>
          <w:rFonts w:cstheme="minorHAnsi"/>
          <w:sz w:val="32"/>
          <w:szCs w:val="32"/>
        </w:rPr>
        <w:t>Ojakorotu</w:t>
      </w:r>
      <w:proofErr w:type="spellEnd"/>
      <w:r w:rsidRPr="007E08E1">
        <w:rPr>
          <w:rFonts w:cstheme="minorHAnsi"/>
          <w:sz w:val="32"/>
          <w:szCs w:val="32"/>
        </w:rPr>
        <w:t xml:space="preserve">, V. (2024) ‘Cultural Impacts on HR Practices in Multinational Organisations’, International Journal of Social and Cultural Research, 6(1), pp. 45–57. Available at: </w:t>
      </w:r>
      <w:hyperlink r:id="rId9" w:history="1">
        <w:r w:rsidRPr="00A54153">
          <w:rPr>
            <w:rStyle w:val="Hyperlink"/>
            <w:rFonts w:cstheme="minorHAnsi"/>
            <w:sz w:val="32"/>
            <w:szCs w:val="32"/>
          </w:rPr>
          <w:t>https://www.openjournals.ijaar.org/index.php/ijscr/article/view/1253</w:t>
        </w:r>
      </w:hyperlink>
      <w:r w:rsidRPr="007E08E1">
        <w:rPr>
          <w:rFonts w:cstheme="minorHAnsi"/>
          <w:sz w:val="32"/>
          <w:szCs w:val="32"/>
        </w:rPr>
        <w:t>?</w:t>
      </w:r>
      <w:r>
        <w:rPr>
          <w:rFonts w:cstheme="minorHAnsi"/>
          <w:sz w:val="32"/>
          <w:szCs w:val="32"/>
        </w:rPr>
        <w:t xml:space="preserve"> </w:t>
      </w:r>
      <w:r w:rsidRPr="007E08E1">
        <w:rPr>
          <w:rFonts w:cstheme="minorHAnsi"/>
          <w:sz w:val="32"/>
          <w:szCs w:val="32"/>
        </w:rPr>
        <w:t xml:space="preserve"> (Accessed: </w:t>
      </w:r>
      <w:r>
        <w:rPr>
          <w:rFonts w:cstheme="minorHAnsi"/>
          <w:sz w:val="32"/>
          <w:szCs w:val="32"/>
        </w:rPr>
        <w:t>15</w:t>
      </w:r>
      <w:r w:rsidRPr="007E08E1">
        <w:rPr>
          <w:rFonts w:cstheme="minorHAnsi"/>
          <w:sz w:val="32"/>
          <w:szCs w:val="32"/>
        </w:rPr>
        <w:t xml:space="preserve"> December 2025).</w:t>
      </w:r>
    </w:p>
    <w:p w14:paraId="2EF3F0B1" w14:textId="5AD811A4" w:rsidR="007E08E1" w:rsidRPr="007E08E1" w:rsidRDefault="007E08E1" w:rsidP="007E08E1">
      <w:pPr>
        <w:pStyle w:val="ListParagraph"/>
        <w:numPr>
          <w:ilvl w:val="0"/>
          <w:numId w:val="2"/>
        </w:numPr>
        <w:rPr>
          <w:rFonts w:cstheme="minorHAnsi"/>
          <w:sz w:val="32"/>
          <w:szCs w:val="32"/>
        </w:rPr>
      </w:pPr>
      <w:r w:rsidRPr="007E08E1">
        <w:rPr>
          <w:rFonts w:cstheme="minorHAnsi"/>
          <w:sz w:val="32"/>
          <w:szCs w:val="32"/>
        </w:rPr>
        <w:t>Porter, M.E. (2008) ‘The Five Competitive Forces That Shape Strategy’, Harvard Business Review, 86(1), pp. 78–93.</w:t>
      </w:r>
    </w:p>
    <w:p w14:paraId="57722343" w14:textId="08C9DF3A" w:rsidR="007E08E1" w:rsidRPr="007E08E1" w:rsidRDefault="007E08E1" w:rsidP="007E08E1">
      <w:pPr>
        <w:pStyle w:val="ListParagraph"/>
        <w:numPr>
          <w:ilvl w:val="0"/>
          <w:numId w:val="2"/>
        </w:numPr>
        <w:rPr>
          <w:rFonts w:cstheme="minorHAnsi"/>
          <w:sz w:val="32"/>
          <w:szCs w:val="32"/>
        </w:rPr>
      </w:pPr>
      <w:r w:rsidRPr="007E08E1">
        <w:rPr>
          <w:rFonts w:cstheme="minorHAnsi"/>
          <w:sz w:val="32"/>
          <w:szCs w:val="32"/>
        </w:rPr>
        <w:t xml:space="preserve">SLM. (2025) External and Internal Factors Affecting HRM Decision-Making. Available at: </w:t>
      </w:r>
      <w:hyperlink r:id="rId10" w:history="1">
        <w:r w:rsidRPr="00A54153">
          <w:rPr>
            <w:rStyle w:val="Hyperlink"/>
            <w:rFonts w:cstheme="minorHAnsi"/>
            <w:sz w:val="32"/>
            <w:szCs w:val="32"/>
          </w:rPr>
          <w:t>https://slm.mba/mmpc-002/organisational-environment-impact-hrm-internal-external-factors/</w:t>
        </w:r>
      </w:hyperlink>
      <w:r>
        <w:rPr>
          <w:rFonts w:cstheme="minorHAnsi"/>
          <w:sz w:val="32"/>
          <w:szCs w:val="32"/>
        </w:rPr>
        <w:t xml:space="preserve"> </w:t>
      </w:r>
      <w:r w:rsidRPr="007E08E1">
        <w:rPr>
          <w:rFonts w:cstheme="minorHAnsi"/>
          <w:sz w:val="32"/>
          <w:szCs w:val="32"/>
        </w:rPr>
        <w:t xml:space="preserve"> (Accessed: </w:t>
      </w:r>
      <w:r>
        <w:rPr>
          <w:rFonts w:cstheme="minorHAnsi"/>
          <w:sz w:val="32"/>
          <w:szCs w:val="32"/>
        </w:rPr>
        <w:t>16</w:t>
      </w:r>
      <w:r w:rsidRPr="007E08E1">
        <w:rPr>
          <w:rFonts w:cstheme="minorHAnsi"/>
          <w:sz w:val="32"/>
          <w:szCs w:val="32"/>
        </w:rPr>
        <w:t xml:space="preserve"> December 2025).</w:t>
      </w:r>
    </w:p>
    <w:p w14:paraId="0A563393" w14:textId="628A3A34" w:rsidR="007E08E1" w:rsidRPr="007E08E1" w:rsidRDefault="007E08E1" w:rsidP="007E08E1">
      <w:pPr>
        <w:pStyle w:val="ListParagraph"/>
        <w:numPr>
          <w:ilvl w:val="0"/>
          <w:numId w:val="2"/>
        </w:numPr>
        <w:rPr>
          <w:rFonts w:cstheme="minorHAnsi"/>
          <w:sz w:val="32"/>
          <w:szCs w:val="32"/>
        </w:rPr>
      </w:pPr>
      <w:r w:rsidRPr="007E08E1">
        <w:rPr>
          <w:rFonts w:cstheme="minorHAnsi"/>
          <w:sz w:val="32"/>
          <w:szCs w:val="32"/>
        </w:rPr>
        <w:t xml:space="preserve">Unilever (2025) Who We Are. Available at: </w:t>
      </w:r>
      <w:hyperlink r:id="rId11" w:history="1">
        <w:r w:rsidRPr="00A54153">
          <w:rPr>
            <w:rStyle w:val="Hyperlink"/>
            <w:rFonts w:cstheme="minorHAnsi"/>
            <w:sz w:val="32"/>
            <w:szCs w:val="32"/>
          </w:rPr>
          <w:t>https://www.unilever.com/about/who-we-are/</w:t>
        </w:r>
      </w:hyperlink>
      <w:r>
        <w:rPr>
          <w:rFonts w:cstheme="minorHAnsi"/>
          <w:sz w:val="32"/>
          <w:szCs w:val="32"/>
        </w:rPr>
        <w:t xml:space="preserve"> </w:t>
      </w:r>
      <w:r w:rsidRPr="007E08E1">
        <w:rPr>
          <w:rFonts w:cstheme="minorHAnsi"/>
          <w:sz w:val="32"/>
          <w:szCs w:val="32"/>
        </w:rPr>
        <w:t xml:space="preserve"> (Accessed: </w:t>
      </w:r>
      <w:r>
        <w:rPr>
          <w:rFonts w:cstheme="minorHAnsi"/>
          <w:sz w:val="32"/>
          <w:szCs w:val="32"/>
        </w:rPr>
        <w:t>16</w:t>
      </w:r>
      <w:r w:rsidRPr="007E08E1">
        <w:rPr>
          <w:rFonts w:cstheme="minorHAnsi"/>
          <w:sz w:val="32"/>
          <w:szCs w:val="32"/>
        </w:rPr>
        <w:t xml:space="preserve"> December 2025).</w:t>
      </w:r>
    </w:p>
    <w:p w14:paraId="48C2D641" w14:textId="57CA6BEA" w:rsidR="007E08E1" w:rsidRPr="007E08E1" w:rsidRDefault="007E08E1" w:rsidP="007E08E1">
      <w:pPr>
        <w:pStyle w:val="ListParagraph"/>
        <w:numPr>
          <w:ilvl w:val="0"/>
          <w:numId w:val="2"/>
        </w:numPr>
        <w:rPr>
          <w:rFonts w:cstheme="minorHAnsi"/>
          <w:sz w:val="32"/>
          <w:szCs w:val="32"/>
        </w:rPr>
      </w:pPr>
      <w:r w:rsidRPr="007E08E1">
        <w:rPr>
          <w:rFonts w:cstheme="minorHAnsi"/>
          <w:sz w:val="32"/>
          <w:szCs w:val="32"/>
        </w:rPr>
        <w:t xml:space="preserve">VCMO. (2025) Porter’s Five Forces Explained. Available at: </w:t>
      </w:r>
      <w:hyperlink r:id="rId12" w:history="1">
        <w:r w:rsidRPr="00A54153">
          <w:rPr>
            <w:rStyle w:val="Hyperlink"/>
            <w:rFonts w:cstheme="minorHAnsi"/>
            <w:sz w:val="32"/>
            <w:szCs w:val="32"/>
          </w:rPr>
          <w:t>https://www.vcmo.com/porters-five-forces-explained/</w:t>
        </w:r>
      </w:hyperlink>
      <w:r>
        <w:rPr>
          <w:rFonts w:cstheme="minorHAnsi"/>
          <w:sz w:val="32"/>
          <w:szCs w:val="32"/>
        </w:rPr>
        <w:t xml:space="preserve"> </w:t>
      </w:r>
      <w:r w:rsidRPr="007E08E1">
        <w:rPr>
          <w:rFonts w:cstheme="minorHAnsi"/>
          <w:sz w:val="32"/>
          <w:szCs w:val="32"/>
        </w:rPr>
        <w:t xml:space="preserve"> (Accessed: 18 December 2025).</w:t>
      </w:r>
    </w:p>
    <w:sectPr w:rsidR="007E08E1" w:rsidRPr="007E08E1">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808748" w14:textId="77777777" w:rsidR="00BE2F15" w:rsidRDefault="00BE2F15" w:rsidP="00D935FA">
      <w:pPr>
        <w:spacing w:after="0" w:line="240" w:lineRule="auto"/>
      </w:pPr>
      <w:r>
        <w:separator/>
      </w:r>
    </w:p>
  </w:endnote>
  <w:endnote w:type="continuationSeparator" w:id="0">
    <w:p w14:paraId="7E9FCE3A" w14:textId="77777777" w:rsidR="00BE2F15" w:rsidRDefault="00BE2F15" w:rsidP="00D935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64985849"/>
      <w:docPartObj>
        <w:docPartGallery w:val="Page Numbers (Bottom of Page)"/>
        <w:docPartUnique/>
      </w:docPartObj>
    </w:sdtPr>
    <w:sdtEndPr>
      <w:rPr>
        <w:noProof/>
      </w:rPr>
    </w:sdtEndPr>
    <w:sdtContent>
      <w:p w14:paraId="7A5D292A" w14:textId="400EAC38" w:rsidR="00D935FA" w:rsidRDefault="00D935F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A3B377" w14:textId="77777777" w:rsidR="00D935FA" w:rsidRDefault="00D935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1738C2" w14:textId="77777777" w:rsidR="00BE2F15" w:rsidRDefault="00BE2F15" w:rsidP="00D935FA">
      <w:pPr>
        <w:spacing w:after="0" w:line="240" w:lineRule="auto"/>
      </w:pPr>
      <w:r>
        <w:separator/>
      </w:r>
    </w:p>
  </w:footnote>
  <w:footnote w:type="continuationSeparator" w:id="0">
    <w:p w14:paraId="2740D4DB" w14:textId="77777777" w:rsidR="00BE2F15" w:rsidRDefault="00BE2F15" w:rsidP="00D935F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B50411" w14:textId="1723994E" w:rsidR="00D935FA" w:rsidRDefault="00D935FA">
    <w:pPr>
      <w:pStyle w:val="Header"/>
    </w:pPr>
    <w:r>
      <w:t>Cristina Cioroba 2225510</w:t>
    </w:r>
  </w:p>
  <w:p w14:paraId="20624C4B" w14:textId="77777777" w:rsidR="00D935FA" w:rsidRDefault="00D935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C725899"/>
    <w:multiLevelType w:val="hybridMultilevel"/>
    <w:tmpl w:val="698EE00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0C82A63"/>
    <w:multiLevelType w:val="hybridMultilevel"/>
    <w:tmpl w:val="77C404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47019397">
    <w:abstractNumId w:val="0"/>
  </w:num>
  <w:num w:numId="2" w16cid:durableId="17195445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35FA"/>
    <w:rsid w:val="001123EF"/>
    <w:rsid w:val="00141F9E"/>
    <w:rsid w:val="002037EB"/>
    <w:rsid w:val="002333E9"/>
    <w:rsid w:val="002336BA"/>
    <w:rsid w:val="002C617F"/>
    <w:rsid w:val="002F08E0"/>
    <w:rsid w:val="0043519B"/>
    <w:rsid w:val="00566C06"/>
    <w:rsid w:val="005A33F0"/>
    <w:rsid w:val="005D4F70"/>
    <w:rsid w:val="007C1BA7"/>
    <w:rsid w:val="007E08E1"/>
    <w:rsid w:val="0086640D"/>
    <w:rsid w:val="008E45AF"/>
    <w:rsid w:val="00AB34AC"/>
    <w:rsid w:val="00B23C04"/>
    <w:rsid w:val="00B609EA"/>
    <w:rsid w:val="00BE2F15"/>
    <w:rsid w:val="00D436F9"/>
    <w:rsid w:val="00D935FA"/>
    <w:rsid w:val="00E4036A"/>
    <w:rsid w:val="00E6287D"/>
    <w:rsid w:val="00ED09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72A0A6"/>
  <w15:chartTrackingRefBased/>
  <w15:docId w15:val="{662610BB-62E4-4B29-90AB-B07B3F8A5E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35F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935F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935F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935F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935F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935F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35F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35F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35F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35F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935F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935F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935F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935F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935F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935F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935F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935FA"/>
    <w:rPr>
      <w:rFonts w:eastAsiaTheme="majorEastAsia" w:cstheme="majorBidi"/>
      <w:color w:val="272727" w:themeColor="text1" w:themeTint="D8"/>
    </w:rPr>
  </w:style>
  <w:style w:type="paragraph" w:styleId="Title">
    <w:name w:val="Title"/>
    <w:basedOn w:val="Normal"/>
    <w:next w:val="Normal"/>
    <w:link w:val="TitleChar"/>
    <w:uiPriority w:val="10"/>
    <w:qFormat/>
    <w:rsid w:val="00D935F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35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35F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35F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35FA"/>
    <w:pPr>
      <w:spacing w:before="160"/>
      <w:jc w:val="center"/>
    </w:pPr>
    <w:rPr>
      <w:i/>
      <w:iCs/>
      <w:color w:val="404040" w:themeColor="text1" w:themeTint="BF"/>
    </w:rPr>
  </w:style>
  <w:style w:type="character" w:customStyle="1" w:styleId="QuoteChar">
    <w:name w:val="Quote Char"/>
    <w:basedOn w:val="DefaultParagraphFont"/>
    <w:link w:val="Quote"/>
    <w:uiPriority w:val="29"/>
    <w:rsid w:val="00D935FA"/>
    <w:rPr>
      <w:i/>
      <w:iCs/>
      <w:color w:val="404040" w:themeColor="text1" w:themeTint="BF"/>
    </w:rPr>
  </w:style>
  <w:style w:type="paragraph" w:styleId="ListParagraph">
    <w:name w:val="List Paragraph"/>
    <w:basedOn w:val="Normal"/>
    <w:uiPriority w:val="34"/>
    <w:qFormat/>
    <w:rsid w:val="00D935FA"/>
    <w:pPr>
      <w:ind w:left="720"/>
      <w:contextualSpacing/>
    </w:pPr>
  </w:style>
  <w:style w:type="character" w:styleId="IntenseEmphasis">
    <w:name w:val="Intense Emphasis"/>
    <w:basedOn w:val="DefaultParagraphFont"/>
    <w:uiPriority w:val="21"/>
    <w:qFormat/>
    <w:rsid w:val="00D935FA"/>
    <w:rPr>
      <w:i/>
      <w:iCs/>
      <w:color w:val="2F5496" w:themeColor="accent1" w:themeShade="BF"/>
    </w:rPr>
  </w:style>
  <w:style w:type="paragraph" w:styleId="IntenseQuote">
    <w:name w:val="Intense Quote"/>
    <w:basedOn w:val="Normal"/>
    <w:next w:val="Normal"/>
    <w:link w:val="IntenseQuoteChar"/>
    <w:uiPriority w:val="30"/>
    <w:qFormat/>
    <w:rsid w:val="00D935F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935FA"/>
    <w:rPr>
      <w:i/>
      <w:iCs/>
      <w:color w:val="2F5496" w:themeColor="accent1" w:themeShade="BF"/>
    </w:rPr>
  </w:style>
  <w:style w:type="character" w:styleId="IntenseReference">
    <w:name w:val="Intense Reference"/>
    <w:basedOn w:val="DefaultParagraphFont"/>
    <w:uiPriority w:val="32"/>
    <w:qFormat/>
    <w:rsid w:val="00D935FA"/>
    <w:rPr>
      <w:b/>
      <w:bCs/>
      <w:smallCaps/>
      <w:color w:val="2F5496" w:themeColor="accent1" w:themeShade="BF"/>
      <w:spacing w:val="5"/>
    </w:rPr>
  </w:style>
  <w:style w:type="paragraph" w:styleId="Header">
    <w:name w:val="header"/>
    <w:basedOn w:val="Normal"/>
    <w:link w:val="HeaderChar"/>
    <w:uiPriority w:val="99"/>
    <w:unhideWhenUsed/>
    <w:rsid w:val="00D935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35FA"/>
  </w:style>
  <w:style w:type="paragraph" w:styleId="Footer">
    <w:name w:val="footer"/>
    <w:basedOn w:val="Normal"/>
    <w:link w:val="FooterChar"/>
    <w:uiPriority w:val="99"/>
    <w:unhideWhenUsed/>
    <w:rsid w:val="00D935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35FA"/>
  </w:style>
  <w:style w:type="character" w:styleId="Hyperlink">
    <w:name w:val="Hyperlink"/>
    <w:basedOn w:val="DefaultParagraphFont"/>
    <w:uiPriority w:val="99"/>
    <w:unhideWhenUsed/>
    <w:rsid w:val="007E08E1"/>
    <w:rPr>
      <w:color w:val="0563C1" w:themeColor="hyperlink"/>
      <w:u w:val="single"/>
    </w:rPr>
  </w:style>
  <w:style w:type="character" w:styleId="UnresolvedMention">
    <w:name w:val="Unresolved Mention"/>
    <w:basedOn w:val="DefaultParagraphFont"/>
    <w:uiPriority w:val="99"/>
    <w:semiHidden/>
    <w:unhideWhenUsed/>
    <w:rsid w:val="007E08E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dpi.com/2071-1050/12/6/2300"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elms.org.uk/external-and-internal-factors-affecting-hrm-decision-making/" TargetMode="External"/><Relationship Id="rId12" Type="http://schemas.openxmlformats.org/officeDocument/2006/relationships/hyperlink" Target="https://www.vcmo.com/porters-five-forces-explained/"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nilever.com/about/who-we-are/"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slm.mba/mmpc-002/organisational-environment-impact-hrm-internal-external-factors/" TargetMode="External"/><Relationship Id="rId4" Type="http://schemas.openxmlformats.org/officeDocument/2006/relationships/webSettings" Target="webSettings.xml"/><Relationship Id="rId9" Type="http://schemas.openxmlformats.org/officeDocument/2006/relationships/hyperlink" Target="https://www.openjournals.ijaar.org/index.php/ijscr/article/view/1253"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2506</Words>
  <Characters>14285</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Adriana Cioroba (2225510)</dc:creator>
  <cp:keywords/>
  <dc:description/>
  <cp:lastModifiedBy>Cristina Adriana Cioroba (2225510)</cp:lastModifiedBy>
  <cp:revision>2</cp:revision>
  <dcterms:created xsi:type="dcterms:W3CDTF">2025-12-18T18:48:00Z</dcterms:created>
  <dcterms:modified xsi:type="dcterms:W3CDTF">2025-12-18T18:48:00Z</dcterms:modified>
</cp:coreProperties>
</file>