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9A2C75" w14:textId="3A41F763" w:rsidR="009A6A88" w:rsidRDefault="004A7124">
      <w:pPr>
        <w:rPr>
          <w:rFonts w:ascii="Times New Roman" w:hAnsi="Times New Roman" w:cs="Times New Roman"/>
          <w:b/>
          <w:bCs/>
          <w:sz w:val="28"/>
          <w:szCs w:val="28"/>
        </w:rPr>
      </w:pPr>
      <w:r w:rsidRPr="004A7124">
        <w:rPr>
          <w:rFonts w:ascii="Times New Roman" w:hAnsi="Times New Roman" w:cs="Times New Roman"/>
          <w:b/>
          <w:bCs/>
          <w:sz w:val="28"/>
          <w:szCs w:val="28"/>
        </w:rPr>
        <w:t>IFRS 2: SHARE BASED PAYMENT</w:t>
      </w:r>
    </w:p>
    <w:p w14:paraId="0FBC5CF2" w14:textId="77777777" w:rsidR="004A7124" w:rsidRPr="004A7124" w:rsidRDefault="004A7124">
      <w:pPr>
        <w:rPr>
          <w:rFonts w:ascii="Times New Roman" w:hAnsi="Times New Roman" w:cs="Times New Roman"/>
          <w:b/>
          <w:bCs/>
          <w:sz w:val="28"/>
          <w:szCs w:val="28"/>
        </w:rPr>
      </w:pPr>
    </w:p>
    <w:p w14:paraId="3CC3E27D" w14:textId="23EF9C0A" w:rsidR="004A7124" w:rsidRPr="007D4724" w:rsidRDefault="004A7124" w:rsidP="007D4724">
      <w:pPr>
        <w:rPr>
          <w:sz w:val="28"/>
          <w:szCs w:val="28"/>
          <w:lang w:eastAsia="en-GB"/>
        </w:rPr>
      </w:pPr>
      <w:r w:rsidRPr="007D4724">
        <w:rPr>
          <w:sz w:val="28"/>
          <w:szCs w:val="28"/>
          <w:lang w:eastAsia="en-GB"/>
        </w:rPr>
        <w:t>IFRS2, </w:t>
      </w:r>
      <w:r w:rsidRPr="00573C6C">
        <w:rPr>
          <w:sz w:val="28"/>
          <w:szCs w:val="28"/>
          <w:lang w:eastAsia="en-GB"/>
        </w:rPr>
        <w:t>Share-based Payment,</w:t>
      </w:r>
      <w:r w:rsidRPr="007D4724">
        <w:rPr>
          <w:sz w:val="28"/>
          <w:szCs w:val="28"/>
          <w:lang w:eastAsia="en-GB"/>
        </w:rPr>
        <w:t xml:space="preserve"> applies when a company acquires or receives goods and services for equity-based payment.</w:t>
      </w:r>
    </w:p>
    <w:p w14:paraId="036BF51A" w14:textId="6EA073B5" w:rsidR="004A7124" w:rsidRPr="007D4724" w:rsidRDefault="004A7124" w:rsidP="007D4724">
      <w:pPr>
        <w:rPr>
          <w:color w:val="595959"/>
          <w:sz w:val="28"/>
          <w:szCs w:val="28"/>
          <w:lang w:eastAsia="en-GB"/>
        </w:rPr>
      </w:pPr>
      <w:r w:rsidRPr="007D4724">
        <w:rPr>
          <w:color w:val="595959"/>
          <w:sz w:val="28"/>
          <w:szCs w:val="28"/>
          <w:lang w:eastAsia="en-GB"/>
        </w:rPr>
        <w:t xml:space="preserve">These goods can include inventories, property, plant and equipment, intangible assets, and other non-financial assets. </w:t>
      </w:r>
    </w:p>
    <w:p w14:paraId="5FA6870A" w14:textId="1C83E2D6" w:rsidR="004A7124" w:rsidRDefault="004A7124" w:rsidP="007D4724">
      <w:pPr>
        <w:rPr>
          <w:color w:val="595959"/>
          <w:sz w:val="28"/>
          <w:szCs w:val="28"/>
          <w:lang w:eastAsia="en-GB"/>
        </w:rPr>
      </w:pPr>
      <w:r w:rsidRPr="007D4724">
        <w:rPr>
          <w:color w:val="595959"/>
          <w:sz w:val="28"/>
          <w:szCs w:val="28"/>
          <w:lang w:eastAsia="en-GB"/>
        </w:rPr>
        <w:t>Examples of some of the arrangements that would be accounted for under IFRS 2 include call options, share appreciation rights, share ownership schemes, and payments for services made to external consultants based on the company’s equity capital.</w:t>
      </w:r>
    </w:p>
    <w:p w14:paraId="0AA1FDCB" w14:textId="77777777" w:rsidR="007D4724" w:rsidRPr="007D4724" w:rsidRDefault="007D4724" w:rsidP="007D4724">
      <w:pPr>
        <w:rPr>
          <w:color w:val="595959"/>
          <w:sz w:val="28"/>
          <w:szCs w:val="28"/>
          <w:lang w:eastAsia="en-GB"/>
        </w:rPr>
      </w:pPr>
    </w:p>
    <w:p w14:paraId="12976500" w14:textId="77777777" w:rsidR="004A7124" w:rsidRPr="00AB3EA8" w:rsidRDefault="004A7124" w:rsidP="007D4724">
      <w:pPr>
        <w:rPr>
          <w:b/>
          <w:bCs/>
          <w:sz w:val="28"/>
          <w:szCs w:val="28"/>
          <w:lang w:eastAsia="en-GB"/>
        </w:rPr>
      </w:pPr>
      <w:r w:rsidRPr="00AB3EA8">
        <w:rPr>
          <w:b/>
          <w:bCs/>
          <w:sz w:val="28"/>
          <w:szCs w:val="28"/>
          <w:lang w:eastAsia="en-GB"/>
        </w:rPr>
        <w:t>Recognition of share-based payment</w:t>
      </w:r>
    </w:p>
    <w:p w14:paraId="550A66B9" w14:textId="77777777" w:rsidR="004A7124" w:rsidRPr="007D4724" w:rsidRDefault="004A7124" w:rsidP="007D4724">
      <w:pPr>
        <w:rPr>
          <w:color w:val="595959"/>
          <w:sz w:val="28"/>
          <w:szCs w:val="28"/>
          <w:lang w:eastAsia="en-GB"/>
        </w:rPr>
      </w:pPr>
      <w:r w:rsidRPr="007D4724">
        <w:rPr>
          <w:color w:val="595959"/>
          <w:sz w:val="28"/>
          <w:szCs w:val="28"/>
          <w:lang w:eastAsia="en-GB"/>
        </w:rPr>
        <w:t>IFRS 2 requires an expense to be recognised for the goods or services received by a company. The corresponding entry in the accounting records will either be a liability or an increase in the equity of the company, depending on whether the transaction is to be settled in cash or in equity shares. Goods or services acquired in a share-based payment transaction should be recognised when they are received. In the case of goods, this is obviously the date when this occurs. However, it is often more difficult to determine when services are received. If shares are issued that vest immediately, then it can be assumed that these are in consideration of past services. As a result, the expense should be recognised immediately.</w:t>
      </w:r>
    </w:p>
    <w:p w14:paraId="0B13AA1E" w14:textId="77777777" w:rsidR="004A7124" w:rsidRPr="007D4724" w:rsidRDefault="004A7124" w:rsidP="007D4724">
      <w:pPr>
        <w:rPr>
          <w:color w:val="595959"/>
          <w:sz w:val="28"/>
          <w:szCs w:val="28"/>
          <w:lang w:eastAsia="en-GB"/>
        </w:rPr>
      </w:pPr>
      <w:r w:rsidRPr="007D4724">
        <w:rPr>
          <w:color w:val="595959"/>
          <w:sz w:val="28"/>
          <w:szCs w:val="28"/>
          <w:lang w:eastAsia="en-GB"/>
        </w:rPr>
        <w:t>Alternatively, if the share options vest in the future, then it is assumed that the equity instruments relate to future services and recognition is therefore spread over that period.</w:t>
      </w:r>
    </w:p>
    <w:p w14:paraId="13B9EB3C" w14:textId="77777777" w:rsidR="007D4724" w:rsidRDefault="007D4724" w:rsidP="007D4724">
      <w:pPr>
        <w:rPr>
          <w:sz w:val="28"/>
          <w:szCs w:val="28"/>
          <w:lang w:eastAsia="en-GB"/>
        </w:rPr>
      </w:pPr>
    </w:p>
    <w:p w14:paraId="095FE812" w14:textId="03920441" w:rsidR="004A7124" w:rsidRPr="00AB3EA8" w:rsidRDefault="004A7124" w:rsidP="007D4724">
      <w:pPr>
        <w:rPr>
          <w:b/>
          <w:bCs/>
          <w:sz w:val="28"/>
          <w:szCs w:val="28"/>
          <w:lang w:eastAsia="en-GB"/>
        </w:rPr>
      </w:pPr>
      <w:r w:rsidRPr="00AB3EA8">
        <w:rPr>
          <w:b/>
          <w:bCs/>
          <w:sz w:val="28"/>
          <w:szCs w:val="28"/>
          <w:lang w:eastAsia="en-GB"/>
        </w:rPr>
        <w:t>Equity settled transactions</w:t>
      </w:r>
    </w:p>
    <w:p w14:paraId="3F56A95F" w14:textId="5E822A6C" w:rsidR="004A7124" w:rsidRPr="007D4724" w:rsidRDefault="004A7124" w:rsidP="007D4724">
      <w:pPr>
        <w:rPr>
          <w:color w:val="595959"/>
          <w:sz w:val="28"/>
          <w:szCs w:val="28"/>
          <w:lang w:eastAsia="en-GB"/>
        </w:rPr>
      </w:pPr>
      <w:r w:rsidRPr="007D4724">
        <w:rPr>
          <w:color w:val="595959"/>
          <w:sz w:val="28"/>
          <w:szCs w:val="28"/>
          <w:lang w:eastAsia="en-GB"/>
        </w:rPr>
        <w:t xml:space="preserve">Equity-settled transactions with employees and directors would normally be expensed and would be based on their fair value at the grant date. Fair value should be based on market price wherever this is possible. </w:t>
      </w:r>
    </w:p>
    <w:p w14:paraId="7AAC6924" w14:textId="77777777" w:rsidR="004A7124" w:rsidRPr="007D4724" w:rsidRDefault="004A7124" w:rsidP="007D4724">
      <w:pPr>
        <w:rPr>
          <w:color w:val="595959"/>
          <w:sz w:val="28"/>
          <w:szCs w:val="28"/>
          <w:lang w:eastAsia="en-GB"/>
        </w:rPr>
      </w:pPr>
      <w:r w:rsidRPr="007D4724">
        <w:rPr>
          <w:color w:val="595959"/>
          <w:sz w:val="28"/>
          <w:szCs w:val="28"/>
          <w:lang w:eastAsia="en-GB"/>
        </w:rPr>
        <w:t xml:space="preserve">The objective of IFRS 2 is to determine and recognise the compensation costs over the period in which the services are rendered. For example, if a company </w:t>
      </w:r>
      <w:r w:rsidRPr="007D4724">
        <w:rPr>
          <w:color w:val="595959"/>
          <w:sz w:val="28"/>
          <w:szCs w:val="28"/>
          <w:lang w:eastAsia="en-GB"/>
        </w:rPr>
        <w:lastRenderedPageBreak/>
        <w:t>grants share options to employees that vest in the future only if they are still employed, then the accounting process is as follows:</w:t>
      </w:r>
    </w:p>
    <w:p w14:paraId="434A7CCB" w14:textId="77777777" w:rsidR="004A7124" w:rsidRPr="007D4724" w:rsidRDefault="004A7124" w:rsidP="007D4724">
      <w:pPr>
        <w:rPr>
          <w:color w:val="595959"/>
          <w:sz w:val="28"/>
          <w:szCs w:val="28"/>
          <w:lang w:eastAsia="en-GB"/>
        </w:rPr>
      </w:pPr>
      <w:r w:rsidRPr="007D4724">
        <w:rPr>
          <w:color w:val="595959"/>
          <w:sz w:val="28"/>
          <w:szCs w:val="28"/>
          <w:lang w:eastAsia="en-GB"/>
        </w:rPr>
        <w:t>The fair value of the options will be calculated at the date the options are granted.</w:t>
      </w:r>
    </w:p>
    <w:p w14:paraId="1BA2552F" w14:textId="77777777" w:rsidR="004A7124" w:rsidRPr="007D4724" w:rsidRDefault="004A7124" w:rsidP="007D4724">
      <w:pPr>
        <w:rPr>
          <w:color w:val="595959"/>
          <w:sz w:val="28"/>
          <w:szCs w:val="28"/>
          <w:lang w:eastAsia="en-GB"/>
        </w:rPr>
      </w:pPr>
      <w:r w:rsidRPr="007D4724">
        <w:rPr>
          <w:color w:val="595959"/>
          <w:sz w:val="28"/>
          <w:szCs w:val="28"/>
          <w:lang w:eastAsia="en-GB"/>
        </w:rPr>
        <w:t>This fair value will be charged to profit or loss equally over the vesting period, with adjustments made at each accounting date to reflect the best estimate of the number of options that will eventually vest.</w:t>
      </w:r>
    </w:p>
    <w:p w14:paraId="3DAAB2F5" w14:textId="42A251F8" w:rsidR="004A7124" w:rsidRDefault="004A7124" w:rsidP="007D4724">
      <w:pPr>
        <w:rPr>
          <w:color w:val="595959"/>
          <w:sz w:val="28"/>
          <w:szCs w:val="28"/>
          <w:lang w:eastAsia="en-GB"/>
        </w:rPr>
      </w:pPr>
      <w:r w:rsidRPr="007D4724">
        <w:rPr>
          <w:color w:val="595959"/>
          <w:sz w:val="28"/>
          <w:szCs w:val="28"/>
          <w:lang w:eastAsia="en-GB"/>
        </w:rPr>
        <w:t>Shareholders’ equity will be increased by an amount equal to the charge in profit or loss. The charge in the income statement reflects the number of options vested. If employees decide not to exercise their options, because the share price is lower than the exercise price, then no adjustment is made to profit or loss. On early settlement of an award without replacement, a company should charge the balance that would have been charged over the remaining period.</w:t>
      </w:r>
    </w:p>
    <w:p w14:paraId="682F5DAD" w14:textId="77777777" w:rsidR="007D4724" w:rsidRPr="007D4724" w:rsidRDefault="007D4724" w:rsidP="007D4724">
      <w:pPr>
        <w:rPr>
          <w:color w:val="595959"/>
          <w:sz w:val="28"/>
          <w:szCs w:val="28"/>
          <w:lang w:eastAsia="en-GB"/>
        </w:rPr>
      </w:pPr>
    </w:p>
    <w:p w14:paraId="58A03466" w14:textId="77777777" w:rsidR="004A7124" w:rsidRPr="007D4724" w:rsidRDefault="004A7124" w:rsidP="007D4724">
      <w:pPr>
        <w:rPr>
          <w:color w:val="595959"/>
          <w:sz w:val="28"/>
          <w:szCs w:val="28"/>
          <w:lang w:eastAsia="en-GB"/>
        </w:rPr>
      </w:pPr>
      <w:r w:rsidRPr="007D4724">
        <w:rPr>
          <w:b/>
          <w:bCs/>
          <w:color w:val="595959"/>
          <w:sz w:val="28"/>
          <w:szCs w:val="28"/>
          <w:lang w:eastAsia="en-GB"/>
        </w:rPr>
        <w:t>EXAMPLE 1</w:t>
      </w:r>
      <w:r w:rsidRPr="007D4724">
        <w:rPr>
          <w:b/>
          <w:bCs/>
          <w:color w:val="595959"/>
          <w:sz w:val="28"/>
          <w:szCs w:val="28"/>
          <w:lang w:eastAsia="en-GB"/>
        </w:rPr>
        <w:br/>
      </w:r>
      <w:r w:rsidRPr="007D4724">
        <w:rPr>
          <w:color w:val="595959"/>
          <w:sz w:val="28"/>
          <w:szCs w:val="28"/>
          <w:lang w:eastAsia="en-GB"/>
        </w:rPr>
        <w:t>A company issued share options on 1 June 20X6 to pay for the purchase of inventory. The inventory is eventually sold on 31 December 20X8. The value of the inventory on 1 June 20X6 was $6m and this value was unchanged up to the date of sale. The sale proceeds were $8m. The shares issued have a market value of $6.3m.</w:t>
      </w:r>
    </w:p>
    <w:p w14:paraId="15070D44" w14:textId="7C2993BB" w:rsidR="004A7124" w:rsidRDefault="004A7124" w:rsidP="007D4724">
      <w:pPr>
        <w:rPr>
          <w:color w:val="595959"/>
          <w:sz w:val="28"/>
          <w:szCs w:val="28"/>
          <w:lang w:eastAsia="en-GB"/>
        </w:rPr>
      </w:pPr>
      <w:r w:rsidRPr="007D4724">
        <w:rPr>
          <w:color w:val="595959"/>
          <w:sz w:val="28"/>
          <w:szCs w:val="28"/>
          <w:lang w:eastAsia="en-GB"/>
        </w:rPr>
        <w:t>How will this transaction be dealt with in the financial statements?</w:t>
      </w:r>
    </w:p>
    <w:p w14:paraId="62155DA0" w14:textId="77777777" w:rsidR="007D4724" w:rsidRPr="007D4724" w:rsidRDefault="007D4724" w:rsidP="007D4724">
      <w:pPr>
        <w:rPr>
          <w:color w:val="595959"/>
          <w:sz w:val="28"/>
          <w:szCs w:val="28"/>
          <w:lang w:eastAsia="en-GB"/>
        </w:rPr>
      </w:pPr>
    </w:p>
    <w:p w14:paraId="4A94A5DF" w14:textId="77777777" w:rsidR="004A7124" w:rsidRPr="007D4724" w:rsidRDefault="004A7124" w:rsidP="007D4724">
      <w:pPr>
        <w:rPr>
          <w:color w:val="595959"/>
          <w:sz w:val="28"/>
          <w:szCs w:val="28"/>
          <w:lang w:eastAsia="en-GB"/>
        </w:rPr>
      </w:pPr>
      <w:r w:rsidRPr="007D4724">
        <w:rPr>
          <w:b/>
          <w:bCs/>
          <w:color w:val="595959"/>
          <w:sz w:val="28"/>
          <w:szCs w:val="28"/>
          <w:lang w:eastAsia="en-GB"/>
        </w:rPr>
        <w:t>Answer</w:t>
      </w:r>
      <w:r w:rsidRPr="007D4724">
        <w:rPr>
          <w:b/>
          <w:bCs/>
          <w:color w:val="595959"/>
          <w:sz w:val="28"/>
          <w:szCs w:val="28"/>
          <w:lang w:eastAsia="en-GB"/>
        </w:rPr>
        <w:br/>
      </w:r>
      <w:r w:rsidRPr="007D4724">
        <w:rPr>
          <w:color w:val="595959"/>
          <w:sz w:val="28"/>
          <w:szCs w:val="28"/>
          <w:lang w:eastAsia="en-GB"/>
        </w:rPr>
        <w:t xml:space="preserve">IFRS 2 states that the fair value of the goods and services received should be used to value the share options unless the fair value of the goods cannot be measured reliably. </w:t>
      </w:r>
      <w:proofErr w:type="gramStart"/>
      <w:r w:rsidRPr="007D4724">
        <w:rPr>
          <w:color w:val="595959"/>
          <w:sz w:val="28"/>
          <w:szCs w:val="28"/>
          <w:lang w:eastAsia="en-GB"/>
        </w:rPr>
        <w:t>Thus</w:t>
      </w:r>
      <w:proofErr w:type="gramEnd"/>
      <w:r w:rsidRPr="007D4724">
        <w:rPr>
          <w:color w:val="595959"/>
          <w:sz w:val="28"/>
          <w:szCs w:val="28"/>
          <w:lang w:eastAsia="en-GB"/>
        </w:rPr>
        <w:t xml:space="preserve"> equity would be increased by $6m and inventory increased by $6m. The inventory value will be expensed on sale.</w:t>
      </w:r>
    </w:p>
    <w:p w14:paraId="506DF8D8" w14:textId="68B5A428" w:rsidR="004A7124" w:rsidRDefault="004A7124" w:rsidP="007D4724">
      <w:pPr>
        <w:rPr>
          <w:sz w:val="28"/>
          <w:szCs w:val="28"/>
          <w:lang w:eastAsia="en-GB"/>
        </w:rPr>
      </w:pPr>
    </w:p>
    <w:p w14:paraId="1B6774FD" w14:textId="6AFFDB4F" w:rsidR="007D4724" w:rsidRDefault="007D4724" w:rsidP="007D4724">
      <w:pPr>
        <w:rPr>
          <w:sz w:val="28"/>
          <w:szCs w:val="28"/>
          <w:lang w:eastAsia="en-GB"/>
        </w:rPr>
      </w:pPr>
    </w:p>
    <w:p w14:paraId="748D57E3" w14:textId="6D7198C5" w:rsidR="007D4724" w:rsidRDefault="007D4724" w:rsidP="007D4724">
      <w:pPr>
        <w:rPr>
          <w:sz w:val="28"/>
          <w:szCs w:val="28"/>
          <w:lang w:eastAsia="en-GB"/>
        </w:rPr>
      </w:pPr>
    </w:p>
    <w:p w14:paraId="39FEC0C4" w14:textId="77777777" w:rsidR="007D4724" w:rsidRPr="007D4724" w:rsidRDefault="007D4724" w:rsidP="007D4724">
      <w:pPr>
        <w:rPr>
          <w:sz w:val="28"/>
          <w:szCs w:val="28"/>
          <w:lang w:eastAsia="en-GB"/>
        </w:rPr>
      </w:pPr>
    </w:p>
    <w:p w14:paraId="3FC8E74F" w14:textId="48466A6F" w:rsidR="004A7124" w:rsidRPr="007D4724" w:rsidRDefault="004A7124" w:rsidP="007D4724">
      <w:pPr>
        <w:rPr>
          <w:b/>
          <w:bCs/>
          <w:sz w:val="28"/>
          <w:szCs w:val="28"/>
          <w:lang w:eastAsia="en-GB"/>
        </w:rPr>
      </w:pPr>
      <w:r w:rsidRPr="007D4724">
        <w:rPr>
          <w:b/>
          <w:bCs/>
          <w:sz w:val="28"/>
          <w:szCs w:val="28"/>
          <w:lang w:eastAsia="en-GB"/>
        </w:rPr>
        <w:lastRenderedPageBreak/>
        <w:t>Performance conditions</w:t>
      </w:r>
    </w:p>
    <w:p w14:paraId="195E9506" w14:textId="7D35FB23" w:rsidR="004A7124" w:rsidRDefault="004A7124" w:rsidP="007D4724">
      <w:pPr>
        <w:rPr>
          <w:color w:val="595959"/>
          <w:sz w:val="28"/>
          <w:szCs w:val="28"/>
          <w:lang w:eastAsia="en-GB"/>
        </w:rPr>
      </w:pPr>
      <w:r w:rsidRPr="007D4724">
        <w:rPr>
          <w:color w:val="595959"/>
          <w:sz w:val="28"/>
          <w:szCs w:val="28"/>
          <w:lang w:eastAsia="en-GB"/>
        </w:rPr>
        <w:t xml:space="preserve">Schemes often contain conditions which must be met before there is entitlement to the shares. These are called vesting conditions. If the conditions are specifically related to the market price of the company’s </w:t>
      </w:r>
      <w:proofErr w:type="gramStart"/>
      <w:r w:rsidRPr="007D4724">
        <w:rPr>
          <w:color w:val="595959"/>
          <w:sz w:val="28"/>
          <w:szCs w:val="28"/>
          <w:lang w:eastAsia="en-GB"/>
        </w:rPr>
        <w:t>shares</w:t>
      </w:r>
      <w:proofErr w:type="gramEnd"/>
      <w:r w:rsidRPr="007D4724">
        <w:rPr>
          <w:color w:val="595959"/>
          <w:sz w:val="28"/>
          <w:szCs w:val="28"/>
          <w:lang w:eastAsia="en-GB"/>
        </w:rPr>
        <w:t xml:space="preserve"> then such conditions are ignored for the purposes of estimating the number of equity shares that will vest. The thinking behind this is that these conditions have already been </w:t>
      </w:r>
      <w:proofErr w:type="gramStart"/>
      <w:r w:rsidRPr="007D4724">
        <w:rPr>
          <w:color w:val="595959"/>
          <w:sz w:val="28"/>
          <w:szCs w:val="28"/>
          <w:lang w:eastAsia="en-GB"/>
        </w:rPr>
        <w:t>taken into account</w:t>
      </w:r>
      <w:proofErr w:type="gramEnd"/>
      <w:r w:rsidRPr="007D4724">
        <w:rPr>
          <w:color w:val="595959"/>
          <w:sz w:val="28"/>
          <w:szCs w:val="28"/>
          <w:lang w:eastAsia="en-GB"/>
        </w:rPr>
        <w:t xml:space="preserve"> when fair valuing the shares. If the vesting or performance conditions are based on, for example, the growth in profit or earnings per share, then it will have to be </w:t>
      </w:r>
      <w:proofErr w:type="gramStart"/>
      <w:r w:rsidRPr="007D4724">
        <w:rPr>
          <w:color w:val="595959"/>
          <w:sz w:val="28"/>
          <w:szCs w:val="28"/>
          <w:lang w:eastAsia="en-GB"/>
        </w:rPr>
        <w:t>taken into account</w:t>
      </w:r>
      <w:proofErr w:type="gramEnd"/>
      <w:r w:rsidRPr="007D4724">
        <w:rPr>
          <w:color w:val="595959"/>
          <w:sz w:val="28"/>
          <w:szCs w:val="28"/>
          <w:lang w:eastAsia="en-GB"/>
        </w:rPr>
        <w:t xml:space="preserve"> in estimating the fair value of the option at the grant date.</w:t>
      </w:r>
    </w:p>
    <w:p w14:paraId="1AF0690D" w14:textId="77777777" w:rsidR="007D4724" w:rsidRPr="007D4724" w:rsidRDefault="007D4724" w:rsidP="007D4724">
      <w:pPr>
        <w:rPr>
          <w:color w:val="595959"/>
          <w:sz w:val="28"/>
          <w:szCs w:val="28"/>
          <w:lang w:eastAsia="en-GB"/>
        </w:rPr>
      </w:pPr>
    </w:p>
    <w:p w14:paraId="5C87BA0E" w14:textId="77777777" w:rsidR="004A7124" w:rsidRPr="007D4724" w:rsidRDefault="004A7124" w:rsidP="007D4724">
      <w:pPr>
        <w:rPr>
          <w:color w:val="595959"/>
          <w:sz w:val="28"/>
          <w:szCs w:val="28"/>
          <w:lang w:eastAsia="en-GB"/>
        </w:rPr>
      </w:pPr>
      <w:r w:rsidRPr="007D4724">
        <w:rPr>
          <w:b/>
          <w:bCs/>
          <w:color w:val="595959"/>
          <w:sz w:val="28"/>
          <w:szCs w:val="28"/>
          <w:lang w:eastAsia="en-GB"/>
        </w:rPr>
        <w:t>EXAMPLE 2</w:t>
      </w:r>
      <w:r w:rsidRPr="007D4724">
        <w:rPr>
          <w:b/>
          <w:bCs/>
          <w:color w:val="595959"/>
          <w:sz w:val="28"/>
          <w:szCs w:val="28"/>
          <w:lang w:eastAsia="en-GB"/>
        </w:rPr>
        <w:br/>
      </w:r>
      <w:r w:rsidRPr="007D4724">
        <w:rPr>
          <w:color w:val="595959"/>
          <w:sz w:val="28"/>
          <w:szCs w:val="28"/>
          <w:lang w:eastAsia="en-GB"/>
        </w:rPr>
        <w:t xml:space="preserve">A company grants 2,000 share options to each of its three directors on 1 January 20X6, subject to the directors being employed on 31 December 20X8. The options vest on 31 December 20X8. The fair value of each option on 1 January 20X6 is $10, and it is anticipated that on 1 January 20X6 </w:t>
      </w:r>
      <w:proofErr w:type="gramStart"/>
      <w:r w:rsidRPr="007D4724">
        <w:rPr>
          <w:color w:val="595959"/>
          <w:sz w:val="28"/>
          <w:szCs w:val="28"/>
          <w:lang w:eastAsia="en-GB"/>
        </w:rPr>
        <w:t>all of</w:t>
      </w:r>
      <w:proofErr w:type="gramEnd"/>
      <w:r w:rsidRPr="007D4724">
        <w:rPr>
          <w:color w:val="595959"/>
          <w:sz w:val="28"/>
          <w:szCs w:val="28"/>
          <w:lang w:eastAsia="en-GB"/>
        </w:rPr>
        <w:t xml:space="preserve"> the share options will vest on 30 December 20X8. The options will only vest if the company’s share price reaches $14 per share.</w:t>
      </w:r>
    </w:p>
    <w:p w14:paraId="5DF991BC" w14:textId="77777777" w:rsidR="004A7124" w:rsidRPr="007D4724" w:rsidRDefault="004A7124" w:rsidP="007D4724">
      <w:pPr>
        <w:rPr>
          <w:color w:val="595959"/>
          <w:sz w:val="28"/>
          <w:szCs w:val="28"/>
          <w:lang w:eastAsia="en-GB"/>
        </w:rPr>
      </w:pPr>
      <w:r w:rsidRPr="007D4724">
        <w:rPr>
          <w:color w:val="595959"/>
          <w:sz w:val="28"/>
          <w:szCs w:val="28"/>
          <w:lang w:eastAsia="en-GB"/>
        </w:rPr>
        <w:t xml:space="preserve">The share price </w:t>
      </w:r>
      <w:proofErr w:type="gramStart"/>
      <w:r w:rsidRPr="007D4724">
        <w:rPr>
          <w:color w:val="595959"/>
          <w:sz w:val="28"/>
          <w:szCs w:val="28"/>
          <w:lang w:eastAsia="en-GB"/>
        </w:rPr>
        <w:t>at</w:t>
      </w:r>
      <w:proofErr w:type="gramEnd"/>
      <w:r w:rsidRPr="007D4724">
        <w:rPr>
          <w:color w:val="595959"/>
          <w:sz w:val="28"/>
          <w:szCs w:val="28"/>
          <w:lang w:eastAsia="en-GB"/>
        </w:rPr>
        <w:t xml:space="preserve"> 31 December 20X6 is $8 and it is not anticipated that it will rise over the next two years. It is anticipated that on 31 December 20X6 only two directors will be employed on 31 December 20X8.</w:t>
      </w:r>
    </w:p>
    <w:p w14:paraId="4A58D3A8" w14:textId="77777777" w:rsidR="004A7124" w:rsidRPr="007D4724" w:rsidRDefault="004A7124" w:rsidP="007D4724">
      <w:pPr>
        <w:rPr>
          <w:color w:val="595959"/>
          <w:sz w:val="28"/>
          <w:szCs w:val="28"/>
          <w:lang w:eastAsia="en-GB"/>
        </w:rPr>
      </w:pPr>
      <w:r w:rsidRPr="007D4724">
        <w:rPr>
          <w:color w:val="595959"/>
          <w:sz w:val="28"/>
          <w:szCs w:val="28"/>
          <w:lang w:eastAsia="en-GB"/>
        </w:rPr>
        <w:t>How will the share options be treated in the financial statements for the year ended 31 December 20X6?</w:t>
      </w:r>
    </w:p>
    <w:p w14:paraId="4CBC9F42" w14:textId="77777777" w:rsidR="004A7124" w:rsidRPr="007D4724" w:rsidRDefault="004A7124" w:rsidP="007D4724">
      <w:pPr>
        <w:rPr>
          <w:color w:val="595959"/>
          <w:sz w:val="28"/>
          <w:szCs w:val="28"/>
          <w:lang w:eastAsia="en-GB"/>
        </w:rPr>
      </w:pPr>
      <w:r w:rsidRPr="007D4724">
        <w:rPr>
          <w:b/>
          <w:bCs/>
          <w:color w:val="595959"/>
          <w:sz w:val="28"/>
          <w:szCs w:val="28"/>
          <w:lang w:eastAsia="en-GB"/>
        </w:rPr>
        <w:t>Answer</w:t>
      </w:r>
      <w:r w:rsidRPr="007D4724">
        <w:rPr>
          <w:b/>
          <w:bCs/>
          <w:color w:val="595959"/>
          <w:sz w:val="28"/>
          <w:szCs w:val="28"/>
          <w:lang w:eastAsia="en-GB"/>
        </w:rPr>
        <w:br/>
      </w:r>
      <w:r w:rsidRPr="007D4724">
        <w:rPr>
          <w:color w:val="595959"/>
          <w:sz w:val="28"/>
          <w:szCs w:val="28"/>
          <w:lang w:eastAsia="en-GB"/>
        </w:rPr>
        <w:t>The market-based condition (</w:t>
      </w:r>
      <w:proofErr w:type="spellStart"/>
      <w:proofErr w:type="gramStart"/>
      <w:r w:rsidRPr="007D4724">
        <w:rPr>
          <w:color w:val="595959"/>
          <w:sz w:val="28"/>
          <w:szCs w:val="28"/>
          <w:lang w:eastAsia="en-GB"/>
        </w:rPr>
        <w:t>ie</w:t>
      </w:r>
      <w:proofErr w:type="spellEnd"/>
      <w:proofErr w:type="gramEnd"/>
      <w:r w:rsidRPr="007D4724">
        <w:rPr>
          <w:color w:val="595959"/>
          <w:sz w:val="28"/>
          <w:szCs w:val="28"/>
          <w:lang w:eastAsia="en-GB"/>
        </w:rPr>
        <w:t xml:space="preserve"> the increase in the share price) can be ignored for the purpose of the calculation. </w:t>
      </w:r>
      <w:proofErr w:type="gramStart"/>
      <w:r w:rsidRPr="007D4724">
        <w:rPr>
          <w:color w:val="595959"/>
          <w:sz w:val="28"/>
          <w:szCs w:val="28"/>
          <w:lang w:eastAsia="en-GB"/>
        </w:rPr>
        <w:t>However</w:t>
      </w:r>
      <w:proofErr w:type="gramEnd"/>
      <w:r w:rsidRPr="007D4724">
        <w:rPr>
          <w:color w:val="595959"/>
          <w:sz w:val="28"/>
          <w:szCs w:val="28"/>
          <w:lang w:eastAsia="en-GB"/>
        </w:rPr>
        <w:t xml:space="preserve"> the employment condition must be taken into account. The options will be treated as follows:</w:t>
      </w:r>
    </w:p>
    <w:p w14:paraId="7B368EE6" w14:textId="77777777" w:rsidR="004A7124" w:rsidRPr="007D4724" w:rsidRDefault="004A7124" w:rsidP="007D4724">
      <w:pPr>
        <w:rPr>
          <w:color w:val="595959"/>
          <w:sz w:val="28"/>
          <w:szCs w:val="28"/>
          <w:lang w:eastAsia="en-GB"/>
        </w:rPr>
      </w:pPr>
      <w:r w:rsidRPr="007D4724">
        <w:rPr>
          <w:color w:val="595959"/>
          <w:sz w:val="28"/>
          <w:szCs w:val="28"/>
          <w:lang w:eastAsia="en-GB"/>
        </w:rPr>
        <w:t>2,000 options x 2 directors x $10 x 1 year / 3 years = $13,333</w:t>
      </w:r>
    </w:p>
    <w:p w14:paraId="77150B48" w14:textId="77777777" w:rsidR="004A7124" w:rsidRPr="007D4724" w:rsidRDefault="004A7124" w:rsidP="007D4724">
      <w:pPr>
        <w:rPr>
          <w:color w:val="595959"/>
          <w:sz w:val="28"/>
          <w:szCs w:val="28"/>
          <w:lang w:eastAsia="en-GB"/>
        </w:rPr>
      </w:pPr>
      <w:r w:rsidRPr="007D4724">
        <w:rPr>
          <w:color w:val="595959"/>
          <w:sz w:val="28"/>
          <w:szCs w:val="28"/>
          <w:lang w:eastAsia="en-GB"/>
        </w:rPr>
        <w:t>Equity will be increased by this amount and an expense shown in profit or loss for the year ended 31 December 20X6.</w:t>
      </w:r>
    </w:p>
    <w:p w14:paraId="0EA4BF9E" w14:textId="13FACA9A" w:rsidR="004A7124" w:rsidRDefault="004A7124" w:rsidP="007D4724">
      <w:pPr>
        <w:rPr>
          <w:sz w:val="28"/>
          <w:szCs w:val="28"/>
          <w:lang w:eastAsia="en-GB"/>
        </w:rPr>
      </w:pPr>
    </w:p>
    <w:p w14:paraId="173B363D" w14:textId="559C6FCA" w:rsidR="007D4724" w:rsidRDefault="007D4724" w:rsidP="007D4724">
      <w:pPr>
        <w:rPr>
          <w:sz w:val="28"/>
          <w:szCs w:val="28"/>
          <w:lang w:eastAsia="en-GB"/>
        </w:rPr>
      </w:pPr>
    </w:p>
    <w:p w14:paraId="6D7989F9" w14:textId="77777777" w:rsidR="007D4724" w:rsidRPr="007D4724" w:rsidRDefault="007D4724" w:rsidP="007D4724">
      <w:pPr>
        <w:rPr>
          <w:sz w:val="28"/>
          <w:szCs w:val="28"/>
          <w:lang w:eastAsia="en-GB"/>
        </w:rPr>
      </w:pPr>
    </w:p>
    <w:p w14:paraId="3734AD9F" w14:textId="25F04C1D" w:rsidR="004A7124" w:rsidRPr="007D4724" w:rsidRDefault="004A7124" w:rsidP="007D4724">
      <w:pPr>
        <w:rPr>
          <w:b/>
          <w:bCs/>
          <w:sz w:val="28"/>
          <w:szCs w:val="28"/>
          <w:lang w:eastAsia="en-GB"/>
        </w:rPr>
      </w:pPr>
      <w:r w:rsidRPr="007D4724">
        <w:rPr>
          <w:b/>
          <w:bCs/>
          <w:sz w:val="28"/>
          <w:szCs w:val="28"/>
          <w:lang w:eastAsia="en-GB"/>
        </w:rPr>
        <w:lastRenderedPageBreak/>
        <w:t>Cash settled transactions</w:t>
      </w:r>
    </w:p>
    <w:p w14:paraId="7AF56D6C" w14:textId="77777777" w:rsidR="004A7124" w:rsidRPr="007D4724" w:rsidRDefault="004A7124" w:rsidP="007D4724">
      <w:pPr>
        <w:rPr>
          <w:color w:val="595959"/>
          <w:sz w:val="28"/>
          <w:szCs w:val="28"/>
          <w:lang w:eastAsia="en-GB"/>
        </w:rPr>
      </w:pPr>
      <w:r w:rsidRPr="007D4724">
        <w:rPr>
          <w:color w:val="595959"/>
          <w:sz w:val="28"/>
          <w:szCs w:val="28"/>
          <w:lang w:eastAsia="en-GB"/>
        </w:rPr>
        <w:t>Cash settled share-based payment transactions occur where goods or services are paid for at amounts that are based on the price of the company’s equity instruments. The expense for cash settled transactions is the cash paid by the company.</w:t>
      </w:r>
    </w:p>
    <w:p w14:paraId="3473BF12" w14:textId="6AAEFD61" w:rsidR="004A7124" w:rsidRDefault="004A7124" w:rsidP="007D4724">
      <w:pPr>
        <w:rPr>
          <w:color w:val="595959"/>
          <w:sz w:val="28"/>
          <w:szCs w:val="28"/>
          <w:lang w:eastAsia="en-GB"/>
        </w:rPr>
      </w:pPr>
      <w:r w:rsidRPr="007D4724">
        <w:rPr>
          <w:color w:val="595959"/>
          <w:sz w:val="28"/>
          <w:szCs w:val="28"/>
          <w:lang w:eastAsia="en-GB"/>
        </w:rPr>
        <w:t>As an example, share appreciation rights entitle employees to cash payments equal to the increase in the share price of a given number of the company’s shares over a given period. This creates a liability, and the recognised cost is based on the fair value of the instrument at the reporting date. The fair value of the liability is re-measured at each reporting date until settlement.</w:t>
      </w:r>
    </w:p>
    <w:p w14:paraId="563B700B" w14:textId="77777777" w:rsidR="007D4724" w:rsidRPr="007D4724" w:rsidRDefault="007D4724" w:rsidP="007D4724">
      <w:pPr>
        <w:rPr>
          <w:color w:val="595959"/>
          <w:sz w:val="28"/>
          <w:szCs w:val="28"/>
          <w:lang w:eastAsia="en-GB"/>
        </w:rPr>
      </w:pPr>
    </w:p>
    <w:p w14:paraId="5775F2AC" w14:textId="77777777" w:rsidR="004A7124" w:rsidRPr="007D4724" w:rsidRDefault="004A7124" w:rsidP="007D4724">
      <w:pPr>
        <w:rPr>
          <w:color w:val="595959"/>
          <w:sz w:val="28"/>
          <w:szCs w:val="28"/>
          <w:lang w:eastAsia="en-GB"/>
        </w:rPr>
      </w:pPr>
      <w:r w:rsidRPr="007D4724">
        <w:rPr>
          <w:b/>
          <w:bCs/>
          <w:color w:val="595959"/>
          <w:sz w:val="28"/>
          <w:szCs w:val="28"/>
          <w:lang w:eastAsia="en-GB"/>
        </w:rPr>
        <w:t>EXAMPLE 3</w:t>
      </w:r>
      <w:r w:rsidRPr="007D4724">
        <w:rPr>
          <w:b/>
          <w:bCs/>
          <w:color w:val="595959"/>
          <w:sz w:val="28"/>
          <w:szCs w:val="28"/>
          <w:lang w:eastAsia="en-GB"/>
        </w:rPr>
        <w:br/>
      </w:r>
      <w:r w:rsidRPr="007D4724">
        <w:rPr>
          <w:color w:val="595959"/>
          <w:sz w:val="28"/>
          <w:szCs w:val="28"/>
          <w:lang w:eastAsia="en-GB"/>
        </w:rPr>
        <w:t xml:space="preserve">Jay, a public limited company, has granted 300 share appreciation rights to each of its 500 employees on 1 July 20X5. The management feel that as </w:t>
      </w:r>
      <w:proofErr w:type="gramStart"/>
      <w:r w:rsidRPr="007D4724">
        <w:rPr>
          <w:color w:val="595959"/>
          <w:sz w:val="28"/>
          <w:szCs w:val="28"/>
          <w:lang w:eastAsia="en-GB"/>
        </w:rPr>
        <w:t>at</w:t>
      </w:r>
      <w:proofErr w:type="gramEnd"/>
      <w:r w:rsidRPr="007D4724">
        <w:rPr>
          <w:color w:val="595959"/>
          <w:sz w:val="28"/>
          <w:szCs w:val="28"/>
          <w:lang w:eastAsia="en-GB"/>
        </w:rPr>
        <w:t xml:space="preserve"> 31 July 20X6, the </w:t>
      </w:r>
      <w:proofErr w:type="spellStart"/>
      <w:r w:rsidRPr="007D4724">
        <w:rPr>
          <w:color w:val="595959"/>
          <w:sz w:val="28"/>
          <w:szCs w:val="28"/>
          <w:lang w:eastAsia="en-GB"/>
        </w:rPr>
        <w:t>year end</w:t>
      </w:r>
      <w:proofErr w:type="spellEnd"/>
      <w:r w:rsidRPr="007D4724">
        <w:rPr>
          <w:color w:val="595959"/>
          <w:sz w:val="28"/>
          <w:szCs w:val="28"/>
          <w:lang w:eastAsia="en-GB"/>
        </w:rPr>
        <w:t xml:space="preserve"> of Jay, 80% of the awards will vest on 31 July 20X7. The fair value of each share appreciation right on 31 July 20X6 is $15.</w:t>
      </w:r>
    </w:p>
    <w:p w14:paraId="62EBA838" w14:textId="77777777" w:rsidR="004A7124" w:rsidRPr="007D4724" w:rsidRDefault="004A7124" w:rsidP="007D4724">
      <w:pPr>
        <w:rPr>
          <w:color w:val="595959"/>
          <w:sz w:val="28"/>
          <w:szCs w:val="28"/>
          <w:lang w:eastAsia="en-GB"/>
        </w:rPr>
      </w:pPr>
      <w:r w:rsidRPr="007D4724">
        <w:rPr>
          <w:color w:val="595959"/>
          <w:sz w:val="28"/>
          <w:szCs w:val="28"/>
          <w:lang w:eastAsia="en-GB"/>
        </w:rPr>
        <w:t>What is the fair value of the liability to be recorded in the financial statements for the year ended 31 July 20X6?</w:t>
      </w:r>
    </w:p>
    <w:p w14:paraId="05A1503A" w14:textId="77777777" w:rsidR="004A7124" w:rsidRPr="007D4724" w:rsidRDefault="004A7124" w:rsidP="007D4724">
      <w:pPr>
        <w:rPr>
          <w:color w:val="595959"/>
          <w:sz w:val="28"/>
          <w:szCs w:val="28"/>
          <w:lang w:eastAsia="en-GB"/>
        </w:rPr>
      </w:pPr>
      <w:r w:rsidRPr="007D4724">
        <w:rPr>
          <w:b/>
          <w:bCs/>
          <w:color w:val="595959"/>
          <w:sz w:val="28"/>
          <w:szCs w:val="28"/>
          <w:lang w:eastAsia="en-GB"/>
        </w:rPr>
        <w:t>Answer</w:t>
      </w:r>
      <w:r w:rsidRPr="007D4724">
        <w:rPr>
          <w:b/>
          <w:bCs/>
          <w:color w:val="595959"/>
          <w:sz w:val="28"/>
          <w:szCs w:val="28"/>
          <w:lang w:eastAsia="en-GB"/>
        </w:rPr>
        <w:br/>
      </w:r>
      <w:r w:rsidRPr="007D4724">
        <w:rPr>
          <w:color w:val="595959"/>
          <w:sz w:val="28"/>
          <w:szCs w:val="28"/>
          <w:lang w:eastAsia="en-GB"/>
        </w:rPr>
        <w:t>300 rights x 500 employees x 80% x $15 x 1 year / 2 years = $900,000</w:t>
      </w:r>
    </w:p>
    <w:p w14:paraId="7F07F9C9" w14:textId="77777777" w:rsidR="004A7124" w:rsidRPr="007D4724" w:rsidRDefault="004A7124" w:rsidP="007D4724">
      <w:pPr>
        <w:rPr>
          <w:sz w:val="28"/>
          <w:szCs w:val="28"/>
          <w:lang w:eastAsia="en-GB"/>
        </w:rPr>
      </w:pPr>
    </w:p>
    <w:p w14:paraId="4F5A2FD9" w14:textId="77777777" w:rsidR="004A7124" w:rsidRPr="004A7124" w:rsidRDefault="004A7124" w:rsidP="004A7124"/>
    <w:p w14:paraId="7FEC8795" w14:textId="77777777" w:rsidR="004A7124" w:rsidRDefault="004A7124" w:rsidP="004A7124"/>
    <w:p w14:paraId="7D9D1F12" w14:textId="40FD6945" w:rsidR="004A7124" w:rsidRDefault="004A7124">
      <w:r>
        <w:rPr>
          <w:rFonts w:ascii="Helvetica" w:hAnsi="Helvetica" w:cs="Helvetica"/>
          <w:color w:val="F5F5F5"/>
          <w:sz w:val="2"/>
          <w:szCs w:val="2"/>
          <w:shd w:val="clear" w:color="auto" w:fill="F5F5F5"/>
        </w:rPr>
        <w:t>IFRS 2 </w:t>
      </w:r>
      <w:r>
        <w:rPr>
          <w:rFonts w:ascii="Helvetica" w:hAnsi="Helvetica" w:cs="Helvetica"/>
          <w:i/>
          <w:iCs/>
          <w:color w:val="F5F5F5"/>
          <w:sz w:val="2"/>
          <w:szCs w:val="2"/>
          <w:bdr w:val="none" w:sz="0" w:space="0" w:color="auto" w:frame="1"/>
          <w:shd w:val="clear" w:color="auto" w:fill="F5F5F5"/>
        </w:rPr>
        <w:t>Share-based Payment</w:t>
      </w:r>
      <w:r>
        <w:rPr>
          <w:rFonts w:ascii="Helvetica" w:hAnsi="Helvetica" w:cs="Helvetica"/>
          <w:color w:val="F5F5F5"/>
          <w:sz w:val="2"/>
          <w:szCs w:val="2"/>
          <w:shd w:val="clear" w:color="auto" w:fill="F5F5F5"/>
        </w:rPr>
        <w:t> requires an entity to recognise share-based payment transactions (such as granted shares, share options, or share appreciation rights) in its financial statements, including transactions with employees or other parties to be settled in cash, other assets, or equity instruments of the entity. Specific requirements are included for equity-settled and cash-settled share-based payment transactions, as well as those where the entity or supplier has a choice of cash or equity instruments.</w:t>
      </w:r>
    </w:p>
    <w:sectPr w:rsidR="004A71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EA4BB0"/>
    <w:multiLevelType w:val="multilevel"/>
    <w:tmpl w:val="D33C3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9D582A"/>
    <w:multiLevelType w:val="multilevel"/>
    <w:tmpl w:val="3C98E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2C72D7"/>
    <w:multiLevelType w:val="multilevel"/>
    <w:tmpl w:val="CF2A1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5B1F23"/>
    <w:multiLevelType w:val="multilevel"/>
    <w:tmpl w:val="816A3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F06E94"/>
    <w:multiLevelType w:val="multilevel"/>
    <w:tmpl w:val="FCC6C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190C90"/>
    <w:multiLevelType w:val="multilevel"/>
    <w:tmpl w:val="41B2C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A13A84"/>
    <w:multiLevelType w:val="multilevel"/>
    <w:tmpl w:val="30EE8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3F2FBA"/>
    <w:multiLevelType w:val="multilevel"/>
    <w:tmpl w:val="63BC7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AA5016"/>
    <w:multiLevelType w:val="multilevel"/>
    <w:tmpl w:val="37DC7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2937F2"/>
    <w:multiLevelType w:val="multilevel"/>
    <w:tmpl w:val="F20E9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F7125E"/>
    <w:multiLevelType w:val="multilevel"/>
    <w:tmpl w:val="C2B40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4C414B"/>
    <w:multiLevelType w:val="multilevel"/>
    <w:tmpl w:val="14DEE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5"/>
  </w:num>
  <w:num w:numId="3">
    <w:abstractNumId w:val="8"/>
  </w:num>
  <w:num w:numId="4">
    <w:abstractNumId w:val="3"/>
  </w:num>
  <w:num w:numId="5">
    <w:abstractNumId w:val="2"/>
  </w:num>
  <w:num w:numId="6">
    <w:abstractNumId w:val="10"/>
  </w:num>
  <w:num w:numId="7">
    <w:abstractNumId w:val="1"/>
  </w:num>
  <w:num w:numId="8">
    <w:abstractNumId w:val="4"/>
  </w:num>
  <w:num w:numId="9">
    <w:abstractNumId w:val="11"/>
  </w:num>
  <w:num w:numId="10">
    <w:abstractNumId w:val="7"/>
  </w:num>
  <w:num w:numId="11">
    <w:abstractNumId w:val="0"/>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124"/>
    <w:rsid w:val="004A7124"/>
    <w:rsid w:val="00573C6C"/>
    <w:rsid w:val="007D4724"/>
    <w:rsid w:val="009A6A88"/>
    <w:rsid w:val="00AB3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7755A"/>
  <w15:chartTrackingRefBased/>
  <w15:docId w15:val="{EB696622-4922-48DF-96FE-DA960741D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A712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9023712">
      <w:bodyDiv w:val="1"/>
      <w:marLeft w:val="0"/>
      <w:marRight w:val="0"/>
      <w:marTop w:val="0"/>
      <w:marBottom w:val="0"/>
      <w:divBdr>
        <w:top w:val="none" w:sz="0" w:space="0" w:color="auto"/>
        <w:left w:val="none" w:sz="0" w:space="0" w:color="auto"/>
        <w:bottom w:val="none" w:sz="0" w:space="0" w:color="auto"/>
        <w:right w:val="none" w:sz="0" w:space="0" w:color="auto"/>
      </w:divBdr>
    </w:div>
    <w:div w:id="1621497409">
      <w:bodyDiv w:val="1"/>
      <w:marLeft w:val="0"/>
      <w:marRight w:val="0"/>
      <w:marTop w:val="0"/>
      <w:marBottom w:val="0"/>
      <w:divBdr>
        <w:top w:val="none" w:sz="0" w:space="0" w:color="auto"/>
        <w:left w:val="none" w:sz="0" w:space="0" w:color="auto"/>
        <w:bottom w:val="none" w:sz="0" w:space="0" w:color="auto"/>
        <w:right w:val="none" w:sz="0" w:space="0" w:color="auto"/>
      </w:divBdr>
      <w:divsChild>
        <w:div w:id="1246304895">
          <w:marLeft w:val="0"/>
          <w:marRight w:val="0"/>
          <w:marTop w:val="0"/>
          <w:marBottom w:val="0"/>
          <w:divBdr>
            <w:top w:val="none" w:sz="0" w:space="0" w:color="auto"/>
            <w:left w:val="none" w:sz="0" w:space="0" w:color="auto"/>
            <w:bottom w:val="none" w:sz="0" w:space="0" w:color="auto"/>
            <w:right w:val="none" w:sz="0" w:space="0" w:color="auto"/>
          </w:divBdr>
        </w:div>
        <w:div w:id="400101306">
          <w:marLeft w:val="0"/>
          <w:marRight w:val="0"/>
          <w:marTop w:val="0"/>
          <w:marBottom w:val="0"/>
          <w:divBdr>
            <w:top w:val="none" w:sz="0" w:space="0" w:color="auto"/>
            <w:left w:val="none" w:sz="0" w:space="0" w:color="auto"/>
            <w:bottom w:val="none" w:sz="0" w:space="0" w:color="auto"/>
            <w:right w:val="none" w:sz="0" w:space="0" w:color="auto"/>
          </w:divBdr>
          <w:divsChild>
            <w:div w:id="1118917563">
              <w:marLeft w:val="0"/>
              <w:marRight w:val="0"/>
              <w:marTop w:val="300"/>
              <w:marBottom w:val="300"/>
              <w:divBdr>
                <w:top w:val="single" w:sz="6" w:space="18" w:color="E5E5E5"/>
                <w:left w:val="none" w:sz="0" w:space="18" w:color="auto"/>
                <w:bottom w:val="single" w:sz="6" w:space="18" w:color="E5E5E5"/>
                <w:right w:val="none" w:sz="0" w:space="18" w:color="auto"/>
              </w:divBdr>
            </w:div>
            <w:div w:id="1184126796">
              <w:marLeft w:val="0"/>
              <w:marRight w:val="0"/>
              <w:marTop w:val="0"/>
              <w:marBottom w:val="0"/>
              <w:divBdr>
                <w:top w:val="none" w:sz="0" w:space="0" w:color="auto"/>
                <w:left w:val="none" w:sz="0" w:space="0" w:color="auto"/>
                <w:bottom w:val="none" w:sz="0" w:space="0" w:color="auto"/>
                <w:right w:val="none" w:sz="0" w:space="0" w:color="auto"/>
              </w:divBdr>
              <w:divsChild>
                <w:div w:id="1038820033">
                  <w:marLeft w:val="0"/>
                  <w:marRight w:val="0"/>
                  <w:marTop w:val="0"/>
                  <w:marBottom w:val="0"/>
                  <w:divBdr>
                    <w:top w:val="none" w:sz="0" w:space="0" w:color="auto"/>
                    <w:left w:val="none" w:sz="0" w:space="0" w:color="auto"/>
                    <w:bottom w:val="none" w:sz="0" w:space="0" w:color="auto"/>
                    <w:right w:val="none" w:sz="0" w:space="0" w:color="auto"/>
                  </w:divBdr>
                </w:div>
                <w:div w:id="42754077">
                  <w:marLeft w:val="0"/>
                  <w:marRight w:val="0"/>
                  <w:marTop w:val="0"/>
                  <w:marBottom w:val="0"/>
                  <w:divBdr>
                    <w:top w:val="none" w:sz="0" w:space="0" w:color="auto"/>
                    <w:left w:val="none" w:sz="0" w:space="0" w:color="auto"/>
                    <w:bottom w:val="none" w:sz="0" w:space="0" w:color="auto"/>
                    <w:right w:val="none" w:sz="0" w:space="0" w:color="auto"/>
                  </w:divBdr>
                  <w:divsChild>
                    <w:div w:id="1377971470">
                      <w:marLeft w:val="0"/>
                      <w:marRight w:val="0"/>
                      <w:marTop w:val="0"/>
                      <w:marBottom w:val="0"/>
                      <w:divBdr>
                        <w:top w:val="none" w:sz="0" w:space="0" w:color="auto"/>
                        <w:left w:val="none" w:sz="0" w:space="0" w:color="auto"/>
                        <w:bottom w:val="none" w:sz="0" w:space="0" w:color="auto"/>
                        <w:right w:val="none" w:sz="0" w:space="0" w:color="auto"/>
                      </w:divBdr>
                    </w:div>
                  </w:divsChild>
                </w:div>
                <w:div w:id="116291062">
                  <w:marLeft w:val="0"/>
                  <w:marRight w:val="0"/>
                  <w:marTop w:val="0"/>
                  <w:marBottom w:val="0"/>
                  <w:divBdr>
                    <w:top w:val="none" w:sz="0" w:space="0" w:color="auto"/>
                    <w:left w:val="none" w:sz="0" w:space="0" w:color="auto"/>
                    <w:bottom w:val="none" w:sz="0" w:space="0" w:color="auto"/>
                    <w:right w:val="none" w:sz="0" w:space="0" w:color="auto"/>
                  </w:divBdr>
                  <w:divsChild>
                    <w:div w:id="1218853959">
                      <w:marLeft w:val="0"/>
                      <w:marRight w:val="0"/>
                      <w:marTop w:val="0"/>
                      <w:marBottom w:val="0"/>
                      <w:divBdr>
                        <w:top w:val="none" w:sz="0" w:space="0" w:color="auto"/>
                        <w:left w:val="none" w:sz="0" w:space="0" w:color="auto"/>
                        <w:bottom w:val="none" w:sz="0" w:space="0" w:color="auto"/>
                        <w:right w:val="none" w:sz="0" w:space="0" w:color="auto"/>
                      </w:divBdr>
                    </w:div>
                  </w:divsChild>
                </w:div>
                <w:div w:id="1315255264">
                  <w:marLeft w:val="0"/>
                  <w:marRight w:val="0"/>
                  <w:marTop w:val="0"/>
                  <w:marBottom w:val="0"/>
                  <w:divBdr>
                    <w:top w:val="none" w:sz="0" w:space="0" w:color="auto"/>
                    <w:left w:val="none" w:sz="0" w:space="0" w:color="auto"/>
                    <w:bottom w:val="none" w:sz="0" w:space="0" w:color="auto"/>
                    <w:right w:val="none" w:sz="0" w:space="0" w:color="auto"/>
                  </w:divBdr>
                  <w:divsChild>
                    <w:div w:id="18245695">
                      <w:marLeft w:val="0"/>
                      <w:marRight w:val="0"/>
                      <w:marTop w:val="0"/>
                      <w:marBottom w:val="0"/>
                      <w:divBdr>
                        <w:top w:val="none" w:sz="0" w:space="0" w:color="auto"/>
                        <w:left w:val="none" w:sz="0" w:space="0" w:color="auto"/>
                        <w:bottom w:val="none" w:sz="0" w:space="0" w:color="auto"/>
                        <w:right w:val="none" w:sz="0" w:space="0" w:color="auto"/>
                      </w:divBdr>
                    </w:div>
                  </w:divsChild>
                </w:div>
                <w:div w:id="14700935">
                  <w:marLeft w:val="0"/>
                  <w:marRight w:val="0"/>
                  <w:marTop w:val="0"/>
                  <w:marBottom w:val="0"/>
                  <w:divBdr>
                    <w:top w:val="none" w:sz="0" w:space="0" w:color="auto"/>
                    <w:left w:val="none" w:sz="0" w:space="0" w:color="auto"/>
                    <w:bottom w:val="none" w:sz="0" w:space="0" w:color="auto"/>
                    <w:right w:val="none" w:sz="0" w:space="0" w:color="auto"/>
                  </w:divBdr>
                  <w:divsChild>
                    <w:div w:id="556667074">
                      <w:marLeft w:val="0"/>
                      <w:marRight w:val="0"/>
                      <w:marTop w:val="0"/>
                      <w:marBottom w:val="0"/>
                      <w:divBdr>
                        <w:top w:val="none" w:sz="0" w:space="0" w:color="auto"/>
                        <w:left w:val="none" w:sz="0" w:space="0" w:color="auto"/>
                        <w:bottom w:val="none" w:sz="0" w:space="0" w:color="auto"/>
                        <w:right w:val="none" w:sz="0" w:space="0" w:color="auto"/>
                      </w:divBdr>
                    </w:div>
                  </w:divsChild>
                </w:div>
                <w:div w:id="536508042">
                  <w:marLeft w:val="0"/>
                  <w:marRight w:val="0"/>
                  <w:marTop w:val="0"/>
                  <w:marBottom w:val="0"/>
                  <w:divBdr>
                    <w:top w:val="none" w:sz="0" w:space="0" w:color="auto"/>
                    <w:left w:val="none" w:sz="0" w:space="0" w:color="auto"/>
                    <w:bottom w:val="none" w:sz="0" w:space="0" w:color="auto"/>
                    <w:right w:val="none" w:sz="0" w:space="0" w:color="auto"/>
                  </w:divBdr>
                  <w:divsChild>
                    <w:div w:id="97479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7184815">
      <w:bodyDiv w:val="1"/>
      <w:marLeft w:val="0"/>
      <w:marRight w:val="0"/>
      <w:marTop w:val="0"/>
      <w:marBottom w:val="0"/>
      <w:divBdr>
        <w:top w:val="none" w:sz="0" w:space="0" w:color="auto"/>
        <w:left w:val="none" w:sz="0" w:space="0" w:color="auto"/>
        <w:bottom w:val="none" w:sz="0" w:space="0" w:color="auto"/>
        <w:right w:val="none" w:sz="0" w:space="0" w:color="auto"/>
      </w:divBdr>
      <w:divsChild>
        <w:div w:id="6770059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4</Pages>
  <Words>1038</Words>
  <Characters>5921</Characters>
  <Application>Microsoft Office Word</Application>
  <DocSecurity>0</DocSecurity>
  <Lines>49</Lines>
  <Paragraphs>13</Paragraphs>
  <ScaleCrop>false</ScaleCrop>
  <Company/>
  <LinksUpToDate>false</LinksUpToDate>
  <CharactersWithSpaces>6946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4</cp:revision>
  <dcterms:created xsi:type="dcterms:W3CDTF">2021-03-19T09:48:00Z</dcterms:created>
  <dcterms:modified xsi:type="dcterms:W3CDTF">2021-03-23T11:51:00Z</dcterms:modified>
</cp:coreProperties>
</file>